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06AE9" w14:textId="77777777" w:rsidR="006D2FE8" w:rsidRPr="00EA7A59" w:rsidRDefault="006D2FE8" w:rsidP="006D2FE8">
      <w:pPr>
        <w:spacing w:after="0" w:line="240" w:lineRule="auto"/>
        <w:jc w:val="center"/>
        <w:rPr>
          <w:rFonts w:ascii="Times New Roman" w:hAnsi="Times New Roman"/>
          <w:b/>
          <w:sz w:val="28"/>
          <w:szCs w:val="28"/>
        </w:rPr>
      </w:pPr>
      <w:r w:rsidRPr="00EA7A59">
        <w:rPr>
          <w:rFonts w:ascii="Times New Roman" w:hAnsi="Times New Roman"/>
          <w:b/>
          <w:sz w:val="28"/>
          <w:szCs w:val="28"/>
        </w:rPr>
        <w:t>NOTĂ INFORMATIVĂ</w:t>
      </w:r>
    </w:p>
    <w:p w14:paraId="791229DC" w14:textId="77777777" w:rsidR="006D2FE8" w:rsidRDefault="006D2FE8" w:rsidP="00B244FF">
      <w:pPr>
        <w:spacing w:after="0" w:line="240" w:lineRule="auto"/>
        <w:jc w:val="center"/>
        <w:rPr>
          <w:rFonts w:ascii="Times New Roman" w:hAnsi="Times New Roman"/>
          <w:b/>
          <w:bCs/>
          <w:sz w:val="28"/>
          <w:szCs w:val="28"/>
        </w:rPr>
      </w:pPr>
      <w:r w:rsidRPr="00EA7A59">
        <w:rPr>
          <w:rFonts w:ascii="Times New Roman" w:hAnsi="Times New Roman"/>
          <w:b/>
          <w:bCs/>
          <w:sz w:val="28"/>
          <w:szCs w:val="28"/>
        </w:rPr>
        <w:t>la proiectul hotărâr</w:t>
      </w:r>
      <w:r w:rsidR="00886131" w:rsidRPr="00EA7A59">
        <w:rPr>
          <w:rFonts w:ascii="Times New Roman" w:hAnsi="Times New Roman"/>
          <w:b/>
          <w:bCs/>
          <w:sz w:val="28"/>
          <w:szCs w:val="28"/>
        </w:rPr>
        <w:t>ii</w:t>
      </w:r>
      <w:r w:rsidR="000B5A6C" w:rsidRPr="00EA7A59">
        <w:rPr>
          <w:rFonts w:ascii="Times New Roman" w:hAnsi="Times New Roman"/>
          <w:b/>
          <w:bCs/>
          <w:sz w:val="28"/>
          <w:szCs w:val="28"/>
        </w:rPr>
        <w:t xml:space="preserve"> Guvern</w:t>
      </w:r>
      <w:r w:rsidR="00B244FF">
        <w:rPr>
          <w:rFonts w:ascii="Times New Roman" w:hAnsi="Times New Roman"/>
          <w:b/>
          <w:bCs/>
          <w:sz w:val="28"/>
          <w:szCs w:val="28"/>
        </w:rPr>
        <w:t>ului</w:t>
      </w:r>
      <w:r w:rsidRPr="00EA7A59">
        <w:rPr>
          <w:rFonts w:ascii="Times New Roman" w:hAnsi="Times New Roman"/>
          <w:b/>
          <w:bCs/>
          <w:sz w:val="28"/>
          <w:szCs w:val="28"/>
        </w:rPr>
        <w:t xml:space="preserve"> </w:t>
      </w:r>
      <w:r w:rsidR="00886131" w:rsidRPr="00EA7A59">
        <w:rPr>
          <w:rFonts w:ascii="Times New Roman" w:hAnsi="Times New Roman"/>
          <w:b/>
          <w:bCs/>
          <w:sz w:val="28"/>
          <w:szCs w:val="28"/>
        </w:rPr>
        <w:t>cu privire la</w:t>
      </w:r>
      <w:r w:rsidR="000D5CDD" w:rsidRPr="00EA7A59">
        <w:rPr>
          <w:rFonts w:ascii="Times New Roman" w:hAnsi="Times New Roman"/>
          <w:b/>
          <w:bCs/>
          <w:sz w:val="28"/>
          <w:szCs w:val="28"/>
        </w:rPr>
        <w:t xml:space="preserve"> </w:t>
      </w:r>
      <w:r w:rsidR="00B244FF">
        <w:rPr>
          <w:rFonts w:ascii="Times New Roman" w:hAnsi="Times New Roman"/>
          <w:b/>
          <w:bCs/>
          <w:sz w:val="28"/>
          <w:szCs w:val="28"/>
        </w:rPr>
        <w:t xml:space="preserve">aprobarea proiectului de lege privind </w:t>
      </w:r>
      <w:r w:rsidR="00B244FF" w:rsidRPr="00B244FF">
        <w:rPr>
          <w:rFonts w:ascii="Times New Roman" w:hAnsi="Times New Roman"/>
          <w:b/>
          <w:bCs/>
          <w:sz w:val="28"/>
          <w:szCs w:val="28"/>
          <w:lang w:val="ro-MD"/>
        </w:rPr>
        <w:t>regimul materialelor explozive cu destinație civilă</w:t>
      </w:r>
    </w:p>
    <w:p w14:paraId="48DCC61F" w14:textId="77777777" w:rsidR="00004E86" w:rsidRPr="00EA7A59" w:rsidRDefault="00004E86" w:rsidP="006D2FE8">
      <w:pPr>
        <w:spacing w:after="0" w:line="240" w:lineRule="auto"/>
        <w:jc w:val="center"/>
        <w:rPr>
          <w:rFonts w:ascii="Times New Roman" w:hAnsi="Times New Roman"/>
          <w:b/>
          <w:bCs/>
          <w:sz w:val="26"/>
          <w:szCs w:val="26"/>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3969F9" w:rsidRPr="00EA7A59" w14:paraId="76EDCE90" w14:textId="77777777" w:rsidTr="008B6370">
        <w:tc>
          <w:tcPr>
            <w:tcW w:w="9781" w:type="dxa"/>
            <w:tcBorders>
              <w:top w:val="single" w:sz="4" w:space="0" w:color="auto"/>
              <w:left w:val="single" w:sz="4" w:space="0" w:color="auto"/>
              <w:bottom w:val="single" w:sz="4" w:space="0" w:color="auto"/>
              <w:right w:val="single" w:sz="4" w:space="0" w:color="auto"/>
            </w:tcBorders>
            <w:shd w:val="clear" w:color="auto" w:fill="BFBFBF"/>
            <w:hideMark/>
          </w:tcPr>
          <w:p w14:paraId="58A96E00" w14:textId="77777777" w:rsidR="004A217A" w:rsidRPr="00EA7A59" w:rsidRDefault="00F75D46" w:rsidP="008054E1">
            <w:pPr>
              <w:pStyle w:val="a3"/>
              <w:tabs>
                <w:tab w:val="left" w:pos="888"/>
              </w:tabs>
              <w:spacing w:after="0" w:line="240" w:lineRule="auto"/>
              <w:ind w:left="0" w:firstLine="604"/>
              <w:jc w:val="both"/>
              <w:rPr>
                <w:rFonts w:ascii="Times New Roman" w:hAnsi="Times New Roman"/>
                <w:b/>
                <w:sz w:val="28"/>
                <w:szCs w:val="28"/>
                <w:lang w:eastAsia="ru-RU"/>
              </w:rPr>
            </w:pPr>
            <w:r w:rsidRPr="00EA7A59">
              <w:rPr>
                <w:rFonts w:ascii="Times New Roman" w:hAnsi="Times New Roman"/>
                <w:b/>
                <w:sz w:val="28"/>
                <w:szCs w:val="28"/>
                <w:lang w:eastAsia="ru-RU"/>
              </w:rPr>
              <w:t>1.</w:t>
            </w:r>
            <w:r w:rsidR="000B5A6C" w:rsidRPr="00EA7A59">
              <w:rPr>
                <w:rFonts w:ascii="Times New Roman" w:hAnsi="Times New Roman"/>
                <w:b/>
                <w:sz w:val="28"/>
                <w:szCs w:val="28"/>
                <w:lang w:eastAsia="ru-RU"/>
              </w:rPr>
              <w:t xml:space="preserve"> </w:t>
            </w:r>
            <w:r w:rsidR="00DD4963" w:rsidRPr="00EA7A59">
              <w:rPr>
                <w:rFonts w:ascii="Times New Roman" w:hAnsi="Times New Roman"/>
                <w:b/>
                <w:sz w:val="28"/>
                <w:szCs w:val="28"/>
                <w:lang w:eastAsia="ru-RU"/>
              </w:rPr>
              <w:t xml:space="preserve">Denumirea autorului </w:t>
            </w:r>
            <w:r w:rsidR="00276B6A" w:rsidRPr="00EA7A59">
              <w:rPr>
                <w:rFonts w:ascii="Times New Roman" w:hAnsi="Times New Roman"/>
                <w:b/>
                <w:sz w:val="28"/>
                <w:szCs w:val="28"/>
                <w:lang w:eastAsia="ru-RU"/>
              </w:rPr>
              <w:t>și</w:t>
            </w:r>
            <w:r w:rsidR="00DD4963" w:rsidRPr="00EA7A59">
              <w:rPr>
                <w:rFonts w:ascii="Times New Roman" w:hAnsi="Times New Roman"/>
                <w:b/>
                <w:sz w:val="28"/>
                <w:szCs w:val="28"/>
                <w:lang w:eastAsia="ru-RU"/>
              </w:rPr>
              <w:t>, după caz, a participanților la elaborarea proiectului</w:t>
            </w:r>
          </w:p>
        </w:tc>
      </w:tr>
      <w:tr w:rsidR="003969F9" w:rsidRPr="00EA7A59" w14:paraId="1D58CF3A" w14:textId="77777777" w:rsidTr="008B6370">
        <w:tc>
          <w:tcPr>
            <w:tcW w:w="9781" w:type="dxa"/>
            <w:tcBorders>
              <w:top w:val="single" w:sz="4" w:space="0" w:color="auto"/>
              <w:left w:val="single" w:sz="4" w:space="0" w:color="auto"/>
              <w:bottom w:val="single" w:sz="4" w:space="0" w:color="auto"/>
              <w:right w:val="single" w:sz="4" w:space="0" w:color="auto"/>
            </w:tcBorders>
            <w:hideMark/>
          </w:tcPr>
          <w:p w14:paraId="1C1A5EFA" w14:textId="77777777" w:rsidR="00CD3799" w:rsidRDefault="00A61E6E" w:rsidP="008054E1">
            <w:pPr>
              <w:tabs>
                <w:tab w:val="left" w:pos="690"/>
                <w:tab w:val="left" w:pos="888"/>
              </w:tabs>
              <w:spacing w:after="0" w:line="240" w:lineRule="auto"/>
              <w:ind w:firstLine="604"/>
              <w:jc w:val="both"/>
              <w:rPr>
                <w:rFonts w:ascii="Times New Roman" w:hAnsi="Times New Roman"/>
                <w:sz w:val="28"/>
                <w:szCs w:val="28"/>
                <w:lang w:eastAsia="ru-RU"/>
              </w:rPr>
            </w:pPr>
            <w:r w:rsidRPr="00B244FF">
              <w:rPr>
                <w:rFonts w:ascii="Times New Roman" w:hAnsi="Times New Roman"/>
                <w:sz w:val="28"/>
                <w:szCs w:val="28"/>
                <w:lang w:eastAsia="ru-RU"/>
              </w:rPr>
              <w:t xml:space="preserve">Proiectul </w:t>
            </w:r>
            <w:r w:rsidR="00886131" w:rsidRPr="00B244FF">
              <w:rPr>
                <w:rFonts w:ascii="Times New Roman" w:hAnsi="Times New Roman"/>
                <w:sz w:val="28"/>
                <w:szCs w:val="28"/>
                <w:lang w:eastAsia="ru-RU"/>
              </w:rPr>
              <w:t xml:space="preserve">hotărârii </w:t>
            </w:r>
            <w:r w:rsidR="00B244FF" w:rsidRPr="00B244FF">
              <w:rPr>
                <w:rFonts w:ascii="Times New Roman" w:hAnsi="Times New Roman"/>
                <w:bCs/>
                <w:sz w:val="28"/>
                <w:szCs w:val="28"/>
                <w:lang w:eastAsia="ru-RU"/>
              </w:rPr>
              <w:t xml:space="preserve">Guvernului cu privire la aprobarea proiectului de lege privind </w:t>
            </w:r>
            <w:r w:rsidR="00B244FF" w:rsidRPr="00B244FF">
              <w:rPr>
                <w:rFonts w:ascii="Times New Roman" w:hAnsi="Times New Roman"/>
                <w:bCs/>
                <w:sz w:val="28"/>
                <w:szCs w:val="28"/>
                <w:lang w:val="ro-MD" w:eastAsia="ru-RU"/>
              </w:rPr>
              <w:t>regimul materialelor explozive cu destinație civilă</w:t>
            </w:r>
            <w:r w:rsidR="00886131" w:rsidRPr="00B244FF">
              <w:rPr>
                <w:rFonts w:ascii="Times New Roman" w:hAnsi="Times New Roman"/>
                <w:sz w:val="28"/>
                <w:szCs w:val="28"/>
                <w:lang w:eastAsia="ru-RU"/>
              </w:rPr>
              <w:t xml:space="preserve"> </w:t>
            </w:r>
            <w:r w:rsidR="00DD4963" w:rsidRPr="00B244FF">
              <w:rPr>
                <w:rFonts w:ascii="Times New Roman" w:hAnsi="Times New Roman"/>
                <w:sz w:val="28"/>
                <w:szCs w:val="28"/>
                <w:lang w:eastAsia="ru-RU"/>
              </w:rPr>
              <w:t>a fost elaborat de către Ministerul Afacerilor Interne</w:t>
            </w:r>
            <w:r w:rsidR="00362EB0" w:rsidRPr="00B244FF">
              <w:rPr>
                <w:rFonts w:ascii="Times New Roman" w:hAnsi="Times New Roman"/>
                <w:sz w:val="28"/>
                <w:szCs w:val="28"/>
                <w:lang w:eastAsia="ru-RU"/>
              </w:rPr>
              <w:t>.</w:t>
            </w:r>
            <w:r w:rsidR="00CC2F32" w:rsidRPr="00B244FF">
              <w:rPr>
                <w:rFonts w:ascii="Times New Roman" w:hAnsi="Times New Roman"/>
                <w:sz w:val="28"/>
                <w:szCs w:val="28"/>
                <w:lang w:eastAsia="ru-RU"/>
              </w:rPr>
              <w:t xml:space="preserve"> </w:t>
            </w:r>
          </w:p>
          <w:p w14:paraId="3ABA6F9E" w14:textId="77777777" w:rsidR="005A784B" w:rsidRPr="00B244FF" w:rsidRDefault="005A784B" w:rsidP="008054E1">
            <w:pPr>
              <w:tabs>
                <w:tab w:val="left" w:pos="690"/>
                <w:tab w:val="left" w:pos="888"/>
              </w:tabs>
              <w:spacing w:after="0" w:line="240" w:lineRule="auto"/>
              <w:ind w:firstLine="604"/>
              <w:jc w:val="both"/>
              <w:rPr>
                <w:rFonts w:ascii="Times New Roman" w:hAnsi="Times New Roman"/>
                <w:bCs/>
                <w:sz w:val="28"/>
                <w:szCs w:val="28"/>
                <w:lang w:eastAsia="ru-RU"/>
              </w:rPr>
            </w:pPr>
          </w:p>
        </w:tc>
      </w:tr>
      <w:tr w:rsidR="003969F9" w:rsidRPr="00EA7A59" w14:paraId="2BCB21D8" w14:textId="77777777" w:rsidTr="008B6370">
        <w:tc>
          <w:tcPr>
            <w:tcW w:w="9781" w:type="dxa"/>
            <w:tcBorders>
              <w:top w:val="single" w:sz="4" w:space="0" w:color="auto"/>
              <w:left w:val="single" w:sz="4" w:space="0" w:color="auto"/>
              <w:bottom w:val="single" w:sz="4" w:space="0" w:color="auto"/>
              <w:right w:val="single" w:sz="4" w:space="0" w:color="auto"/>
            </w:tcBorders>
            <w:shd w:val="clear" w:color="auto" w:fill="BFBFBF"/>
            <w:hideMark/>
          </w:tcPr>
          <w:p w14:paraId="73129AD7" w14:textId="77777777" w:rsidR="000045F3" w:rsidRPr="00EA7A59" w:rsidRDefault="00F75D46" w:rsidP="008054E1">
            <w:pPr>
              <w:pStyle w:val="a3"/>
              <w:tabs>
                <w:tab w:val="left" w:pos="888"/>
              </w:tabs>
              <w:spacing w:after="0" w:line="240" w:lineRule="auto"/>
              <w:ind w:left="0" w:firstLine="604"/>
              <w:jc w:val="both"/>
              <w:rPr>
                <w:rFonts w:ascii="Times New Roman" w:hAnsi="Times New Roman"/>
                <w:b/>
                <w:sz w:val="28"/>
                <w:szCs w:val="28"/>
                <w:lang w:eastAsia="ru-RU"/>
              </w:rPr>
            </w:pPr>
            <w:r w:rsidRPr="00EA7A59">
              <w:rPr>
                <w:rFonts w:ascii="Times New Roman" w:hAnsi="Times New Roman"/>
                <w:b/>
                <w:sz w:val="28"/>
                <w:szCs w:val="28"/>
                <w:lang w:eastAsia="ru-RU"/>
              </w:rPr>
              <w:t>2.</w:t>
            </w:r>
            <w:r w:rsidR="000B5A6C" w:rsidRPr="00EA7A59">
              <w:rPr>
                <w:rFonts w:ascii="Times New Roman" w:hAnsi="Times New Roman"/>
                <w:b/>
                <w:sz w:val="28"/>
                <w:szCs w:val="28"/>
                <w:lang w:eastAsia="ru-RU"/>
              </w:rPr>
              <w:t xml:space="preserve"> </w:t>
            </w:r>
            <w:r w:rsidR="00DD4963" w:rsidRPr="00EA7A59">
              <w:rPr>
                <w:rFonts w:ascii="Times New Roman" w:hAnsi="Times New Roman"/>
                <w:b/>
                <w:sz w:val="28"/>
                <w:szCs w:val="28"/>
                <w:lang w:eastAsia="ru-RU"/>
              </w:rPr>
              <w:t xml:space="preserve">Condițiile ce au impus elaborarea proiectului de act normativ </w:t>
            </w:r>
            <w:r w:rsidR="00EA7A59" w:rsidRPr="00EA7A59">
              <w:rPr>
                <w:rFonts w:ascii="Times New Roman" w:hAnsi="Times New Roman"/>
                <w:b/>
                <w:sz w:val="28"/>
                <w:szCs w:val="28"/>
                <w:lang w:eastAsia="ru-RU"/>
              </w:rPr>
              <w:t>și</w:t>
            </w:r>
            <w:r w:rsidR="00DD4963" w:rsidRPr="00EA7A59">
              <w:rPr>
                <w:rFonts w:ascii="Times New Roman" w:hAnsi="Times New Roman"/>
                <w:b/>
                <w:sz w:val="28"/>
                <w:szCs w:val="28"/>
                <w:lang w:eastAsia="ru-RU"/>
              </w:rPr>
              <w:t xml:space="preserve"> finalitățile urmărite</w:t>
            </w:r>
          </w:p>
        </w:tc>
      </w:tr>
      <w:tr w:rsidR="003969F9" w:rsidRPr="00EA7A59" w14:paraId="28C6A620" w14:textId="77777777" w:rsidTr="008B6370">
        <w:tc>
          <w:tcPr>
            <w:tcW w:w="9781" w:type="dxa"/>
            <w:tcBorders>
              <w:top w:val="single" w:sz="4" w:space="0" w:color="auto"/>
              <w:left w:val="single" w:sz="4" w:space="0" w:color="auto"/>
              <w:bottom w:val="single" w:sz="4" w:space="0" w:color="auto"/>
              <w:right w:val="single" w:sz="4" w:space="0" w:color="auto"/>
            </w:tcBorders>
          </w:tcPr>
          <w:p w14:paraId="2ADE1923" w14:textId="77777777" w:rsidR="00B244FF" w:rsidRDefault="00B244FF" w:rsidP="00E44D78">
            <w:pPr>
              <w:tabs>
                <w:tab w:val="left" w:pos="993"/>
              </w:tabs>
              <w:spacing w:after="0" w:line="240" w:lineRule="auto"/>
              <w:ind w:firstLine="605"/>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Proiectul legii </w:t>
            </w:r>
            <w:r w:rsidRPr="00B244FF">
              <w:rPr>
                <w:rFonts w:ascii="Times New Roman" w:hAnsi="Times New Roman"/>
                <w:sz w:val="28"/>
                <w:szCs w:val="28"/>
                <w:shd w:val="clear" w:color="auto" w:fill="FFFFFF"/>
              </w:rPr>
              <w:t>privind regimul materialelor explozive cu destinație civilă</w:t>
            </w:r>
            <w:r>
              <w:rPr>
                <w:rFonts w:ascii="Times New Roman" w:hAnsi="Times New Roman"/>
                <w:sz w:val="28"/>
                <w:szCs w:val="28"/>
                <w:shd w:val="clear" w:color="auto" w:fill="FFFFFF"/>
              </w:rPr>
              <w:t xml:space="preserve"> a fost elaborat în </w:t>
            </w:r>
            <w:r w:rsidR="00216481">
              <w:rPr>
                <w:rFonts w:ascii="Times New Roman" w:hAnsi="Times New Roman"/>
                <w:sz w:val="28"/>
                <w:szCs w:val="28"/>
                <w:shd w:val="clear" w:color="auto" w:fill="FFFFFF"/>
              </w:rPr>
              <w:t>legătură cu necesitatea</w:t>
            </w:r>
            <w:r>
              <w:rPr>
                <w:rFonts w:ascii="Times New Roman" w:hAnsi="Times New Roman"/>
                <w:sz w:val="28"/>
                <w:szCs w:val="28"/>
                <w:shd w:val="clear" w:color="auto" w:fill="FFFFFF"/>
              </w:rPr>
              <w:t xml:space="preserve"> </w:t>
            </w:r>
            <w:r w:rsidR="001D2D56">
              <w:rPr>
                <w:rFonts w:ascii="Times New Roman" w:hAnsi="Times New Roman"/>
                <w:sz w:val="28"/>
                <w:szCs w:val="28"/>
                <w:shd w:val="clear" w:color="auto" w:fill="FFFFFF"/>
              </w:rPr>
              <w:t xml:space="preserve">îndeplinirii măsurilor prioritare pentru ridicarea nivelului de pregătire pentru aderarea la Uniunea Europeană și aliniere la legislația Uniunii Europene, asigurării implementării integrale, calitative și în termen a recomandărilor formulate de Comisia Europeană, </w:t>
            </w:r>
            <w:r w:rsidR="00EA74FA" w:rsidRPr="00F20F5D">
              <w:rPr>
                <w:rFonts w:ascii="Times New Roman" w:hAnsi="Times New Roman"/>
                <w:sz w:val="28"/>
                <w:szCs w:val="28"/>
                <w:shd w:val="clear" w:color="auto" w:fill="FFFFFF"/>
              </w:rPr>
              <w:t>pentru implementarea</w:t>
            </w:r>
            <w:r w:rsidRPr="00F20F5D">
              <w:rPr>
                <w:rFonts w:ascii="Times New Roman" w:hAnsi="Times New Roman"/>
                <w:sz w:val="28"/>
                <w:szCs w:val="28"/>
                <w:shd w:val="clear" w:color="auto" w:fill="FFFFFF"/>
              </w:rPr>
              <w:t xml:space="preserve"> Agendei de Asociere R</w:t>
            </w:r>
            <w:r w:rsidR="00EA74FA" w:rsidRPr="00F20F5D">
              <w:rPr>
                <w:rFonts w:ascii="Times New Roman" w:hAnsi="Times New Roman"/>
                <w:sz w:val="28"/>
                <w:szCs w:val="28"/>
                <w:shd w:val="clear" w:color="auto" w:fill="FFFFFF"/>
              </w:rPr>
              <w:t xml:space="preserve">epublica </w:t>
            </w:r>
            <w:r w:rsidRPr="00F20F5D">
              <w:rPr>
                <w:rFonts w:ascii="Times New Roman" w:hAnsi="Times New Roman"/>
                <w:sz w:val="28"/>
                <w:szCs w:val="28"/>
                <w:shd w:val="clear" w:color="auto" w:fill="FFFFFF"/>
              </w:rPr>
              <w:t>M</w:t>
            </w:r>
            <w:r w:rsidR="00EA74FA" w:rsidRPr="00F20F5D">
              <w:rPr>
                <w:rFonts w:ascii="Times New Roman" w:hAnsi="Times New Roman"/>
                <w:sz w:val="28"/>
                <w:szCs w:val="28"/>
                <w:shd w:val="clear" w:color="auto" w:fill="FFFFFF"/>
              </w:rPr>
              <w:t xml:space="preserve">oldova – </w:t>
            </w:r>
            <w:r w:rsidRPr="00F20F5D">
              <w:rPr>
                <w:rFonts w:ascii="Times New Roman" w:hAnsi="Times New Roman"/>
                <w:sz w:val="28"/>
                <w:szCs w:val="28"/>
                <w:shd w:val="clear" w:color="auto" w:fill="FFFFFF"/>
              </w:rPr>
              <w:t>U</w:t>
            </w:r>
            <w:r w:rsidR="00EA74FA" w:rsidRPr="00F20F5D">
              <w:rPr>
                <w:rFonts w:ascii="Times New Roman" w:hAnsi="Times New Roman"/>
                <w:sz w:val="28"/>
                <w:szCs w:val="28"/>
                <w:shd w:val="clear" w:color="auto" w:fill="FFFFFF"/>
              </w:rPr>
              <w:t xml:space="preserve">niunea Europeană în perioada </w:t>
            </w:r>
            <w:r w:rsidRPr="00F20F5D">
              <w:rPr>
                <w:rFonts w:ascii="Times New Roman" w:hAnsi="Times New Roman"/>
                <w:sz w:val="28"/>
                <w:szCs w:val="28"/>
                <w:shd w:val="clear" w:color="auto" w:fill="FFFFFF"/>
              </w:rPr>
              <w:t>2021-2027,</w:t>
            </w:r>
            <w:r>
              <w:rPr>
                <w:rFonts w:ascii="Times New Roman" w:hAnsi="Times New Roman"/>
                <w:sz w:val="28"/>
                <w:szCs w:val="28"/>
                <w:shd w:val="clear" w:color="auto" w:fill="FFFFFF"/>
              </w:rPr>
              <w:t xml:space="preserve"> </w:t>
            </w:r>
            <w:r w:rsidR="00E44D78" w:rsidRPr="00E44D78">
              <w:rPr>
                <w:rFonts w:ascii="Times New Roman" w:hAnsi="Times New Roman"/>
                <w:sz w:val="28"/>
                <w:szCs w:val="28"/>
                <w:shd w:val="clear" w:color="auto" w:fill="FFFFFF"/>
              </w:rPr>
              <w:t xml:space="preserve">îndeplinirea </w:t>
            </w:r>
            <w:r w:rsidR="00955946">
              <w:rPr>
                <w:rFonts w:ascii="Times New Roman" w:hAnsi="Times New Roman"/>
                <w:sz w:val="28"/>
                <w:szCs w:val="28"/>
                <w:shd w:val="clear" w:color="auto" w:fill="FFFFFF"/>
              </w:rPr>
              <w:t>angajamentelor</w:t>
            </w:r>
            <w:r w:rsidR="00E44D78" w:rsidRPr="00E44D78">
              <w:rPr>
                <w:rFonts w:ascii="Times New Roman" w:hAnsi="Times New Roman"/>
                <w:sz w:val="28"/>
                <w:szCs w:val="28"/>
                <w:shd w:val="clear" w:color="auto" w:fill="FFFFFF"/>
              </w:rPr>
              <w:t xml:space="preserve"> asumate în </w:t>
            </w:r>
            <w:r w:rsidR="00633B04">
              <w:rPr>
                <w:rFonts w:ascii="Times New Roman" w:hAnsi="Times New Roman"/>
                <w:sz w:val="28"/>
                <w:szCs w:val="28"/>
                <w:shd w:val="clear" w:color="auto" w:fill="FFFFFF"/>
              </w:rPr>
              <w:t xml:space="preserve">baza </w:t>
            </w:r>
            <w:r w:rsidR="00E44D78" w:rsidRPr="00E44D78">
              <w:rPr>
                <w:rFonts w:ascii="Times New Roman" w:hAnsi="Times New Roman"/>
                <w:sz w:val="28"/>
                <w:szCs w:val="28"/>
                <w:lang w:eastAsia="en-GB"/>
              </w:rPr>
              <w:t>Acordul</w:t>
            </w:r>
            <w:r w:rsidR="00633B04">
              <w:rPr>
                <w:rFonts w:ascii="Times New Roman" w:hAnsi="Times New Roman"/>
                <w:sz w:val="28"/>
                <w:szCs w:val="28"/>
                <w:lang w:eastAsia="en-GB"/>
              </w:rPr>
              <w:t>ui</w:t>
            </w:r>
            <w:r w:rsidR="00E44D78" w:rsidRPr="00E44D78">
              <w:rPr>
                <w:rFonts w:ascii="Times New Roman" w:hAnsi="Times New Roman"/>
                <w:sz w:val="28"/>
                <w:szCs w:val="28"/>
                <w:lang w:eastAsia="en-GB"/>
              </w:rPr>
              <w:t xml:space="preserve"> de Asociere între Uniunea Europeană și Comunitatea Europeană a Energiei Atomice și statele membre ale acestora, pe de o parte, și Republica Moldova, pe de altă parte</w:t>
            </w:r>
            <w:r w:rsidR="00E44D78">
              <w:rPr>
                <w:rFonts w:ascii="Times New Roman" w:hAnsi="Times New Roman"/>
                <w:sz w:val="28"/>
                <w:szCs w:val="28"/>
                <w:lang w:eastAsia="en-GB"/>
              </w:rPr>
              <w:t xml:space="preserve">, </w:t>
            </w:r>
            <w:r w:rsidR="001D2D56">
              <w:rPr>
                <w:rFonts w:ascii="Times New Roman" w:hAnsi="Times New Roman"/>
                <w:sz w:val="28"/>
                <w:szCs w:val="28"/>
                <w:shd w:val="clear" w:color="auto" w:fill="FFFFFF"/>
              </w:rPr>
              <w:t>executării Planului de acțiuni al Guvernului pentru anul 2023</w:t>
            </w:r>
            <w:r w:rsidR="00670A9C">
              <w:rPr>
                <w:rFonts w:ascii="Times New Roman" w:hAnsi="Times New Roman"/>
                <w:sz w:val="28"/>
                <w:szCs w:val="28"/>
                <w:shd w:val="clear" w:color="auto" w:fill="FFFFFF"/>
              </w:rPr>
              <w:t xml:space="preserve"> (acțiunea nr. </w:t>
            </w:r>
            <w:r w:rsidR="00633B04">
              <w:rPr>
                <w:rFonts w:ascii="Times New Roman" w:hAnsi="Times New Roman"/>
                <w:sz w:val="28"/>
                <w:szCs w:val="28"/>
                <w:shd w:val="clear" w:color="auto" w:fill="FFFFFF"/>
              </w:rPr>
              <w:t>6</w:t>
            </w:r>
            <w:r w:rsidR="00670A9C">
              <w:rPr>
                <w:rFonts w:ascii="Times New Roman" w:hAnsi="Times New Roman"/>
                <w:sz w:val="28"/>
                <w:szCs w:val="28"/>
                <w:shd w:val="clear" w:color="auto" w:fill="FFFFFF"/>
              </w:rPr>
              <w:t>.2)</w:t>
            </w:r>
            <w:r w:rsidR="00633B04">
              <w:rPr>
                <w:rFonts w:ascii="Times New Roman" w:hAnsi="Times New Roman"/>
                <w:sz w:val="28"/>
                <w:szCs w:val="28"/>
                <w:shd w:val="clear" w:color="auto" w:fill="FFFFFF"/>
              </w:rPr>
              <w:t>, aprobat prin Hotărârea Guvernului nr. 90/2023</w:t>
            </w:r>
            <w:r w:rsidR="004D386D">
              <w:rPr>
                <w:rFonts w:ascii="Times New Roman" w:hAnsi="Times New Roman"/>
                <w:sz w:val="28"/>
                <w:szCs w:val="28"/>
                <w:shd w:val="clear" w:color="auto" w:fill="FFFFFF"/>
              </w:rPr>
              <w:t xml:space="preserve"> și</w:t>
            </w:r>
            <w:r w:rsidR="00633B04">
              <w:rPr>
                <w:rFonts w:ascii="Times New Roman" w:hAnsi="Times New Roman"/>
                <w:sz w:val="28"/>
                <w:szCs w:val="28"/>
                <w:shd w:val="clear" w:color="auto" w:fill="FFFFFF"/>
              </w:rPr>
              <w:t xml:space="preserve"> </w:t>
            </w:r>
            <w:r w:rsidR="001D2D56">
              <w:rPr>
                <w:rFonts w:ascii="Times New Roman" w:hAnsi="Times New Roman"/>
                <w:sz w:val="28"/>
                <w:szCs w:val="28"/>
                <w:shd w:val="clear" w:color="auto" w:fill="FFFFFF"/>
              </w:rPr>
              <w:t xml:space="preserve">Planului de </w:t>
            </w:r>
            <w:r w:rsidR="0086180C">
              <w:rPr>
                <w:rFonts w:ascii="Times New Roman" w:hAnsi="Times New Roman"/>
                <w:sz w:val="28"/>
                <w:szCs w:val="28"/>
                <w:shd w:val="clear" w:color="auto" w:fill="FFFFFF"/>
              </w:rPr>
              <w:t xml:space="preserve">activitate </w:t>
            </w:r>
            <w:r w:rsidR="001D2D56">
              <w:rPr>
                <w:rFonts w:ascii="Times New Roman" w:hAnsi="Times New Roman"/>
                <w:sz w:val="28"/>
                <w:szCs w:val="28"/>
                <w:shd w:val="clear" w:color="auto" w:fill="FFFFFF"/>
              </w:rPr>
              <w:t>al MAI pentru anul 2023</w:t>
            </w:r>
            <w:r w:rsidR="00670A9C">
              <w:rPr>
                <w:rFonts w:ascii="Times New Roman" w:hAnsi="Times New Roman"/>
                <w:sz w:val="28"/>
                <w:szCs w:val="28"/>
                <w:shd w:val="clear" w:color="auto" w:fill="FFFFFF"/>
              </w:rPr>
              <w:t xml:space="preserve"> (acțiunea nr. </w:t>
            </w:r>
            <w:r w:rsidR="004039A2">
              <w:rPr>
                <w:rFonts w:ascii="Times New Roman" w:hAnsi="Times New Roman"/>
                <w:sz w:val="28"/>
                <w:szCs w:val="28"/>
                <w:shd w:val="clear" w:color="auto" w:fill="FFFFFF"/>
              </w:rPr>
              <w:t>52</w:t>
            </w:r>
            <w:r w:rsidR="00670A9C">
              <w:rPr>
                <w:rFonts w:ascii="Times New Roman" w:hAnsi="Times New Roman"/>
                <w:sz w:val="28"/>
                <w:szCs w:val="28"/>
                <w:shd w:val="clear" w:color="auto" w:fill="FFFFFF"/>
              </w:rPr>
              <w:t>)</w:t>
            </w:r>
            <w:r w:rsidR="00633B04" w:rsidRPr="00633B04">
              <w:rPr>
                <w:rFonts w:ascii="Times New Roman" w:hAnsi="Times New Roman"/>
                <w:sz w:val="28"/>
                <w:szCs w:val="28"/>
              </w:rPr>
              <w:t>.</w:t>
            </w:r>
          </w:p>
          <w:p w14:paraId="25771A00" w14:textId="77777777" w:rsidR="00E44D78" w:rsidRPr="00E44D78" w:rsidRDefault="00E44D78" w:rsidP="00E44D78">
            <w:pPr>
              <w:tabs>
                <w:tab w:val="left" w:pos="888"/>
              </w:tabs>
              <w:spacing w:after="0" w:line="240" w:lineRule="auto"/>
              <w:ind w:left="31" w:right="31" w:firstLine="567"/>
              <w:jc w:val="both"/>
              <w:rPr>
                <w:rFonts w:ascii="Times New Roman" w:hAnsi="Times New Roman"/>
                <w:sz w:val="28"/>
                <w:szCs w:val="28"/>
                <w:shd w:val="clear" w:color="auto" w:fill="FFFFFF"/>
              </w:rPr>
            </w:pPr>
            <w:r w:rsidRPr="00E44D78">
              <w:rPr>
                <w:rFonts w:ascii="Times New Roman" w:hAnsi="Times New Roman"/>
                <w:iCs/>
                <w:sz w:val="28"/>
                <w:szCs w:val="28"/>
                <w:lang w:eastAsia="ru-RU"/>
              </w:rPr>
              <w:t xml:space="preserve">Supravegherea și controlul de stat asupra circulației materialelor explozive cu destinație civilă, în prezent se efectuează în baza Hotărârii Guvernului nr. 1324/2016 </w:t>
            </w:r>
            <w:r w:rsidRPr="00E44D78">
              <w:rPr>
                <w:rFonts w:ascii="Times New Roman" w:hAnsi="Times New Roman"/>
                <w:i/>
                <w:iCs/>
                <w:sz w:val="28"/>
                <w:szCs w:val="28"/>
                <w:lang w:eastAsia="ru-RU"/>
              </w:rPr>
              <w:t>pentru aprobarea Reglementării tehnice privind cerințele esențiale de securitate ale explozivilor de uz civil, punerea la dispoziție pe piață și controlul explozivilor de uz civil</w:t>
            </w:r>
            <w:r w:rsidRPr="00E44D78">
              <w:rPr>
                <w:rFonts w:ascii="Times New Roman" w:hAnsi="Times New Roman"/>
                <w:iCs/>
                <w:sz w:val="28"/>
                <w:szCs w:val="28"/>
                <w:lang w:eastAsia="ru-RU"/>
              </w:rPr>
              <w:t xml:space="preserve"> și Hotărârii Guvernului nr. 1236/2016 </w:t>
            </w:r>
            <w:r w:rsidRPr="00E44D78">
              <w:rPr>
                <w:rFonts w:ascii="Times New Roman" w:hAnsi="Times New Roman"/>
                <w:i/>
                <w:iCs/>
                <w:sz w:val="28"/>
                <w:szCs w:val="28"/>
                <w:lang w:eastAsia="ru-RU"/>
              </w:rPr>
              <w:t xml:space="preserve">pentru aprobarea Reglementării tehnice privind instituirea unui sistem de identificare și trasabilitate a explozivilor de uz civil, </w:t>
            </w:r>
            <w:r w:rsidRPr="00E44D78">
              <w:rPr>
                <w:rFonts w:ascii="Times New Roman" w:hAnsi="Times New Roman"/>
                <w:iCs/>
                <w:sz w:val="28"/>
                <w:szCs w:val="28"/>
                <w:lang w:eastAsia="ru-RU"/>
              </w:rPr>
              <w:t xml:space="preserve">care conțin reglementări cu privire libera circulație, obligațiile operatorilor economici, transportul explozivilor, derogări din motive de siguranță, schimbul de informații, </w:t>
            </w:r>
            <w:r w:rsidRPr="00E44D78">
              <w:rPr>
                <w:rFonts w:ascii="Times New Roman" w:hAnsi="Times New Roman"/>
                <w:iCs/>
                <w:sz w:val="28"/>
                <w:szCs w:val="28"/>
              </w:rPr>
              <w:t xml:space="preserve">identificarea și trasabilitatea explozibililor, </w:t>
            </w:r>
            <w:r w:rsidRPr="00E44D78">
              <w:rPr>
                <w:rStyle w:val="a7"/>
                <w:rFonts w:ascii="Times New Roman" w:hAnsi="Times New Roman"/>
                <w:b w:val="0"/>
                <w:bCs w:val="0"/>
                <w:sz w:val="28"/>
                <w:szCs w:val="28"/>
                <w:shd w:val="clear" w:color="auto" w:fill="FFFFFF"/>
              </w:rPr>
              <w:t>licențe sau autorizații,</w:t>
            </w:r>
            <w:r w:rsidRPr="00E44D78">
              <w:rPr>
                <w:rFonts w:ascii="Times New Roman" w:hAnsi="Times New Roman"/>
                <w:b/>
                <w:bCs/>
                <w:sz w:val="28"/>
                <w:szCs w:val="28"/>
                <w:shd w:val="clear" w:color="auto" w:fill="FFFFFF"/>
              </w:rPr>
              <w:t xml:space="preserve"> </w:t>
            </w:r>
            <w:r w:rsidRPr="00E44D78">
              <w:rPr>
                <w:rStyle w:val="a7"/>
                <w:rFonts w:ascii="Times New Roman" w:hAnsi="Times New Roman"/>
                <w:b w:val="0"/>
                <w:bCs w:val="0"/>
                <w:sz w:val="28"/>
                <w:szCs w:val="28"/>
                <w:shd w:val="clear" w:color="auto" w:fill="FFFFFF"/>
              </w:rPr>
              <w:t>ridicarea și confiscarea,</w:t>
            </w:r>
            <w:r w:rsidRPr="00E44D78">
              <w:rPr>
                <w:rStyle w:val="a7"/>
                <w:rFonts w:ascii="Times New Roman" w:hAnsi="Times New Roman"/>
                <w:sz w:val="28"/>
                <w:szCs w:val="28"/>
                <w:shd w:val="clear" w:color="auto" w:fill="FFFFFF"/>
              </w:rPr>
              <w:t xml:space="preserve"> </w:t>
            </w:r>
            <w:r w:rsidRPr="00E44D78">
              <w:rPr>
                <w:rFonts w:ascii="Times New Roman" w:hAnsi="Times New Roman"/>
                <w:sz w:val="28"/>
                <w:szCs w:val="28"/>
                <w:shd w:val="clear" w:color="auto" w:fill="FFFFFF"/>
              </w:rPr>
              <w:t>conformitatea explozibililor, supravegherea pieței</w:t>
            </w:r>
            <w:r w:rsidRPr="00E44D78">
              <w:rPr>
                <w:rFonts w:ascii="Times New Roman" w:hAnsi="Times New Roman"/>
                <w:i/>
                <w:iCs/>
                <w:sz w:val="28"/>
                <w:szCs w:val="28"/>
                <w:lang w:eastAsia="ru-RU"/>
              </w:rPr>
              <w:t xml:space="preserve">, </w:t>
            </w:r>
            <w:r w:rsidRPr="00E44D78">
              <w:rPr>
                <w:rFonts w:ascii="Times New Roman" w:hAnsi="Times New Roman"/>
                <w:iCs/>
                <w:sz w:val="28"/>
                <w:szCs w:val="28"/>
                <w:lang w:eastAsia="ru-RU"/>
              </w:rPr>
              <w:t>care în cele mai dese cazuri creează situații de interpretare privind aplicarea normelor, dintre autoritățile și instituțiile statului cu atribuții de control și supraveghere a pieței și agenții economici care efectuează operațiuni cu materiale explozive de uz civil.</w:t>
            </w:r>
          </w:p>
          <w:p w14:paraId="652D3403" w14:textId="77777777" w:rsidR="00E44D78" w:rsidRPr="00E44D78" w:rsidRDefault="00E44D78" w:rsidP="00E44D78">
            <w:pPr>
              <w:tabs>
                <w:tab w:val="left" w:pos="888"/>
              </w:tabs>
              <w:spacing w:after="0" w:line="240" w:lineRule="auto"/>
              <w:ind w:left="31" w:right="31" w:firstLine="567"/>
              <w:jc w:val="both"/>
              <w:rPr>
                <w:rFonts w:ascii="Times New Roman" w:hAnsi="Times New Roman"/>
                <w:iCs/>
                <w:sz w:val="28"/>
                <w:szCs w:val="28"/>
                <w:lang w:eastAsia="ru-RU"/>
              </w:rPr>
            </w:pPr>
            <w:r w:rsidRPr="00E44D78">
              <w:rPr>
                <w:rFonts w:ascii="Times New Roman" w:hAnsi="Times New Roman"/>
                <w:iCs/>
                <w:sz w:val="28"/>
                <w:szCs w:val="28"/>
                <w:lang w:eastAsia="ru-RU"/>
              </w:rPr>
              <w:t xml:space="preserve">De menționat că, actele normative naționale nu reglementează în totalitate aspectele și raporturile juridice prevăzute de Directiva 2014/28/UE a Parlamentului European și a Consiliului, </w:t>
            </w:r>
            <w:r w:rsidRPr="00E44D78">
              <w:rPr>
                <w:rFonts w:ascii="Times New Roman" w:hAnsi="Times New Roman"/>
                <w:i/>
                <w:iCs/>
                <w:sz w:val="28"/>
                <w:szCs w:val="28"/>
                <w:lang w:eastAsia="ru-RU"/>
              </w:rPr>
              <w:t>privind armonizarea legislației statelor membre referitoare la punerea la dispoziție pe</w:t>
            </w:r>
            <w:r w:rsidRPr="00E44D78">
              <w:rPr>
                <w:rFonts w:ascii="Times New Roman" w:hAnsi="Times New Roman"/>
                <w:iCs/>
                <w:sz w:val="28"/>
                <w:szCs w:val="28"/>
                <w:lang w:eastAsia="ru-RU"/>
              </w:rPr>
              <w:t xml:space="preserve"> </w:t>
            </w:r>
            <w:r w:rsidRPr="00E44D78">
              <w:rPr>
                <w:rFonts w:ascii="Times New Roman" w:hAnsi="Times New Roman"/>
                <w:i/>
                <w:iCs/>
                <w:sz w:val="28"/>
                <w:szCs w:val="28"/>
                <w:lang w:eastAsia="ru-RU"/>
              </w:rPr>
              <w:t>piață și controlul explozivilor de uz civil (reformare)</w:t>
            </w:r>
            <w:r w:rsidRPr="00E44D78">
              <w:rPr>
                <w:rFonts w:ascii="Times New Roman" w:hAnsi="Times New Roman"/>
                <w:iCs/>
                <w:sz w:val="28"/>
                <w:szCs w:val="28"/>
                <w:lang w:eastAsia="ru-RU"/>
              </w:rPr>
              <w:t>, inclusiv, r</w:t>
            </w:r>
            <w:r w:rsidR="00CD370A">
              <w:rPr>
                <w:rFonts w:ascii="Times New Roman" w:hAnsi="Times New Roman"/>
                <w:iCs/>
                <w:sz w:val="28"/>
                <w:szCs w:val="28"/>
                <w:lang w:eastAsia="ru-RU"/>
              </w:rPr>
              <w:t xml:space="preserve">eferind </w:t>
            </w:r>
            <w:r w:rsidRPr="00E44D78">
              <w:rPr>
                <w:rFonts w:ascii="Times New Roman" w:hAnsi="Times New Roman"/>
                <w:iCs/>
                <w:sz w:val="28"/>
                <w:szCs w:val="28"/>
                <w:lang w:eastAsia="ru-RU"/>
              </w:rPr>
              <w:t>prevederile legale la situația actuală, au fost stabilite următoarele aspecte care determină divergențe la introducerea pe piață a materialelor explozive de uz civil, precum și efectuarea operațiunilor cu acestea:</w:t>
            </w:r>
          </w:p>
          <w:p w14:paraId="123131E8" w14:textId="77777777" w:rsidR="00E44D78" w:rsidRPr="00E44D78" w:rsidRDefault="00E44D78" w:rsidP="00E44D78">
            <w:pPr>
              <w:numPr>
                <w:ilvl w:val="0"/>
                <w:numId w:val="14"/>
              </w:numPr>
              <w:tabs>
                <w:tab w:val="left" w:pos="888"/>
              </w:tabs>
              <w:spacing w:after="0" w:line="240" w:lineRule="auto"/>
              <w:ind w:left="31" w:right="31" w:firstLine="567"/>
              <w:jc w:val="both"/>
              <w:rPr>
                <w:rFonts w:ascii="Times New Roman" w:hAnsi="Times New Roman"/>
                <w:sz w:val="28"/>
                <w:szCs w:val="28"/>
                <w:lang w:eastAsia="ru-RU"/>
              </w:rPr>
            </w:pPr>
            <w:r w:rsidRPr="00E44D78">
              <w:rPr>
                <w:rFonts w:ascii="Times New Roman" w:hAnsi="Times New Roman"/>
                <w:sz w:val="28"/>
                <w:szCs w:val="28"/>
                <w:lang w:eastAsia="ru-RU"/>
              </w:rPr>
              <w:t>Noțiunile și termenii utilizați pe domeniul explozivilor de uz civil;</w:t>
            </w:r>
          </w:p>
          <w:p w14:paraId="04544A75" w14:textId="77777777" w:rsidR="00E44D78" w:rsidRPr="00E44D78" w:rsidRDefault="00E44D78" w:rsidP="00E44D78">
            <w:pPr>
              <w:numPr>
                <w:ilvl w:val="0"/>
                <w:numId w:val="14"/>
              </w:numPr>
              <w:tabs>
                <w:tab w:val="left" w:pos="888"/>
              </w:tabs>
              <w:spacing w:after="0" w:line="240" w:lineRule="auto"/>
              <w:ind w:left="31" w:right="31" w:firstLine="567"/>
              <w:jc w:val="both"/>
              <w:rPr>
                <w:rFonts w:ascii="Times New Roman" w:hAnsi="Times New Roman"/>
                <w:sz w:val="28"/>
                <w:szCs w:val="28"/>
                <w:lang w:eastAsia="ru-RU"/>
              </w:rPr>
            </w:pPr>
            <w:r w:rsidRPr="00E44D78">
              <w:rPr>
                <w:rFonts w:ascii="Times New Roman" w:hAnsi="Times New Roman"/>
                <w:sz w:val="28"/>
                <w:szCs w:val="28"/>
                <w:lang w:eastAsia="ru-RU"/>
              </w:rPr>
              <w:lastRenderedPageBreak/>
              <w:t>Delimitarea competențelor autorităților de reglementare, autorităților și instituțiilor de supraveghere și control a pieței în ceea ce privește materialele explozive de uz civil;</w:t>
            </w:r>
          </w:p>
          <w:p w14:paraId="30B90E52" w14:textId="77777777" w:rsidR="00E44D78" w:rsidRPr="00E44D78" w:rsidRDefault="00E44D78" w:rsidP="00E44D78">
            <w:pPr>
              <w:numPr>
                <w:ilvl w:val="0"/>
                <w:numId w:val="14"/>
              </w:numPr>
              <w:tabs>
                <w:tab w:val="left" w:pos="888"/>
              </w:tabs>
              <w:spacing w:after="0" w:line="240" w:lineRule="auto"/>
              <w:ind w:left="31" w:right="31" w:firstLine="567"/>
              <w:jc w:val="both"/>
              <w:rPr>
                <w:rFonts w:ascii="Times New Roman" w:hAnsi="Times New Roman"/>
                <w:sz w:val="28"/>
                <w:szCs w:val="28"/>
                <w:lang w:eastAsia="ru-RU"/>
              </w:rPr>
            </w:pPr>
            <w:r w:rsidRPr="00E44D78">
              <w:rPr>
                <w:rFonts w:ascii="Times New Roman" w:hAnsi="Times New Roman"/>
                <w:sz w:val="28"/>
                <w:szCs w:val="28"/>
                <w:lang w:eastAsia="ru-RU"/>
              </w:rPr>
              <w:t>Restricții și interdicții la folosirea, transportarea, păstrarea, depozitarea și înstrăinarea materialelor explozive de uz civil;</w:t>
            </w:r>
          </w:p>
          <w:p w14:paraId="466732E2" w14:textId="77777777" w:rsidR="00E44D78" w:rsidRPr="00E44D78" w:rsidRDefault="00E44D78" w:rsidP="00E44D78">
            <w:pPr>
              <w:numPr>
                <w:ilvl w:val="0"/>
                <w:numId w:val="14"/>
              </w:numPr>
              <w:tabs>
                <w:tab w:val="left" w:pos="888"/>
              </w:tabs>
              <w:spacing w:after="0" w:line="240" w:lineRule="auto"/>
              <w:ind w:left="31" w:right="31" w:firstLine="567"/>
              <w:jc w:val="both"/>
              <w:rPr>
                <w:rFonts w:ascii="Times New Roman" w:hAnsi="Times New Roman"/>
                <w:sz w:val="28"/>
                <w:szCs w:val="28"/>
                <w:lang w:eastAsia="ru-RU"/>
              </w:rPr>
            </w:pPr>
            <w:r w:rsidRPr="00E44D78">
              <w:rPr>
                <w:rFonts w:ascii="Times New Roman" w:hAnsi="Times New Roman"/>
                <w:sz w:val="28"/>
                <w:szCs w:val="28"/>
                <w:lang w:eastAsia="ru-RU"/>
              </w:rPr>
              <w:t>Punerea la dispoziție pe piață a explozivilor de uz civil, care urmează să îndeplinească cerințele esențiale de securitate;</w:t>
            </w:r>
          </w:p>
          <w:p w14:paraId="0017F2CE" w14:textId="77777777" w:rsidR="00E44D78" w:rsidRPr="00E44D78" w:rsidRDefault="00E44D78" w:rsidP="00E44D78">
            <w:pPr>
              <w:numPr>
                <w:ilvl w:val="0"/>
                <w:numId w:val="14"/>
              </w:numPr>
              <w:tabs>
                <w:tab w:val="left" w:pos="888"/>
              </w:tabs>
              <w:spacing w:after="0" w:line="240" w:lineRule="auto"/>
              <w:ind w:left="31" w:right="31" w:firstLine="567"/>
              <w:jc w:val="both"/>
              <w:rPr>
                <w:rFonts w:ascii="Times New Roman" w:hAnsi="Times New Roman"/>
                <w:sz w:val="28"/>
                <w:szCs w:val="28"/>
                <w:lang w:eastAsia="ru-RU"/>
              </w:rPr>
            </w:pPr>
            <w:r w:rsidRPr="00E44D78">
              <w:rPr>
                <w:rFonts w:ascii="Times New Roman" w:hAnsi="Times New Roman"/>
                <w:sz w:val="28"/>
                <w:szCs w:val="28"/>
                <w:lang w:eastAsia="ru-RU"/>
              </w:rPr>
              <w:t>Clasificarea și etichetarea materialelor explozive de uz civil;</w:t>
            </w:r>
          </w:p>
          <w:p w14:paraId="31CA6F20" w14:textId="77777777" w:rsidR="00E44D78" w:rsidRPr="00E44D78" w:rsidRDefault="00E44D78" w:rsidP="00E44D78">
            <w:pPr>
              <w:numPr>
                <w:ilvl w:val="0"/>
                <w:numId w:val="14"/>
              </w:numPr>
              <w:tabs>
                <w:tab w:val="left" w:pos="888"/>
              </w:tabs>
              <w:spacing w:after="0" w:line="240" w:lineRule="auto"/>
              <w:ind w:left="31" w:right="31" w:firstLine="567"/>
              <w:jc w:val="both"/>
              <w:rPr>
                <w:rFonts w:ascii="Times New Roman" w:hAnsi="Times New Roman"/>
                <w:sz w:val="28"/>
                <w:szCs w:val="28"/>
                <w:lang w:eastAsia="ru-RU"/>
              </w:rPr>
            </w:pPr>
            <w:r w:rsidRPr="00E44D78">
              <w:rPr>
                <w:rFonts w:ascii="Times New Roman" w:hAnsi="Times New Roman"/>
                <w:sz w:val="28"/>
                <w:szCs w:val="28"/>
                <w:lang w:eastAsia="ru-RU"/>
              </w:rPr>
              <w:t xml:space="preserve">Punerea la dispoziție pe piață a materialelor explozive de uz civil, </w:t>
            </w:r>
          </w:p>
          <w:p w14:paraId="3E15F17F" w14:textId="77777777" w:rsidR="00E44D78" w:rsidRPr="00E44D78" w:rsidRDefault="00E2353E" w:rsidP="00E44D78">
            <w:pPr>
              <w:numPr>
                <w:ilvl w:val="0"/>
                <w:numId w:val="14"/>
              </w:numPr>
              <w:tabs>
                <w:tab w:val="left" w:pos="888"/>
              </w:tabs>
              <w:spacing w:after="0" w:line="240" w:lineRule="auto"/>
              <w:ind w:left="31" w:right="31" w:firstLine="567"/>
              <w:jc w:val="both"/>
              <w:rPr>
                <w:rFonts w:ascii="Times New Roman" w:hAnsi="Times New Roman"/>
                <w:sz w:val="28"/>
                <w:szCs w:val="28"/>
                <w:lang w:eastAsia="ru-RU"/>
              </w:rPr>
            </w:pPr>
            <w:r>
              <w:rPr>
                <w:rFonts w:ascii="Times New Roman" w:hAnsi="Times New Roman"/>
                <w:sz w:val="28"/>
                <w:szCs w:val="28"/>
                <w:lang w:eastAsia="ru-RU"/>
              </w:rPr>
              <w:t>U</w:t>
            </w:r>
            <w:r w:rsidR="00E44D78" w:rsidRPr="00E44D78">
              <w:rPr>
                <w:rFonts w:ascii="Times New Roman" w:hAnsi="Times New Roman"/>
                <w:sz w:val="28"/>
                <w:szCs w:val="28"/>
                <w:lang w:eastAsia="ru-RU"/>
              </w:rPr>
              <w:t>tilizarea materialelor explozive de uz civil;</w:t>
            </w:r>
          </w:p>
          <w:p w14:paraId="6ADE7890" w14:textId="77777777" w:rsidR="00E44D78" w:rsidRPr="00E44D78" w:rsidRDefault="00E2353E" w:rsidP="00E44D78">
            <w:pPr>
              <w:numPr>
                <w:ilvl w:val="0"/>
                <w:numId w:val="14"/>
              </w:numPr>
              <w:tabs>
                <w:tab w:val="left" w:pos="888"/>
              </w:tabs>
              <w:spacing w:after="0" w:line="240" w:lineRule="auto"/>
              <w:ind w:left="31" w:right="31" w:firstLine="567"/>
              <w:jc w:val="both"/>
              <w:rPr>
                <w:rFonts w:ascii="Times New Roman" w:hAnsi="Times New Roman"/>
                <w:sz w:val="28"/>
                <w:szCs w:val="28"/>
                <w:lang w:val="ro-MD"/>
              </w:rPr>
            </w:pPr>
            <w:r>
              <w:rPr>
                <w:rFonts w:ascii="Times New Roman" w:hAnsi="Times New Roman"/>
                <w:sz w:val="28"/>
                <w:szCs w:val="28"/>
                <w:lang w:eastAsia="ru-RU"/>
              </w:rPr>
              <w:t>R</w:t>
            </w:r>
            <w:r w:rsidR="00E44D78" w:rsidRPr="00E44D78">
              <w:rPr>
                <w:rFonts w:ascii="Times New Roman" w:hAnsi="Times New Roman"/>
                <w:sz w:val="28"/>
                <w:szCs w:val="28"/>
                <w:lang w:eastAsia="ru-RU"/>
              </w:rPr>
              <w:t xml:space="preserve">egimul operațiunilor cu materiale explozive de uz civil </w:t>
            </w:r>
            <w:r w:rsidR="00E44D78" w:rsidRPr="00E44D78">
              <w:rPr>
                <w:rFonts w:ascii="Times New Roman" w:hAnsi="Times New Roman"/>
                <w:i/>
                <w:iCs/>
                <w:sz w:val="28"/>
                <w:szCs w:val="28"/>
                <w:lang w:eastAsia="ru-RU"/>
              </w:rPr>
              <w:t xml:space="preserve">(Notificarea și confirmarea accesului la operațiunile cu materiale explozive, </w:t>
            </w:r>
            <w:r w:rsidR="00E44D78" w:rsidRPr="00E44D78">
              <w:rPr>
                <w:rFonts w:ascii="Times New Roman" w:hAnsi="Times New Roman"/>
                <w:i/>
                <w:iCs/>
                <w:sz w:val="28"/>
                <w:szCs w:val="28"/>
                <w:lang w:val="ro-MD"/>
              </w:rPr>
              <w:t>Efectuarea operațiunilor cu materiale explozive, Condițiile de licențiere, Prepararea și încătușarea amestecurilor explozive simple la locul de utilizare, testarea explozivilor, Depozitarea materialelor explozive, Comercializarea sau transmiterea materialelor explozive</w:t>
            </w:r>
            <w:r w:rsidR="00E44D78" w:rsidRPr="00E44D78">
              <w:rPr>
                <w:rFonts w:ascii="Times New Roman" w:hAnsi="Times New Roman"/>
                <w:i/>
                <w:iCs/>
                <w:sz w:val="28"/>
                <w:szCs w:val="28"/>
              </w:rPr>
              <w:t>, Condiții de transportare a materialelor explozive,</w:t>
            </w:r>
            <w:r w:rsidR="00E44D78" w:rsidRPr="00E44D78">
              <w:rPr>
                <w:rFonts w:ascii="Times New Roman" w:hAnsi="Times New Roman"/>
                <w:i/>
                <w:iCs/>
              </w:rPr>
              <w:t xml:space="preserve"> </w:t>
            </w:r>
            <w:r w:rsidR="00E44D78" w:rsidRPr="00E44D78">
              <w:rPr>
                <w:rFonts w:ascii="Times New Roman" w:hAnsi="Times New Roman"/>
                <w:i/>
                <w:iCs/>
                <w:sz w:val="28"/>
                <w:szCs w:val="28"/>
                <w:lang w:val="ro-MD"/>
              </w:rPr>
              <w:t>Utilizarea și distrugerea materialelor explozive, Autorizarea operațiunilor cu materiale explozive etc.)</w:t>
            </w:r>
            <w:r w:rsidR="00E44D78" w:rsidRPr="00E44D78">
              <w:rPr>
                <w:rFonts w:ascii="Times New Roman" w:hAnsi="Times New Roman"/>
                <w:sz w:val="28"/>
                <w:szCs w:val="28"/>
                <w:lang w:eastAsia="ru-RU"/>
              </w:rPr>
              <w:t>;</w:t>
            </w:r>
          </w:p>
          <w:p w14:paraId="73C42DF0" w14:textId="77777777" w:rsidR="00E44D78" w:rsidRPr="00E44D78" w:rsidRDefault="00E2353E" w:rsidP="00E44D78">
            <w:pPr>
              <w:numPr>
                <w:ilvl w:val="0"/>
                <w:numId w:val="14"/>
              </w:numPr>
              <w:tabs>
                <w:tab w:val="left" w:pos="888"/>
              </w:tabs>
              <w:spacing w:after="0" w:line="240" w:lineRule="auto"/>
              <w:ind w:left="31" w:right="31" w:firstLine="567"/>
              <w:jc w:val="both"/>
              <w:rPr>
                <w:rFonts w:ascii="Times New Roman" w:hAnsi="Times New Roman"/>
                <w:sz w:val="28"/>
                <w:szCs w:val="28"/>
                <w:lang w:eastAsia="ru-RU"/>
              </w:rPr>
            </w:pPr>
            <w:r>
              <w:rPr>
                <w:rFonts w:ascii="Times New Roman" w:hAnsi="Times New Roman"/>
                <w:sz w:val="28"/>
                <w:szCs w:val="28"/>
                <w:lang w:eastAsia="ru-RU"/>
              </w:rPr>
              <w:t>A</w:t>
            </w:r>
            <w:r w:rsidR="00E44D78" w:rsidRPr="00E44D78">
              <w:rPr>
                <w:rFonts w:ascii="Times New Roman" w:hAnsi="Times New Roman"/>
                <w:sz w:val="28"/>
                <w:szCs w:val="28"/>
                <w:lang w:eastAsia="ru-RU"/>
              </w:rPr>
              <w:t>testarea artificierilor pentru utilizarea materialelor explozive;</w:t>
            </w:r>
          </w:p>
          <w:p w14:paraId="48233351" w14:textId="77777777" w:rsidR="00E44D78" w:rsidRPr="00E44D78" w:rsidRDefault="00E2353E" w:rsidP="00E44D78">
            <w:pPr>
              <w:numPr>
                <w:ilvl w:val="0"/>
                <w:numId w:val="14"/>
              </w:numPr>
              <w:tabs>
                <w:tab w:val="left" w:pos="888"/>
              </w:tabs>
              <w:spacing w:after="0" w:line="240" w:lineRule="auto"/>
              <w:ind w:left="31" w:right="31" w:firstLine="567"/>
              <w:jc w:val="both"/>
              <w:rPr>
                <w:rFonts w:ascii="Times New Roman" w:hAnsi="Times New Roman"/>
                <w:sz w:val="28"/>
                <w:szCs w:val="28"/>
                <w:lang w:eastAsia="ru-RU"/>
              </w:rPr>
            </w:pPr>
            <w:r>
              <w:rPr>
                <w:rFonts w:ascii="Times New Roman" w:hAnsi="Times New Roman"/>
                <w:sz w:val="28"/>
                <w:szCs w:val="28"/>
                <w:lang w:eastAsia="ru-RU"/>
              </w:rPr>
              <w:t>C</w:t>
            </w:r>
            <w:r w:rsidR="00E44D78" w:rsidRPr="00E44D78">
              <w:rPr>
                <w:rFonts w:ascii="Times New Roman" w:hAnsi="Times New Roman"/>
                <w:sz w:val="28"/>
                <w:szCs w:val="28"/>
                <w:lang w:eastAsia="ru-RU"/>
              </w:rPr>
              <w:t>ontrolul privind respectarea regimului materialelor explozive</w:t>
            </w:r>
          </w:p>
          <w:p w14:paraId="09749042" w14:textId="77777777" w:rsidR="00E44D78" w:rsidRPr="00E44D78" w:rsidRDefault="00E44D78" w:rsidP="00E44D78">
            <w:pPr>
              <w:spacing w:after="0" w:line="240" w:lineRule="auto"/>
              <w:ind w:left="31" w:right="31" w:firstLine="567"/>
              <w:jc w:val="both"/>
              <w:rPr>
                <w:rFonts w:ascii="Times New Roman" w:hAnsi="Times New Roman"/>
                <w:sz w:val="28"/>
                <w:szCs w:val="28"/>
              </w:rPr>
            </w:pPr>
            <w:r w:rsidRPr="00E44D78">
              <w:rPr>
                <w:rFonts w:ascii="Times New Roman" w:hAnsi="Times New Roman"/>
                <w:sz w:val="28"/>
                <w:szCs w:val="28"/>
              </w:rPr>
              <w:t>Datorită faptului că Republica Moldova este țară candidat pentru aderare la Uniunea Europeană, trebuie să creeze un cadru juridic necesar pentru eliminarea unei concurențe neloiale și a barierelor în calea liberei circulații, serviciilor și produselor din domeniul explozivilor de uz civil.</w:t>
            </w:r>
          </w:p>
          <w:p w14:paraId="2C330D94" w14:textId="77777777" w:rsidR="00972879" w:rsidRDefault="00972879" w:rsidP="00E44D78">
            <w:pPr>
              <w:spacing w:after="0" w:line="240" w:lineRule="auto"/>
              <w:ind w:left="31" w:right="31" w:firstLine="567"/>
              <w:jc w:val="both"/>
              <w:rPr>
                <w:rFonts w:ascii="Times New Roman" w:hAnsi="Times New Roman"/>
                <w:sz w:val="28"/>
                <w:szCs w:val="28"/>
                <w:lang w:eastAsia="en-GB"/>
              </w:rPr>
            </w:pPr>
            <w:r w:rsidRPr="00972879">
              <w:rPr>
                <w:rFonts w:ascii="Times New Roman" w:hAnsi="Times New Roman"/>
                <w:sz w:val="28"/>
                <w:szCs w:val="28"/>
                <w:lang w:eastAsia="en-GB"/>
              </w:rPr>
              <w:t>Problemele enunțate mai sus se determină prin faptul că, actualmente, legislația Republicii Moldova ce reglementează regimul materialelor explozive este vagă și contrară, deoarece acest domeniu fiind în mare parte reglementat, în parte ce ține de efectuarea lucrărilor cu materiale explozive, doar prin „Regulile unice de securitate la efectuarea lucrărilor cu exploziv”, aprobate în anul 1992 de către Serviciile supraveghere tehnică de stat din cadrul a 10 state membre a Comunității Statelor Independente, inclusiv și Republica Moldova, care nu este transpus la nivel normativ (versiunea acestuia există doar în limba rusă și nu este publicat) precum și nu corespunde realităților privind efectuarea operațiunilor cu explozivi pe piața din Republica Moldova.</w:t>
            </w:r>
          </w:p>
          <w:p w14:paraId="2553795F" w14:textId="77777777" w:rsidR="00972879" w:rsidRPr="00972879" w:rsidRDefault="00972879" w:rsidP="00972879">
            <w:pPr>
              <w:spacing w:after="0" w:line="240" w:lineRule="auto"/>
              <w:ind w:left="37" w:right="37" w:firstLine="567"/>
              <w:jc w:val="both"/>
              <w:rPr>
                <w:rFonts w:ascii="Times New Roman" w:hAnsi="Times New Roman"/>
                <w:sz w:val="28"/>
                <w:szCs w:val="28"/>
                <w:lang w:eastAsia="en-GB"/>
              </w:rPr>
            </w:pPr>
            <w:r w:rsidRPr="00972879">
              <w:rPr>
                <w:rFonts w:ascii="Times New Roman" w:hAnsi="Times New Roman"/>
                <w:sz w:val="28"/>
                <w:szCs w:val="28"/>
                <w:lang w:eastAsia="en-GB"/>
              </w:rPr>
              <w:t>Toate, aspectele menționate mai sus contravin  prevederilor art. 14 alin. (1) al Legii nr. 235/2006 cu privire la principiile de bază de reglementare a activității de întreprinzător, potrivit cărora normele materiale şi procedurale de inițiere, desfășurare și lichidare a afacerii, precum şi de control asupra afacerii, se stabilesc prin legi.</w:t>
            </w:r>
          </w:p>
          <w:p w14:paraId="0E640330" w14:textId="77777777" w:rsidR="00972879" w:rsidRPr="00972879" w:rsidRDefault="00972879" w:rsidP="00972879">
            <w:pPr>
              <w:spacing w:after="0" w:line="240" w:lineRule="auto"/>
              <w:ind w:left="37" w:right="37" w:firstLine="567"/>
              <w:jc w:val="both"/>
              <w:rPr>
                <w:rFonts w:ascii="Times New Roman" w:hAnsi="Times New Roman"/>
                <w:sz w:val="28"/>
                <w:szCs w:val="28"/>
                <w:lang w:eastAsia="en-GB"/>
              </w:rPr>
            </w:pPr>
            <w:r w:rsidRPr="00972879">
              <w:rPr>
                <w:rFonts w:ascii="Times New Roman" w:hAnsi="Times New Roman"/>
                <w:sz w:val="28"/>
                <w:szCs w:val="28"/>
                <w:lang w:eastAsia="en-GB"/>
              </w:rPr>
              <w:t>Este de menționat că, în conformitate cu prevederile art. 10 alin.(3) al Legii nr. 100/2017 cu privire la actele normative, prin Lege organică sunt stabilite limitele împuternicirilor Guvernului şi/sau ale autorităților administrației publice privind reglementarea activității de întreprinzător, iar conform art. 14 alin. (1) lit. a) H</w:t>
            </w:r>
            <w:r w:rsidRPr="00972879">
              <w:rPr>
                <w:rFonts w:ascii="Times New Roman" w:hAnsi="Times New Roman"/>
                <w:sz w:val="28"/>
                <w:szCs w:val="28"/>
                <w:shd w:val="clear" w:color="auto" w:fill="FFFFFF"/>
              </w:rPr>
              <w:t>otărârea Guvernului este un act care se adoptă de către Guvern pentru exercitarea atribuțiilor Guvernului şi pentru organizarea executării legilor.</w:t>
            </w:r>
          </w:p>
          <w:p w14:paraId="2DDAFB77" w14:textId="77777777" w:rsidR="00972879" w:rsidRDefault="00972879" w:rsidP="00972879">
            <w:pPr>
              <w:spacing w:after="0" w:line="240" w:lineRule="auto"/>
              <w:ind w:left="37" w:right="37" w:firstLine="567"/>
              <w:jc w:val="both"/>
              <w:rPr>
                <w:rFonts w:ascii="Times New Roman" w:hAnsi="Times New Roman"/>
                <w:sz w:val="28"/>
                <w:szCs w:val="28"/>
                <w:shd w:val="clear" w:color="auto" w:fill="FFFFFF"/>
              </w:rPr>
            </w:pPr>
            <w:r w:rsidRPr="00972879">
              <w:rPr>
                <w:rFonts w:ascii="Times New Roman" w:hAnsi="Times New Roman"/>
                <w:sz w:val="28"/>
                <w:szCs w:val="28"/>
                <w:shd w:val="clear" w:color="auto" w:fill="FFFFFF"/>
              </w:rPr>
              <w:lastRenderedPageBreak/>
              <w:t>În acest sens, Hotărârile Guvernului pe domeniul explozivilor cu destinație civilă urmează să pună în aplicare mecanismul de executare a legii, prevedere care este contrară, deoarece hotărârile existente nu execută și nu pun în aplicare careva legi naționale.</w:t>
            </w:r>
          </w:p>
          <w:p w14:paraId="062BAE78" w14:textId="77777777" w:rsidR="00972879" w:rsidRPr="00972879" w:rsidRDefault="00972879" w:rsidP="00972879">
            <w:pPr>
              <w:spacing w:after="0" w:line="240" w:lineRule="auto"/>
              <w:ind w:left="37" w:right="37" w:firstLine="567"/>
              <w:jc w:val="both"/>
              <w:rPr>
                <w:rFonts w:ascii="Times New Roman" w:hAnsi="Times New Roman"/>
                <w:sz w:val="28"/>
                <w:szCs w:val="28"/>
                <w:shd w:val="clear" w:color="auto" w:fill="FFFFFF"/>
              </w:rPr>
            </w:pPr>
            <w:r w:rsidRPr="00972879">
              <w:rPr>
                <w:rFonts w:ascii="Times New Roman" w:hAnsi="Times New Roman"/>
                <w:sz w:val="28"/>
                <w:szCs w:val="28"/>
                <w:shd w:val="clear" w:color="auto" w:fill="FFFFFF"/>
              </w:rPr>
              <w:t>Reieșind din analiza situației actuale se identifică un risc în raport circulația, depozitarea și utilizarea explozivilor în principal, aspectele de siguranță publică și securitate națională, protecția mediului înconjurător și calitatea produselor:</w:t>
            </w:r>
          </w:p>
          <w:p w14:paraId="54D0F661" w14:textId="77777777" w:rsidR="00972879" w:rsidRPr="00972879" w:rsidRDefault="00972879" w:rsidP="00972879">
            <w:pPr>
              <w:numPr>
                <w:ilvl w:val="0"/>
                <w:numId w:val="17"/>
              </w:numPr>
              <w:tabs>
                <w:tab w:val="left" w:pos="1231"/>
              </w:tabs>
              <w:spacing w:after="160" w:line="240" w:lineRule="auto"/>
              <w:ind w:left="37" w:right="37" w:firstLine="567"/>
              <w:contextualSpacing/>
              <w:jc w:val="both"/>
              <w:rPr>
                <w:rFonts w:ascii="Times New Roman" w:eastAsiaTheme="minorHAnsi" w:hAnsi="Times New Roman"/>
                <w:sz w:val="28"/>
                <w:szCs w:val="28"/>
                <w:shd w:val="clear" w:color="auto" w:fill="FFFFFF"/>
              </w:rPr>
            </w:pPr>
            <w:r w:rsidRPr="00972879">
              <w:rPr>
                <w:rFonts w:ascii="Times New Roman" w:eastAsiaTheme="minorHAnsi" w:hAnsi="Times New Roman"/>
                <w:sz w:val="28"/>
                <w:szCs w:val="28"/>
                <w:shd w:val="clear" w:color="auto" w:fill="FFFFFF"/>
              </w:rPr>
              <w:t xml:space="preserve">Siguranța publică - manipularea, păstrarea, transportul și utilizarea necorespunzătoare a materialelor explozive de uz civil pot duce la accidente grave, cu posibile vătămări și decese ale oamenilor. </w:t>
            </w:r>
          </w:p>
          <w:p w14:paraId="6F88B756" w14:textId="77777777" w:rsidR="00972879" w:rsidRPr="00972879" w:rsidRDefault="00972879" w:rsidP="00972879">
            <w:pPr>
              <w:numPr>
                <w:ilvl w:val="0"/>
                <w:numId w:val="17"/>
              </w:numPr>
              <w:tabs>
                <w:tab w:val="left" w:pos="1231"/>
              </w:tabs>
              <w:spacing w:after="160" w:line="240" w:lineRule="auto"/>
              <w:ind w:left="37" w:right="37" w:firstLine="567"/>
              <w:contextualSpacing/>
              <w:jc w:val="both"/>
              <w:rPr>
                <w:rFonts w:ascii="Times New Roman" w:eastAsiaTheme="minorHAnsi" w:hAnsi="Times New Roman"/>
                <w:sz w:val="28"/>
                <w:szCs w:val="28"/>
                <w:shd w:val="clear" w:color="auto" w:fill="FFFFFF"/>
              </w:rPr>
            </w:pPr>
            <w:r w:rsidRPr="00972879">
              <w:rPr>
                <w:rFonts w:ascii="Times New Roman" w:eastAsiaTheme="minorHAnsi" w:hAnsi="Times New Roman"/>
                <w:sz w:val="28"/>
                <w:szCs w:val="28"/>
                <w:shd w:val="clear" w:color="auto" w:fill="FFFFFF"/>
              </w:rPr>
              <w:t>Securitatea națională - utilizarea ilegală a materialelor explozive de uz civil poate amenința securitatea națională, deoarece</w:t>
            </w:r>
            <w:r w:rsidRPr="00972879">
              <w:rPr>
                <w:rFonts w:asciiTheme="minorHAnsi" w:eastAsiaTheme="minorHAnsi" w:hAnsiTheme="minorHAnsi" w:cstheme="minorBidi"/>
                <w:lang w:val="en-US"/>
              </w:rPr>
              <w:t xml:space="preserve"> </w:t>
            </w:r>
            <w:r w:rsidRPr="00972879">
              <w:rPr>
                <w:rFonts w:ascii="Times New Roman" w:eastAsiaTheme="minorHAnsi" w:hAnsi="Times New Roman"/>
                <w:sz w:val="28"/>
                <w:szCs w:val="28"/>
                <w:shd w:val="clear" w:color="auto" w:fill="FFFFFF"/>
              </w:rPr>
              <w:t>reglementările actuale nu previn accesul neautorizat și este dificil de asigurat o supraveghere adecvată.</w:t>
            </w:r>
          </w:p>
          <w:p w14:paraId="6AEE3EBF" w14:textId="77777777" w:rsidR="00972879" w:rsidRPr="00972879" w:rsidRDefault="00972879" w:rsidP="00972879">
            <w:pPr>
              <w:numPr>
                <w:ilvl w:val="0"/>
                <w:numId w:val="17"/>
              </w:numPr>
              <w:tabs>
                <w:tab w:val="left" w:pos="1231"/>
              </w:tabs>
              <w:spacing w:after="160" w:line="240" w:lineRule="auto"/>
              <w:ind w:left="37" w:right="37" w:firstLine="567"/>
              <w:contextualSpacing/>
              <w:jc w:val="both"/>
              <w:rPr>
                <w:rFonts w:ascii="Times New Roman" w:eastAsiaTheme="minorHAnsi" w:hAnsi="Times New Roman"/>
                <w:sz w:val="28"/>
                <w:szCs w:val="28"/>
                <w:shd w:val="clear" w:color="auto" w:fill="FFFFFF"/>
              </w:rPr>
            </w:pPr>
            <w:r w:rsidRPr="00972879">
              <w:rPr>
                <w:rFonts w:ascii="Times New Roman" w:eastAsiaTheme="minorHAnsi" w:hAnsi="Times New Roman"/>
                <w:sz w:val="28"/>
                <w:szCs w:val="28"/>
                <w:shd w:val="clear" w:color="auto" w:fill="FFFFFF"/>
              </w:rPr>
              <w:t>Protecția mediului - materialele explozive pot avea un impact negativ asupra mediului, inclusiv poluarea solului și a apei, emisiile de substanțe periculoase și riscul de deteriorare a ecosistemelor, deoarece</w:t>
            </w:r>
            <w:r w:rsidRPr="00972879">
              <w:rPr>
                <w:rFonts w:asciiTheme="minorHAnsi" w:eastAsiaTheme="minorHAnsi" w:hAnsiTheme="minorHAnsi" w:cstheme="minorBidi"/>
                <w:lang w:val="en-US"/>
              </w:rPr>
              <w:t xml:space="preserve"> </w:t>
            </w:r>
            <w:r w:rsidRPr="00972879">
              <w:rPr>
                <w:rFonts w:ascii="Times New Roman" w:eastAsiaTheme="minorHAnsi" w:hAnsi="Times New Roman"/>
                <w:sz w:val="28"/>
                <w:szCs w:val="28"/>
                <w:shd w:val="clear" w:color="auto" w:fill="FFFFFF"/>
              </w:rPr>
              <w:t>reglementările nu asigură o manipulare și eliminare responsabilă a acestor materiale pentru a proteja mediul înconjurător.</w:t>
            </w:r>
          </w:p>
          <w:p w14:paraId="50EA23CA" w14:textId="77777777" w:rsidR="00972879" w:rsidRPr="00972879" w:rsidRDefault="00972879" w:rsidP="00972879">
            <w:pPr>
              <w:numPr>
                <w:ilvl w:val="0"/>
                <w:numId w:val="17"/>
              </w:numPr>
              <w:tabs>
                <w:tab w:val="left" w:pos="1231"/>
              </w:tabs>
              <w:spacing w:after="160" w:line="240" w:lineRule="auto"/>
              <w:ind w:left="37" w:right="37" w:firstLine="567"/>
              <w:contextualSpacing/>
              <w:jc w:val="both"/>
              <w:rPr>
                <w:rFonts w:ascii="Times New Roman" w:eastAsiaTheme="minorHAnsi" w:hAnsi="Times New Roman"/>
                <w:sz w:val="28"/>
                <w:szCs w:val="28"/>
                <w:shd w:val="clear" w:color="auto" w:fill="FFFFFF"/>
              </w:rPr>
            </w:pPr>
            <w:r w:rsidRPr="00972879">
              <w:rPr>
                <w:rFonts w:ascii="Times New Roman" w:eastAsiaTheme="minorHAnsi" w:hAnsi="Times New Roman"/>
                <w:sz w:val="28"/>
                <w:szCs w:val="28"/>
                <w:shd w:val="clear" w:color="auto" w:fill="FFFFFF"/>
              </w:rPr>
              <w:t>Calitatea materialelor explozive - utilizarea produselor de calitate scăzută sau potențial periculoase, din lipsa asigurării calității și siguranței materialelor explozive.</w:t>
            </w:r>
          </w:p>
          <w:p w14:paraId="416BE6B5" w14:textId="77777777" w:rsidR="00972879" w:rsidRPr="00972879" w:rsidRDefault="00972879" w:rsidP="00972879">
            <w:pPr>
              <w:numPr>
                <w:ilvl w:val="0"/>
                <w:numId w:val="17"/>
              </w:numPr>
              <w:tabs>
                <w:tab w:val="left" w:pos="1231"/>
              </w:tabs>
              <w:spacing w:after="160" w:line="240" w:lineRule="auto"/>
              <w:ind w:left="37" w:right="37" w:firstLine="567"/>
              <w:contextualSpacing/>
              <w:jc w:val="both"/>
              <w:rPr>
                <w:rFonts w:ascii="Times New Roman" w:eastAsiaTheme="minorHAnsi" w:hAnsi="Times New Roman"/>
                <w:sz w:val="28"/>
                <w:szCs w:val="28"/>
                <w:shd w:val="clear" w:color="auto" w:fill="FFFFFF"/>
              </w:rPr>
            </w:pPr>
            <w:r w:rsidRPr="00972879">
              <w:rPr>
                <w:rFonts w:ascii="Times New Roman" w:eastAsiaTheme="minorHAnsi" w:hAnsi="Times New Roman"/>
                <w:sz w:val="28"/>
                <w:szCs w:val="28"/>
                <w:shd w:val="clear" w:color="auto" w:fill="FFFFFF"/>
              </w:rPr>
              <w:t>Depozitarea sigură - depozitarea pe termen lung a materialelor explozive poate ridica probleme, în special în cazul agenților economici care dețin o cantitate mai mare, iar fără dezvoltarea soluțiilor de stocare sigure și respectarea specificațiilor tehnice de siguranță,</w:t>
            </w:r>
            <w:r w:rsidRPr="00972879">
              <w:rPr>
                <w:rFonts w:asciiTheme="minorHAnsi" w:eastAsiaTheme="minorHAnsi" w:hAnsiTheme="minorHAnsi" w:cstheme="minorBidi"/>
                <w:lang w:val="en-US"/>
              </w:rPr>
              <w:t xml:space="preserve"> </w:t>
            </w:r>
            <w:r w:rsidRPr="00972879">
              <w:rPr>
                <w:rFonts w:ascii="Times New Roman" w:eastAsiaTheme="minorHAnsi" w:hAnsi="Times New Roman"/>
                <w:sz w:val="28"/>
                <w:szCs w:val="28"/>
                <w:shd w:val="clear" w:color="auto" w:fill="FFFFFF"/>
              </w:rPr>
              <w:t>pot genera accidente cu urmări grave/deosebit de grave</w:t>
            </w:r>
          </w:p>
          <w:p w14:paraId="637E7DED" w14:textId="77777777" w:rsidR="00972879" w:rsidRPr="00972879" w:rsidRDefault="00972879" w:rsidP="00972879">
            <w:pPr>
              <w:numPr>
                <w:ilvl w:val="0"/>
                <w:numId w:val="17"/>
              </w:numPr>
              <w:tabs>
                <w:tab w:val="left" w:pos="1231"/>
              </w:tabs>
              <w:spacing w:after="160" w:line="240" w:lineRule="auto"/>
              <w:ind w:left="37" w:right="37" w:firstLine="567"/>
              <w:contextualSpacing/>
              <w:jc w:val="both"/>
              <w:rPr>
                <w:rFonts w:ascii="Times New Roman" w:eastAsiaTheme="minorHAnsi" w:hAnsi="Times New Roman"/>
                <w:sz w:val="28"/>
                <w:szCs w:val="28"/>
                <w:shd w:val="clear" w:color="auto" w:fill="FFFFFF"/>
              </w:rPr>
            </w:pPr>
            <w:r w:rsidRPr="00972879">
              <w:rPr>
                <w:rFonts w:ascii="Times New Roman" w:eastAsiaTheme="minorHAnsi" w:hAnsi="Times New Roman"/>
                <w:sz w:val="28"/>
                <w:szCs w:val="28"/>
                <w:shd w:val="clear" w:color="auto" w:fill="FFFFFF"/>
              </w:rPr>
              <w:t>Transportul în condiții de siguranță - materialele explozive trebuie transportate în condiții de siguranță, iar problema constă în asigurarea faptului că regulile de transport sunt respectate și că riscul de incidente în timpul transportului este minimizat.</w:t>
            </w:r>
          </w:p>
          <w:p w14:paraId="011515F4" w14:textId="77777777" w:rsidR="00972879" w:rsidRDefault="00972879" w:rsidP="00972879">
            <w:pPr>
              <w:numPr>
                <w:ilvl w:val="0"/>
                <w:numId w:val="17"/>
              </w:numPr>
              <w:tabs>
                <w:tab w:val="left" w:pos="1231"/>
              </w:tabs>
              <w:spacing w:after="160" w:line="240" w:lineRule="auto"/>
              <w:ind w:left="37" w:right="37" w:firstLine="567"/>
              <w:contextualSpacing/>
              <w:jc w:val="both"/>
              <w:rPr>
                <w:rFonts w:ascii="Times New Roman" w:eastAsiaTheme="minorHAnsi" w:hAnsi="Times New Roman"/>
                <w:sz w:val="28"/>
                <w:szCs w:val="28"/>
                <w:shd w:val="clear" w:color="auto" w:fill="FFFFFF"/>
              </w:rPr>
            </w:pPr>
            <w:r w:rsidRPr="00972879">
              <w:rPr>
                <w:rFonts w:ascii="Times New Roman" w:eastAsiaTheme="minorHAnsi" w:hAnsi="Times New Roman"/>
                <w:sz w:val="28"/>
                <w:szCs w:val="28"/>
              </w:rPr>
              <w:t>Prevenirea sustragerilor și traficului ilicit - materialele explozive pot fi obiectul sustragerilor și traficului ilicit, ceea ce poate avea consecințe grave asupra siguranței publice și securității naționale. Monitorizarea și prevenirea acestor activități ilegale sunt importante.</w:t>
            </w:r>
          </w:p>
          <w:p w14:paraId="0FF3886E" w14:textId="0737C1DE" w:rsidR="00972879" w:rsidRPr="00972879" w:rsidRDefault="00972879" w:rsidP="00972879">
            <w:pPr>
              <w:numPr>
                <w:ilvl w:val="0"/>
                <w:numId w:val="17"/>
              </w:numPr>
              <w:tabs>
                <w:tab w:val="left" w:pos="1231"/>
              </w:tabs>
              <w:spacing w:after="160" w:line="240" w:lineRule="auto"/>
              <w:ind w:left="37" w:right="37" w:firstLine="567"/>
              <w:contextualSpacing/>
              <w:jc w:val="both"/>
              <w:rPr>
                <w:rFonts w:ascii="Times New Roman" w:eastAsiaTheme="minorHAnsi" w:hAnsi="Times New Roman"/>
                <w:sz w:val="28"/>
                <w:szCs w:val="28"/>
                <w:shd w:val="clear" w:color="auto" w:fill="FFFFFF"/>
              </w:rPr>
            </w:pPr>
            <w:r w:rsidRPr="00972879">
              <w:rPr>
                <w:rFonts w:ascii="Times New Roman" w:hAnsi="Times New Roman"/>
                <w:sz w:val="28"/>
                <w:szCs w:val="28"/>
                <w:shd w:val="clear" w:color="auto" w:fill="FFFFFF"/>
              </w:rPr>
              <w:t>Cooperare internațională - în contextul globalizării, este important să existe o cooperare internațională eficientă pentru a preveni utilizarea ilegală a materialelor explozive și pentru a asigura securitatea pe scară globală.</w:t>
            </w:r>
          </w:p>
          <w:p w14:paraId="197E28FE" w14:textId="77777777" w:rsidR="00C540EE" w:rsidRPr="00955946" w:rsidRDefault="008479A9" w:rsidP="00955946">
            <w:pPr>
              <w:spacing w:after="0" w:line="240" w:lineRule="auto"/>
              <w:ind w:left="31" w:right="31" w:firstLine="567"/>
              <w:jc w:val="both"/>
              <w:rPr>
                <w:rFonts w:ascii="Times New Roman" w:hAnsi="Times New Roman"/>
                <w:sz w:val="28"/>
                <w:szCs w:val="28"/>
                <w:shd w:val="clear" w:color="auto" w:fill="FFFFFF"/>
              </w:rPr>
            </w:pPr>
            <w:r w:rsidRPr="008479A9">
              <w:rPr>
                <w:rFonts w:ascii="Times New Roman" w:hAnsi="Times New Roman"/>
                <w:sz w:val="28"/>
                <w:szCs w:val="28"/>
                <w:shd w:val="clear" w:color="auto" w:fill="FFFFFF"/>
              </w:rPr>
              <w:t>Elaborarea unui nou act normativ (Legea privind regimul materialelor explozive cu destinație civilă) se consideră judicioasă, întrucât va conduce la suplinirea vidului legislativ, va implementa aspirațiile europene și va asigura circulația în siguranță a materialelor explozive cu destinație civilă pe teritoriul țării, precum și folosirea acestora în strictă conformitate cu destinația lor specială.</w:t>
            </w:r>
          </w:p>
          <w:p w14:paraId="17F74B9A" w14:textId="77777777" w:rsidR="00C540EE" w:rsidRPr="008479A9" w:rsidRDefault="00955946" w:rsidP="00955946">
            <w:pPr>
              <w:spacing w:after="0" w:line="240" w:lineRule="auto"/>
              <w:ind w:left="31" w:right="31" w:firstLine="567"/>
              <w:jc w:val="both"/>
              <w:rPr>
                <w:rFonts w:ascii="Times New Roman" w:hAnsi="Times New Roman"/>
                <w:sz w:val="28"/>
                <w:szCs w:val="28"/>
                <w:shd w:val="clear" w:color="auto" w:fill="FFFFFF"/>
              </w:rPr>
            </w:pPr>
            <w:r>
              <w:rPr>
                <w:rFonts w:ascii="Times New Roman" w:hAnsi="Times New Roman"/>
                <w:sz w:val="28"/>
                <w:szCs w:val="28"/>
              </w:rPr>
              <w:t xml:space="preserve">Prin urmare, proiectul prevede reglementarea strictă a </w:t>
            </w:r>
            <w:r w:rsidR="00C540EE" w:rsidRPr="00C540EE">
              <w:rPr>
                <w:rFonts w:ascii="Times New Roman" w:hAnsi="Times New Roman"/>
                <w:sz w:val="28"/>
                <w:szCs w:val="28"/>
              </w:rPr>
              <w:t>obligațiil</w:t>
            </w:r>
            <w:r>
              <w:rPr>
                <w:rFonts w:ascii="Times New Roman" w:hAnsi="Times New Roman"/>
                <w:sz w:val="28"/>
                <w:szCs w:val="28"/>
              </w:rPr>
              <w:t xml:space="preserve">or </w:t>
            </w:r>
            <w:r w:rsidR="00C540EE" w:rsidRPr="00C540EE">
              <w:rPr>
                <w:rFonts w:ascii="Times New Roman" w:hAnsi="Times New Roman"/>
                <w:sz w:val="28"/>
                <w:szCs w:val="28"/>
              </w:rPr>
              <w:t xml:space="preserve">operatorilor economici de a </w:t>
            </w:r>
            <w:r w:rsidR="00C540EE" w:rsidRPr="00C540EE">
              <w:rPr>
                <w:rFonts w:ascii="Times New Roman" w:hAnsi="Times New Roman"/>
                <w:sz w:val="28"/>
                <w:szCs w:val="28"/>
                <w:lang w:val="ro-MD"/>
              </w:rPr>
              <w:t>introduce pe piață sau pentru utilizarea în scop propriu a materialelor explozive, care au fost proiectate și fabricate în conformitate</w:t>
            </w:r>
            <w:r>
              <w:rPr>
                <w:rFonts w:ascii="Times New Roman" w:hAnsi="Times New Roman"/>
                <w:sz w:val="28"/>
                <w:szCs w:val="28"/>
                <w:lang w:val="ro-MD"/>
              </w:rPr>
              <w:t xml:space="preserve"> </w:t>
            </w:r>
            <w:r w:rsidR="00C540EE" w:rsidRPr="00C540EE">
              <w:rPr>
                <w:rFonts w:ascii="Times New Roman" w:hAnsi="Times New Roman"/>
                <w:sz w:val="28"/>
                <w:szCs w:val="28"/>
                <w:lang w:val="ro-MD"/>
              </w:rPr>
              <w:t xml:space="preserve">cu cerințele esențiale </w:t>
            </w:r>
            <w:r w:rsidR="00C540EE" w:rsidRPr="00C540EE">
              <w:rPr>
                <w:rFonts w:ascii="Times New Roman" w:hAnsi="Times New Roman"/>
                <w:sz w:val="28"/>
                <w:szCs w:val="28"/>
                <w:lang w:val="ro-MD"/>
              </w:rPr>
              <w:lastRenderedPageBreak/>
              <w:t xml:space="preserve">de securitate, </w:t>
            </w:r>
            <w:r w:rsidR="00C540EE" w:rsidRPr="00C540EE">
              <w:rPr>
                <w:rFonts w:ascii="Times New Roman" w:hAnsi="Times New Roman"/>
                <w:sz w:val="28"/>
                <w:szCs w:val="28"/>
              </w:rPr>
              <w:t>precum și măsurile care urmează a fi întreprinse în privința explozibilului care prezintă risc</w:t>
            </w:r>
            <w:r>
              <w:rPr>
                <w:rFonts w:ascii="Times New Roman" w:hAnsi="Times New Roman"/>
                <w:sz w:val="28"/>
                <w:szCs w:val="28"/>
              </w:rPr>
              <w:t>.</w:t>
            </w:r>
          </w:p>
          <w:p w14:paraId="051C16AF" w14:textId="77777777" w:rsidR="008479A9" w:rsidRPr="008479A9" w:rsidRDefault="008479A9" w:rsidP="008479A9">
            <w:pPr>
              <w:spacing w:after="0" w:line="240" w:lineRule="auto"/>
              <w:ind w:left="31" w:right="31" w:firstLine="567"/>
              <w:jc w:val="both"/>
              <w:rPr>
                <w:rFonts w:ascii="Times New Roman" w:hAnsi="Times New Roman"/>
                <w:sz w:val="28"/>
                <w:szCs w:val="28"/>
                <w:shd w:val="clear" w:color="auto" w:fill="FFFFFF"/>
              </w:rPr>
            </w:pPr>
            <w:r w:rsidRPr="008479A9">
              <w:rPr>
                <w:rFonts w:ascii="Times New Roman" w:hAnsi="Times New Roman"/>
                <w:sz w:val="28"/>
                <w:szCs w:val="28"/>
                <w:shd w:val="clear" w:color="auto" w:fill="FFFFFF"/>
              </w:rPr>
              <w:t xml:space="preserve">Din considerente de securitate, va contribui la stabilirea restricțiilor și interdicțiilor la folosirea, transportarea, păstrarea, depozitarea și înstrăinarea materialelor explozive de uz civil de către persoanele juridice licențiate și personalul atestat angajat la persoana juridică, iar cetățenii străini nu vor avea acces la efectuarea operațiunilor și lucrărilor cu exploziv pe teritoriul Republicii Moldova. </w:t>
            </w:r>
          </w:p>
          <w:p w14:paraId="219EF2D8" w14:textId="77777777" w:rsidR="008479A9" w:rsidRPr="008479A9" w:rsidRDefault="008479A9" w:rsidP="008479A9">
            <w:pPr>
              <w:spacing w:after="0" w:line="240" w:lineRule="auto"/>
              <w:ind w:left="31" w:right="31" w:firstLine="567"/>
              <w:jc w:val="both"/>
              <w:rPr>
                <w:rFonts w:ascii="Times New Roman" w:hAnsi="Times New Roman"/>
                <w:sz w:val="28"/>
                <w:szCs w:val="28"/>
                <w:shd w:val="clear" w:color="auto" w:fill="FFFFFF"/>
              </w:rPr>
            </w:pPr>
            <w:r w:rsidRPr="008479A9">
              <w:rPr>
                <w:rFonts w:ascii="Times New Roman" w:hAnsi="Times New Roman"/>
                <w:sz w:val="28"/>
                <w:szCs w:val="28"/>
                <w:shd w:val="clear" w:color="auto" w:fill="FFFFFF"/>
              </w:rPr>
              <w:t>Reglementarea minuțioasă a clasificării materialelor explozive cu destinație civilă, cerințelor esențiale de securitate pe care trebuie să le întrunească acestea, etichetării corespunzătoare a materialelor explozive cu destinație civilă, obligațiilor operatorilor economici, va conduce la excluderea unor lacune care le întâmpină organele de supraveghere și control în domeniul explozivilor cu destinație civilă, precum și a unor impedimente cu care se confruntă agenții economici.</w:t>
            </w:r>
          </w:p>
          <w:p w14:paraId="69D715F1" w14:textId="77777777" w:rsidR="008479A9" w:rsidRPr="008479A9" w:rsidRDefault="008479A9" w:rsidP="008479A9">
            <w:pPr>
              <w:spacing w:after="0" w:line="240" w:lineRule="auto"/>
              <w:ind w:left="31" w:right="31" w:firstLine="567"/>
              <w:jc w:val="both"/>
              <w:rPr>
                <w:rFonts w:ascii="Times New Roman" w:hAnsi="Times New Roman"/>
                <w:sz w:val="28"/>
                <w:szCs w:val="28"/>
                <w:shd w:val="clear" w:color="auto" w:fill="FFFFFF"/>
              </w:rPr>
            </w:pPr>
            <w:r w:rsidRPr="008479A9">
              <w:rPr>
                <w:rFonts w:ascii="Times New Roman" w:hAnsi="Times New Roman"/>
                <w:sz w:val="28"/>
                <w:szCs w:val="28"/>
                <w:shd w:val="clear" w:color="auto" w:fill="FFFFFF"/>
              </w:rPr>
              <w:t>Se stabilesc grupele și diviziunile de materiale explozive care sunt permise în circuitul civil, conform recomandărilor Organizației Națiunilor Unite privind transportul produselor periculoase și care se încadrează în clasa 1 a acestor recomandări, precum şi condițiile de testare, preparare, încartuşare, depozitare, comercializare și utilizare a acestora.</w:t>
            </w:r>
          </w:p>
          <w:p w14:paraId="7B71B7B5" w14:textId="67075654" w:rsidR="008479A9" w:rsidRPr="008479A9" w:rsidRDefault="00595403" w:rsidP="008479A9">
            <w:pPr>
              <w:spacing w:after="0" w:line="240" w:lineRule="auto"/>
              <w:ind w:left="31" w:right="31"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Spațiile de</w:t>
            </w:r>
            <w:r w:rsidR="008479A9" w:rsidRPr="008479A9">
              <w:rPr>
                <w:rFonts w:ascii="Times New Roman" w:hAnsi="Times New Roman"/>
                <w:sz w:val="28"/>
                <w:szCs w:val="28"/>
                <w:shd w:val="clear" w:color="auto" w:fill="FFFFFF"/>
              </w:rPr>
              <w:t xml:space="preserve"> depozitare și păstrare a materialelor explozive precum și </w:t>
            </w:r>
            <w:r w:rsidR="008479A9">
              <w:rPr>
                <w:rFonts w:ascii="Times New Roman" w:hAnsi="Times New Roman"/>
                <w:sz w:val="28"/>
                <w:szCs w:val="28"/>
                <w:shd w:val="clear" w:color="auto" w:fill="FFFFFF"/>
              </w:rPr>
              <w:t xml:space="preserve">condițiile </w:t>
            </w:r>
            <w:r w:rsidR="008479A9" w:rsidRPr="008479A9">
              <w:rPr>
                <w:rFonts w:ascii="Times New Roman" w:hAnsi="Times New Roman"/>
                <w:sz w:val="28"/>
                <w:szCs w:val="28"/>
                <w:shd w:val="clear" w:color="auto" w:fill="FFFFFF"/>
              </w:rPr>
              <w:t>la prepararea și încartușarea materialelor explozive</w:t>
            </w:r>
            <w:r>
              <w:rPr>
                <w:rFonts w:ascii="Times New Roman" w:hAnsi="Times New Roman"/>
                <w:sz w:val="28"/>
                <w:szCs w:val="28"/>
                <w:shd w:val="clear" w:color="auto" w:fill="FFFFFF"/>
              </w:rPr>
              <w:t>, vor corespunde condițiilor stabilite de Guvern</w:t>
            </w:r>
            <w:r w:rsidR="008479A9" w:rsidRPr="008479A9">
              <w:rPr>
                <w:rFonts w:ascii="Times New Roman" w:hAnsi="Times New Roman"/>
                <w:sz w:val="28"/>
                <w:szCs w:val="28"/>
                <w:shd w:val="clear" w:color="auto" w:fill="FFFFFF"/>
              </w:rPr>
              <w:t>. Totodată, se specifică condițiile de transportare a materialelor explozive în conformitate cu Acordul european referitor</w:t>
            </w:r>
            <w:r w:rsidR="008479A9">
              <w:rPr>
                <w:rFonts w:ascii="Times New Roman" w:hAnsi="Times New Roman"/>
                <w:sz w:val="28"/>
                <w:szCs w:val="28"/>
                <w:shd w:val="clear" w:color="auto" w:fill="FFFFFF"/>
              </w:rPr>
              <w:t xml:space="preserve"> </w:t>
            </w:r>
            <w:r w:rsidR="008479A9" w:rsidRPr="008479A9">
              <w:rPr>
                <w:rFonts w:ascii="Times New Roman" w:hAnsi="Times New Roman"/>
                <w:sz w:val="28"/>
                <w:szCs w:val="28"/>
                <w:shd w:val="clear" w:color="auto" w:fill="FFFFFF"/>
              </w:rPr>
              <w:t>la transportul</w:t>
            </w:r>
            <w:r w:rsidR="008479A9">
              <w:rPr>
                <w:rFonts w:ascii="Times New Roman" w:hAnsi="Times New Roman"/>
                <w:sz w:val="28"/>
                <w:szCs w:val="28"/>
                <w:shd w:val="clear" w:color="auto" w:fill="FFFFFF"/>
              </w:rPr>
              <w:t xml:space="preserve"> </w:t>
            </w:r>
            <w:r w:rsidR="008479A9" w:rsidRPr="008479A9">
              <w:rPr>
                <w:rFonts w:ascii="Times New Roman" w:hAnsi="Times New Roman"/>
                <w:sz w:val="28"/>
                <w:szCs w:val="28"/>
                <w:shd w:val="clear" w:color="auto" w:fill="FFFFFF"/>
              </w:rPr>
              <w:t>rutier internațional al mărfurilor periculoase (ADR).</w:t>
            </w:r>
          </w:p>
          <w:p w14:paraId="54A18FF1" w14:textId="77777777" w:rsidR="008479A9" w:rsidRPr="008479A9" w:rsidRDefault="008479A9" w:rsidP="008479A9">
            <w:pPr>
              <w:spacing w:after="0" w:line="240" w:lineRule="auto"/>
              <w:ind w:left="31" w:right="31" w:firstLine="567"/>
              <w:jc w:val="both"/>
              <w:rPr>
                <w:rFonts w:ascii="Times New Roman" w:hAnsi="Times New Roman"/>
                <w:sz w:val="28"/>
                <w:szCs w:val="28"/>
                <w:shd w:val="clear" w:color="auto" w:fill="FFFFFF"/>
              </w:rPr>
            </w:pPr>
            <w:r w:rsidRPr="008479A9">
              <w:rPr>
                <w:rFonts w:ascii="Times New Roman" w:hAnsi="Times New Roman"/>
                <w:sz w:val="28"/>
                <w:szCs w:val="28"/>
                <w:shd w:val="clear" w:color="auto" w:fill="FFFFFF"/>
              </w:rPr>
              <w:t xml:space="preserve">Se instituie posibilitatea comercializării sau transmiterii materialelor explozive de către agentul economic licențiat, în cazul în care acesta intenționează din anumite motive întemeiate să vândă sau să transmită materialele explozive. </w:t>
            </w:r>
          </w:p>
          <w:p w14:paraId="551BEDB0" w14:textId="77777777" w:rsidR="008479A9" w:rsidRPr="008479A9" w:rsidRDefault="008479A9" w:rsidP="008479A9">
            <w:pPr>
              <w:spacing w:after="0" w:line="240" w:lineRule="auto"/>
              <w:ind w:left="31" w:right="31" w:firstLine="567"/>
              <w:jc w:val="both"/>
              <w:rPr>
                <w:rFonts w:ascii="Times New Roman" w:hAnsi="Times New Roman"/>
                <w:sz w:val="28"/>
                <w:szCs w:val="28"/>
                <w:shd w:val="clear" w:color="auto" w:fill="FFFFFF"/>
              </w:rPr>
            </w:pPr>
            <w:r w:rsidRPr="008479A9">
              <w:rPr>
                <w:rFonts w:ascii="Times New Roman" w:hAnsi="Times New Roman"/>
                <w:sz w:val="28"/>
                <w:szCs w:val="28"/>
                <w:shd w:val="clear" w:color="auto" w:fill="FFFFFF"/>
              </w:rPr>
              <w:t>Se prevăd proceduri de distrugere a materialelor explozive pentru produsele provenite din rateuri sau cele devenite inutilizabile sau care sunt confiscate în cazul în care fac obiectul unei achiziționări, utilizări sau trafic ilicit, precum și procedurile de ridicare și depozitare în cazul unor amenințări grave sau al unor atentate la siguranța publică ca urmare a deținerii sau utilizării ilicite a explozivilor.</w:t>
            </w:r>
          </w:p>
          <w:p w14:paraId="2B7A4A50" w14:textId="77777777" w:rsidR="008479A9" w:rsidRPr="008479A9" w:rsidRDefault="008479A9" w:rsidP="008479A9">
            <w:pPr>
              <w:spacing w:after="0" w:line="240" w:lineRule="auto"/>
              <w:ind w:left="31" w:right="31" w:firstLine="567"/>
              <w:jc w:val="both"/>
              <w:rPr>
                <w:rFonts w:ascii="Times New Roman" w:hAnsi="Times New Roman"/>
                <w:sz w:val="28"/>
                <w:szCs w:val="28"/>
                <w:shd w:val="clear" w:color="auto" w:fill="FFFFFF"/>
              </w:rPr>
            </w:pPr>
            <w:r w:rsidRPr="008479A9">
              <w:rPr>
                <w:rFonts w:ascii="Times New Roman" w:hAnsi="Times New Roman"/>
                <w:sz w:val="28"/>
                <w:szCs w:val="28"/>
                <w:shd w:val="clear" w:color="auto" w:fill="FFFFFF"/>
              </w:rPr>
              <w:t xml:space="preserve">De rând cu acestea se propune ca licența operațiunilor cu materiale explozive, după cum urmează: producerea, comercializarea, depozitarea, importul, exportul, reexportul, tranzitul materialelor explozive cu destinație civilă și/sau efectuarea lucrărilor cu acestea, să fie eliberată în continuare de Agenția Servicii Publice, însă cu respectarea propunerilor privind condițiile de licențiere a agenților economici pe domeniul explozivilor cu destinație civilă, lista documentelor necesare pentru obținerea și prelungirea licenței, precum și condițiile și temeiurile de suspendare temporară sau de retragere a licenței pentru operațiunile cu materiale explozive </w:t>
            </w:r>
          </w:p>
          <w:p w14:paraId="0D819C95" w14:textId="77777777" w:rsidR="008479A9" w:rsidRPr="008479A9" w:rsidRDefault="008479A9" w:rsidP="008479A9">
            <w:pPr>
              <w:spacing w:after="0" w:line="240" w:lineRule="auto"/>
              <w:ind w:left="31" w:right="31" w:firstLine="567"/>
              <w:jc w:val="both"/>
              <w:rPr>
                <w:rFonts w:ascii="Times New Roman" w:hAnsi="Times New Roman"/>
                <w:sz w:val="28"/>
                <w:szCs w:val="28"/>
                <w:shd w:val="clear" w:color="auto" w:fill="FFFFFF"/>
              </w:rPr>
            </w:pPr>
            <w:r w:rsidRPr="008479A9">
              <w:rPr>
                <w:rFonts w:ascii="Times New Roman" w:hAnsi="Times New Roman"/>
                <w:sz w:val="28"/>
                <w:szCs w:val="28"/>
                <w:shd w:val="clear" w:color="auto" w:fill="FFFFFF"/>
              </w:rPr>
              <w:t xml:space="preserve">Totodată,  Inspectoratul Național pentru Supraveghere Tehnică va elibera în continuare permisul pentru obținerea și depozitarea materialelor explozive, va elibera certificatul de utilizator final, va verifica condițiile pe care trebuie să le întrunească spațiile de depozitare, producere şi încătușare a materialelor explozive, va efectua procedura de confirmare oficială a capacităților și a întrunirii condițiilor pentru acces </w:t>
            </w:r>
            <w:r w:rsidRPr="008479A9">
              <w:rPr>
                <w:rFonts w:ascii="Times New Roman" w:hAnsi="Times New Roman"/>
                <w:sz w:val="28"/>
                <w:szCs w:val="28"/>
                <w:shd w:val="clear" w:color="auto" w:fill="FFFFFF"/>
              </w:rPr>
              <w:lastRenderedPageBreak/>
              <w:t>la operațiunile cu materiale explozive, va efectua procedura de atestare a artificierilor pentru efectuarea lucrărilor cu materiale explozive cu destinație civilă, va verifica respectarea condițiilor de atestare a artificierilor, precum și condițiile de suspendare, anulare și retragere a carnetului de artificier, va întreprinde măsurile corespunzătoare, pentru asigurarea introducerii în circuitul civil a materialelor explozive numai în cazul în care nu pun în pericol sănătatea și securitatea persoanelor, pentru depozitarea acestora în modul corespunzător și utilizarea lor în scopul pentru care au fost produse.</w:t>
            </w:r>
          </w:p>
          <w:p w14:paraId="4060B87A" w14:textId="77777777" w:rsidR="008479A9" w:rsidRPr="008479A9" w:rsidRDefault="008479A9" w:rsidP="008479A9">
            <w:pPr>
              <w:spacing w:after="0" w:line="240" w:lineRule="auto"/>
              <w:ind w:left="31" w:right="31" w:firstLine="567"/>
              <w:jc w:val="both"/>
              <w:rPr>
                <w:rFonts w:ascii="Times New Roman" w:hAnsi="Times New Roman"/>
                <w:sz w:val="28"/>
                <w:szCs w:val="28"/>
                <w:shd w:val="clear" w:color="auto" w:fill="FFFFFF"/>
              </w:rPr>
            </w:pPr>
            <w:r w:rsidRPr="008479A9">
              <w:rPr>
                <w:rFonts w:ascii="Times New Roman" w:hAnsi="Times New Roman"/>
                <w:sz w:val="28"/>
                <w:szCs w:val="28"/>
                <w:shd w:val="clear" w:color="auto" w:fill="FFFFFF"/>
              </w:rPr>
              <w:t xml:space="preserve"> Autoritatea abilitată cu atribuții de supraveghere a pieței va avea posibilitatea de aplicare a procedurii de confiscare a explozivului, dacă există suficiente probe care să ateste că explozivul respectiv face obiectul unei achiziționări, utilizări sau trafic ilicit.</w:t>
            </w:r>
          </w:p>
          <w:p w14:paraId="5991EA93" w14:textId="77777777" w:rsidR="008479A9" w:rsidRPr="008479A9" w:rsidRDefault="008479A9" w:rsidP="008479A9">
            <w:pPr>
              <w:spacing w:after="0" w:line="240" w:lineRule="auto"/>
              <w:ind w:left="31" w:right="31" w:firstLine="567"/>
              <w:jc w:val="both"/>
              <w:rPr>
                <w:rFonts w:ascii="Times New Roman" w:hAnsi="Times New Roman"/>
                <w:sz w:val="28"/>
                <w:szCs w:val="28"/>
                <w:shd w:val="clear" w:color="auto" w:fill="FFFFFF"/>
              </w:rPr>
            </w:pPr>
            <w:r w:rsidRPr="008479A9">
              <w:rPr>
                <w:rFonts w:ascii="Times New Roman" w:hAnsi="Times New Roman"/>
                <w:sz w:val="28"/>
                <w:szCs w:val="28"/>
                <w:shd w:val="clear" w:color="auto" w:fill="FFFFFF"/>
              </w:rPr>
              <w:t>În cazul unor amenințări grave sau al unor atentate la siguranța publică ca urmare a deținerii sau utilizării ilicite a explozivilor, Inspectoratul Național pentru Supraveghere Tehnică, cu suportul structurii de specialitate a Poliției, poate lua</w:t>
            </w:r>
            <w:r w:rsidRPr="00577869">
              <w:rPr>
                <w:color w:val="000000"/>
                <w:sz w:val="28"/>
                <w:szCs w:val="28"/>
                <w:lang w:eastAsia="ro-RO"/>
              </w:rPr>
              <w:t xml:space="preserve"> </w:t>
            </w:r>
            <w:r w:rsidRPr="008479A9">
              <w:rPr>
                <w:rFonts w:ascii="Times New Roman" w:hAnsi="Times New Roman"/>
                <w:sz w:val="28"/>
                <w:szCs w:val="28"/>
                <w:shd w:val="clear" w:color="auto" w:fill="FFFFFF"/>
              </w:rPr>
              <w:t>toate măsurile necesare referitoare la ridicarea</w:t>
            </w:r>
            <w:r w:rsidR="00C540EE">
              <w:rPr>
                <w:rFonts w:ascii="Times New Roman" w:hAnsi="Times New Roman"/>
                <w:sz w:val="28"/>
                <w:szCs w:val="28"/>
                <w:shd w:val="clear" w:color="auto" w:fill="FFFFFF"/>
              </w:rPr>
              <w:t xml:space="preserve">, transportare </w:t>
            </w:r>
            <w:r w:rsidRPr="008479A9">
              <w:rPr>
                <w:rFonts w:ascii="Times New Roman" w:hAnsi="Times New Roman"/>
                <w:sz w:val="28"/>
                <w:szCs w:val="28"/>
                <w:shd w:val="clear" w:color="auto" w:fill="FFFFFF"/>
              </w:rPr>
              <w:t>și depozitarea explozivilor pentru a preveni astfel de situații de deținere sau utilizare ilicită</w:t>
            </w:r>
            <w:r w:rsidR="00C540EE">
              <w:rPr>
                <w:rFonts w:ascii="Times New Roman" w:hAnsi="Times New Roman"/>
                <w:sz w:val="28"/>
                <w:szCs w:val="28"/>
                <w:shd w:val="clear" w:color="auto" w:fill="FFFFFF"/>
              </w:rPr>
              <w:t xml:space="preserve">, </w:t>
            </w:r>
            <w:r w:rsidR="00C540EE" w:rsidRPr="00813BF4">
              <w:rPr>
                <w:rFonts w:ascii="Times New Roman" w:hAnsi="Times New Roman"/>
                <w:sz w:val="28"/>
                <w:szCs w:val="28"/>
              </w:rPr>
              <w:t>precum și introducerea sau punerea la dispoziției pe piață a unor materiale explozive neconforme</w:t>
            </w:r>
            <w:r w:rsidR="00C540EE">
              <w:rPr>
                <w:rFonts w:ascii="Times New Roman" w:hAnsi="Times New Roman"/>
                <w:sz w:val="28"/>
                <w:szCs w:val="28"/>
              </w:rPr>
              <w:t>.</w:t>
            </w:r>
          </w:p>
          <w:p w14:paraId="4DE0E377" w14:textId="77777777" w:rsidR="008479A9" w:rsidRPr="008479A9" w:rsidRDefault="008479A9" w:rsidP="008479A9">
            <w:pPr>
              <w:spacing w:after="0" w:line="240" w:lineRule="auto"/>
              <w:ind w:left="31" w:right="31" w:firstLine="567"/>
              <w:jc w:val="both"/>
              <w:rPr>
                <w:rFonts w:ascii="Times New Roman" w:hAnsi="Times New Roman"/>
                <w:sz w:val="28"/>
                <w:szCs w:val="28"/>
                <w:shd w:val="clear" w:color="auto" w:fill="FFFFFF"/>
              </w:rPr>
            </w:pPr>
            <w:r w:rsidRPr="008479A9">
              <w:rPr>
                <w:rFonts w:ascii="Times New Roman" w:hAnsi="Times New Roman"/>
                <w:sz w:val="28"/>
                <w:szCs w:val="28"/>
                <w:shd w:val="clear" w:color="auto" w:fill="FFFFFF"/>
              </w:rPr>
              <w:t>Autoritatea centrală de specialitate abilitată în domeniul securității industriale va notifica autoritățile abilitate în domeniu a statelor străine și organizațiilor internaționale relevante privind transferul de materiale explozive cu destinație civilă efectuat de pe teritoriul Republicii Moldova către acestea.</w:t>
            </w:r>
          </w:p>
          <w:p w14:paraId="478332CF" w14:textId="77777777" w:rsidR="008479A9" w:rsidRPr="008479A9" w:rsidRDefault="008479A9" w:rsidP="008479A9">
            <w:pPr>
              <w:spacing w:after="0" w:line="240" w:lineRule="auto"/>
              <w:ind w:left="31" w:right="31" w:firstLine="567"/>
              <w:jc w:val="both"/>
              <w:rPr>
                <w:rFonts w:ascii="Times New Roman" w:hAnsi="Times New Roman"/>
                <w:sz w:val="28"/>
                <w:szCs w:val="28"/>
                <w:shd w:val="clear" w:color="auto" w:fill="FFFFFF"/>
              </w:rPr>
            </w:pPr>
            <w:r w:rsidRPr="008479A9">
              <w:rPr>
                <w:rFonts w:ascii="Times New Roman" w:hAnsi="Times New Roman"/>
                <w:sz w:val="28"/>
                <w:szCs w:val="28"/>
                <w:shd w:val="clear" w:color="auto" w:fill="FFFFFF"/>
              </w:rPr>
              <w:t xml:space="preserve">Autoritatea de specialitate abilitată în domeniul securității și sănătății în muncă </w:t>
            </w:r>
            <w:r w:rsidR="00C540EE">
              <w:rPr>
                <w:rFonts w:ascii="Times New Roman" w:hAnsi="Times New Roman"/>
                <w:sz w:val="28"/>
                <w:szCs w:val="28"/>
                <w:shd w:val="clear" w:color="auto" w:fill="FFFFFF"/>
              </w:rPr>
              <w:t>va îndeplini</w:t>
            </w:r>
            <w:r w:rsidRPr="008479A9">
              <w:rPr>
                <w:rFonts w:ascii="Times New Roman" w:hAnsi="Times New Roman"/>
                <w:sz w:val="28"/>
                <w:szCs w:val="28"/>
                <w:shd w:val="clear" w:color="auto" w:fill="FFFFFF"/>
              </w:rPr>
              <w:t xml:space="preserve"> funcții de exercitare a inspecției de stat asupra respectării actelor normative în domeniul muncii la efectuarea operațiunilor cu materiale explozive</w:t>
            </w:r>
          </w:p>
          <w:p w14:paraId="0F40FC3B" w14:textId="77777777" w:rsidR="00C540EE" w:rsidRDefault="008479A9" w:rsidP="00C540EE">
            <w:pPr>
              <w:spacing w:after="0" w:line="240" w:lineRule="auto"/>
              <w:ind w:left="31" w:right="31" w:firstLine="567"/>
              <w:jc w:val="both"/>
              <w:rPr>
                <w:rFonts w:ascii="Times New Roman" w:hAnsi="Times New Roman"/>
                <w:sz w:val="28"/>
                <w:szCs w:val="28"/>
                <w:shd w:val="clear" w:color="auto" w:fill="FFFFFF"/>
              </w:rPr>
            </w:pPr>
            <w:r w:rsidRPr="008479A9">
              <w:rPr>
                <w:rFonts w:ascii="Times New Roman" w:hAnsi="Times New Roman"/>
                <w:sz w:val="28"/>
                <w:szCs w:val="28"/>
                <w:shd w:val="clear" w:color="auto" w:fill="FFFFFF"/>
              </w:rPr>
              <w:t xml:space="preserve">Autoritatea de specialitate abilitată în domeniul protecției mediului </w:t>
            </w:r>
            <w:r w:rsidR="00C540EE">
              <w:rPr>
                <w:rFonts w:ascii="Times New Roman" w:hAnsi="Times New Roman"/>
                <w:sz w:val="28"/>
                <w:szCs w:val="28"/>
                <w:shd w:val="clear" w:color="auto" w:fill="FFFFFF"/>
              </w:rPr>
              <w:t>va îndeplini</w:t>
            </w:r>
            <w:r w:rsidRPr="008479A9">
              <w:rPr>
                <w:rFonts w:ascii="Times New Roman" w:hAnsi="Times New Roman"/>
                <w:sz w:val="28"/>
                <w:szCs w:val="28"/>
                <w:shd w:val="clear" w:color="auto" w:fill="FFFFFF"/>
              </w:rPr>
              <w:t xml:space="preserve"> funcții de exercitare a controlului de stat asupra respectării actelor normative în domeniul protecției mediului ambiant la efectuarea operațiunilor cu materiale explozive.</w:t>
            </w:r>
          </w:p>
          <w:p w14:paraId="4B190C6B" w14:textId="77777777" w:rsidR="00B244FF" w:rsidRDefault="00DE7BD6" w:rsidP="00C540EE">
            <w:pPr>
              <w:spacing w:after="0" w:line="240" w:lineRule="auto"/>
              <w:ind w:left="31" w:right="31" w:firstLine="567"/>
              <w:jc w:val="both"/>
              <w:rPr>
                <w:rFonts w:ascii="Times New Roman" w:hAnsi="Times New Roman"/>
                <w:sz w:val="28"/>
                <w:szCs w:val="28"/>
                <w:shd w:val="clear" w:color="auto" w:fill="FFFFFF"/>
              </w:rPr>
            </w:pPr>
            <w:r w:rsidRPr="00DE7BD6">
              <w:rPr>
                <w:rFonts w:ascii="Times New Roman" w:hAnsi="Times New Roman"/>
                <w:sz w:val="28"/>
                <w:szCs w:val="28"/>
                <w:shd w:val="clear" w:color="auto" w:fill="FFFFFF"/>
              </w:rPr>
              <w:t xml:space="preserve">Pe cale de consecință, pentru a asigura compatibilitatea legislației naționale cu acquis-ul comunitar în domeniul explozivilor </w:t>
            </w:r>
            <w:r>
              <w:rPr>
                <w:rFonts w:ascii="Times New Roman" w:hAnsi="Times New Roman"/>
                <w:sz w:val="28"/>
                <w:szCs w:val="28"/>
                <w:shd w:val="clear" w:color="auto" w:fill="FFFFFF"/>
              </w:rPr>
              <w:t>cu destinație civilă</w:t>
            </w:r>
            <w:r w:rsidRPr="00DE7BD6">
              <w:rPr>
                <w:rFonts w:ascii="Times New Roman" w:hAnsi="Times New Roman"/>
                <w:sz w:val="28"/>
                <w:szCs w:val="28"/>
                <w:shd w:val="clear" w:color="auto" w:fill="FFFFFF"/>
              </w:rPr>
              <w:t xml:space="preserve">, a fost necesară elaborarea prezentului proiect de </w:t>
            </w:r>
            <w:r w:rsidR="00FA2FDC">
              <w:rPr>
                <w:rFonts w:ascii="Times New Roman" w:hAnsi="Times New Roman"/>
                <w:sz w:val="28"/>
                <w:szCs w:val="28"/>
                <w:shd w:val="clear" w:color="auto" w:fill="FFFFFF"/>
              </w:rPr>
              <w:t xml:space="preserve">lege, </w:t>
            </w:r>
            <w:r w:rsidRPr="00DE7BD6">
              <w:rPr>
                <w:rFonts w:ascii="Times New Roman" w:hAnsi="Times New Roman"/>
                <w:sz w:val="28"/>
                <w:szCs w:val="28"/>
                <w:shd w:val="clear" w:color="auto" w:fill="FFFFFF"/>
              </w:rPr>
              <w:t xml:space="preserve">care transpune în </w:t>
            </w:r>
            <w:r w:rsidR="00FA2FDC" w:rsidRPr="00DE7BD6">
              <w:rPr>
                <w:rFonts w:ascii="Times New Roman" w:hAnsi="Times New Roman"/>
                <w:sz w:val="28"/>
                <w:szCs w:val="28"/>
                <w:shd w:val="clear" w:color="auto" w:fill="FFFFFF"/>
              </w:rPr>
              <w:t>legislația</w:t>
            </w:r>
            <w:r w:rsidRPr="00DE7BD6">
              <w:rPr>
                <w:rFonts w:ascii="Times New Roman" w:hAnsi="Times New Roman"/>
                <w:sz w:val="28"/>
                <w:szCs w:val="28"/>
                <w:shd w:val="clear" w:color="auto" w:fill="FFFFFF"/>
              </w:rPr>
              <w:t xml:space="preserve"> </w:t>
            </w:r>
            <w:r w:rsidR="00FA2FDC" w:rsidRPr="00DE7BD6">
              <w:rPr>
                <w:rFonts w:ascii="Times New Roman" w:hAnsi="Times New Roman"/>
                <w:sz w:val="28"/>
                <w:szCs w:val="28"/>
                <w:shd w:val="clear" w:color="auto" w:fill="FFFFFF"/>
              </w:rPr>
              <w:t>națională</w:t>
            </w:r>
            <w:r w:rsidRPr="00DE7BD6">
              <w:rPr>
                <w:rFonts w:ascii="Times New Roman" w:hAnsi="Times New Roman"/>
                <w:sz w:val="28"/>
                <w:szCs w:val="28"/>
                <w:shd w:val="clear" w:color="auto" w:fill="FFFFFF"/>
              </w:rPr>
              <w:t xml:space="preserve"> Directiva europeană 2014/28/UE.</w:t>
            </w:r>
          </w:p>
          <w:p w14:paraId="1AFE4C6D" w14:textId="77777777" w:rsidR="00D306DF" w:rsidRPr="00EA7A59" w:rsidRDefault="00D306DF" w:rsidP="00C540EE">
            <w:pPr>
              <w:tabs>
                <w:tab w:val="left" w:pos="993"/>
              </w:tabs>
              <w:spacing w:after="0" w:line="240" w:lineRule="auto"/>
              <w:ind w:firstLine="605"/>
              <w:jc w:val="both"/>
              <w:rPr>
                <w:rFonts w:ascii="Times New Roman" w:hAnsi="Times New Roman"/>
                <w:sz w:val="28"/>
                <w:szCs w:val="28"/>
                <w:lang w:eastAsia="ru-RU"/>
              </w:rPr>
            </w:pPr>
          </w:p>
        </w:tc>
      </w:tr>
      <w:tr w:rsidR="003969F9" w:rsidRPr="00EA7A59" w14:paraId="11B1FA44" w14:textId="77777777" w:rsidTr="008B6370">
        <w:trPr>
          <w:trHeight w:val="774"/>
        </w:trPr>
        <w:tc>
          <w:tcPr>
            <w:tcW w:w="9781" w:type="dxa"/>
            <w:tcBorders>
              <w:top w:val="single" w:sz="4" w:space="0" w:color="auto"/>
              <w:left w:val="single" w:sz="4" w:space="0" w:color="auto"/>
              <w:bottom w:val="single" w:sz="4" w:space="0" w:color="auto"/>
              <w:right w:val="single" w:sz="4" w:space="0" w:color="auto"/>
            </w:tcBorders>
            <w:shd w:val="clear" w:color="auto" w:fill="BFBFBF"/>
            <w:hideMark/>
          </w:tcPr>
          <w:p w14:paraId="67DFD9C3" w14:textId="77777777" w:rsidR="000045F3" w:rsidRPr="00EA7A59" w:rsidRDefault="00F75D46" w:rsidP="008054E1">
            <w:pPr>
              <w:pStyle w:val="a3"/>
              <w:tabs>
                <w:tab w:val="left" w:pos="888"/>
              </w:tabs>
              <w:spacing w:after="0" w:line="240" w:lineRule="auto"/>
              <w:ind w:left="0" w:firstLine="604"/>
              <w:jc w:val="both"/>
              <w:rPr>
                <w:rFonts w:ascii="Times New Roman" w:hAnsi="Times New Roman"/>
                <w:b/>
                <w:sz w:val="28"/>
                <w:szCs w:val="28"/>
                <w:lang w:eastAsia="ru-RU"/>
              </w:rPr>
            </w:pPr>
            <w:r w:rsidRPr="00EA7A59">
              <w:rPr>
                <w:rFonts w:ascii="Times New Roman" w:hAnsi="Times New Roman"/>
                <w:b/>
                <w:sz w:val="28"/>
                <w:szCs w:val="28"/>
                <w:lang w:eastAsia="ru-RU"/>
              </w:rPr>
              <w:lastRenderedPageBreak/>
              <w:t>3.</w:t>
            </w:r>
            <w:r w:rsidR="00B70E31" w:rsidRPr="00EA7A59">
              <w:rPr>
                <w:rFonts w:ascii="Times New Roman" w:hAnsi="Times New Roman"/>
                <w:b/>
                <w:sz w:val="28"/>
                <w:szCs w:val="28"/>
                <w:lang w:eastAsia="ru-RU"/>
              </w:rPr>
              <w:t xml:space="preserve"> </w:t>
            </w:r>
            <w:r w:rsidR="00DD4963" w:rsidRPr="00EA7A59">
              <w:rPr>
                <w:rFonts w:ascii="Times New Roman" w:hAnsi="Times New Roman"/>
                <w:b/>
                <w:sz w:val="28"/>
                <w:szCs w:val="28"/>
                <w:lang w:eastAsia="ru-RU"/>
              </w:rPr>
              <w:t>Descrierea gradului de compatibilitate pentru proiectele care au ca scop armonizarea legislației naționale cu legislația Uniunii Europene</w:t>
            </w:r>
          </w:p>
        </w:tc>
      </w:tr>
      <w:tr w:rsidR="003969F9" w:rsidRPr="00EA7A59" w14:paraId="1CCE73C8" w14:textId="77777777" w:rsidTr="008B6370">
        <w:tc>
          <w:tcPr>
            <w:tcW w:w="9781" w:type="dxa"/>
            <w:tcBorders>
              <w:top w:val="single" w:sz="4" w:space="0" w:color="auto"/>
              <w:left w:val="single" w:sz="4" w:space="0" w:color="auto"/>
              <w:bottom w:val="single" w:sz="4" w:space="0" w:color="auto"/>
              <w:right w:val="single" w:sz="4" w:space="0" w:color="auto"/>
            </w:tcBorders>
            <w:hideMark/>
          </w:tcPr>
          <w:p w14:paraId="73DAAFCF" w14:textId="77777777" w:rsidR="00955946" w:rsidRDefault="00955946" w:rsidP="008054E1">
            <w:pPr>
              <w:tabs>
                <w:tab w:val="left" w:pos="888"/>
              </w:tabs>
              <w:spacing w:after="0" w:line="240" w:lineRule="auto"/>
              <w:ind w:firstLine="604"/>
              <w:jc w:val="both"/>
              <w:rPr>
                <w:rFonts w:ascii="Times New Roman" w:hAnsi="Times New Roman"/>
                <w:sz w:val="28"/>
                <w:szCs w:val="28"/>
                <w:lang w:eastAsia="ru-RU"/>
              </w:rPr>
            </w:pPr>
            <w:r>
              <w:rPr>
                <w:rFonts w:ascii="Times New Roman" w:hAnsi="Times New Roman"/>
                <w:sz w:val="28"/>
                <w:szCs w:val="28"/>
                <w:lang w:eastAsia="ru-RU"/>
              </w:rPr>
              <w:t xml:space="preserve">Intervenția rezultă din </w:t>
            </w:r>
            <w:r w:rsidR="00216481">
              <w:rPr>
                <w:rFonts w:ascii="Times New Roman" w:hAnsi="Times New Roman"/>
                <w:sz w:val="28"/>
                <w:szCs w:val="28"/>
                <w:lang w:eastAsia="ru-RU"/>
              </w:rPr>
              <w:t xml:space="preserve">necesitatea îndeplinirii </w:t>
            </w:r>
            <w:r>
              <w:rPr>
                <w:rFonts w:ascii="Times New Roman" w:hAnsi="Times New Roman"/>
                <w:sz w:val="28"/>
                <w:szCs w:val="28"/>
                <w:lang w:eastAsia="ru-RU"/>
              </w:rPr>
              <w:t>angajamentel</w:t>
            </w:r>
            <w:r w:rsidR="00216481">
              <w:rPr>
                <w:rFonts w:ascii="Times New Roman" w:hAnsi="Times New Roman"/>
                <w:sz w:val="28"/>
                <w:szCs w:val="28"/>
                <w:lang w:eastAsia="ru-RU"/>
              </w:rPr>
              <w:t xml:space="preserve">or </w:t>
            </w:r>
            <w:r>
              <w:rPr>
                <w:rFonts w:ascii="Times New Roman" w:hAnsi="Times New Roman"/>
                <w:sz w:val="28"/>
                <w:szCs w:val="28"/>
                <w:lang w:eastAsia="ru-RU"/>
              </w:rPr>
              <w:t xml:space="preserve">asumate de Republica Moldova </w:t>
            </w:r>
            <w:r w:rsidRPr="00E44D78">
              <w:rPr>
                <w:rFonts w:ascii="Times New Roman" w:hAnsi="Times New Roman"/>
                <w:sz w:val="28"/>
                <w:szCs w:val="28"/>
                <w:shd w:val="clear" w:color="auto" w:fill="FFFFFF"/>
              </w:rPr>
              <w:t xml:space="preserve">în </w:t>
            </w:r>
            <w:r w:rsidR="00032451">
              <w:rPr>
                <w:rFonts w:ascii="Times New Roman" w:hAnsi="Times New Roman"/>
                <w:sz w:val="28"/>
                <w:szCs w:val="28"/>
                <w:shd w:val="clear" w:color="auto" w:fill="FFFFFF"/>
              </w:rPr>
              <w:t xml:space="preserve">baza </w:t>
            </w:r>
            <w:r w:rsidRPr="00E44D78">
              <w:rPr>
                <w:rFonts w:ascii="Times New Roman" w:hAnsi="Times New Roman"/>
                <w:sz w:val="28"/>
                <w:szCs w:val="28"/>
                <w:lang w:eastAsia="en-GB"/>
              </w:rPr>
              <w:t>Acordul</w:t>
            </w:r>
            <w:r w:rsidR="00032451">
              <w:rPr>
                <w:rFonts w:ascii="Times New Roman" w:hAnsi="Times New Roman"/>
                <w:sz w:val="28"/>
                <w:szCs w:val="28"/>
                <w:lang w:eastAsia="en-GB"/>
              </w:rPr>
              <w:t>ui</w:t>
            </w:r>
            <w:r w:rsidRPr="00E44D78">
              <w:rPr>
                <w:rFonts w:ascii="Times New Roman" w:hAnsi="Times New Roman"/>
                <w:sz w:val="28"/>
                <w:szCs w:val="28"/>
                <w:lang w:eastAsia="en-GB"/>
              </w:rPr>
              <w:t xml:space="preserve"> de Asociere între Uniunea Europeană și Comunitatea Europeană a Energiei Atomice și statele membre ale acestora, pe de o parte, și Republica Moldova, pe de altă parte</w:t>
            </w:r>
            <w:r>
              <w:rPr>
                <w:rFonts w:ascii="Times New Roman" w:hAnsi="Times New Roman"/>
                <w:sz w:val="28"/>
                <w:szCs w:val="28"/>
                <w:lang w:eastAsia="en-GB"/>
              </w:rPr>
              <w:t xml:space="preserve">, precum și </w:t>
            </w:r>
            <w:r>
              <w:rPr>
                <w:rFonts w:ascii="Times New Roman" w:hAnsi="Times New Roman"/>
                <w:sz w:val="28"/>
                <w:szCs w:val="28"/>
                <w:shd w:val="clear" w:color="auto" w:fill="FFFFFF"/>
              </w:rPr>
              <w:t xml:space="preserve">îndeplinirea măsurilor prioritare pentru ridicarea nivelului de pregătire pentru aderarea la Uniunea Europeană și aliniere la legislația Uniunii Europene, asigurării implementării integrale, calitative și în termen a recomandărilor formulate de Comisia Europeană, </w:t>
            </w:r>
            <w:r w:rsidRPr="00955946">
              <w:rPr>
                <w:rFonts w:ascii="Times New Roman" w:hAnsi="Times New Roman"/>
                <w:sz w:val="28"/>
                <w:szCs w:val="28"/>
                <w:shd w:val="clear" w:color="auto" w:fill="FFFFFF"/>
              </w:rPr>
              <w:t xml:space="preserve">pentru implementarea </w:t>
            </w:r>
            <w:r w:rsidRPr="00955946">
              <w:rPr>
                <w:rFonts w:ascii="Times New Roman" w:hAnsi="Times New Roman"/>
                <w:sz w:val="28"/>
                <w:szCs w:val="28"/>
                <w:shd w:val="clear" w:color="auto" w:fill="FFFFFF"/>
              </w:rPr>
              <w:lastRenderedPageBreak/>
              <w:t>Agendei de Asociere Republica Moldova – Uniunea Europeană în perioada 2021-2027</w:t>
            </w:r>
            <w:r>
              <w:rPr>
                <w:rFonts w:ascii="Times New Roman" w:hAnsi="Times New Roman"/>
                <w:sz w:val="28"/>
                <w:szCs w:val="28"/>
                <w:shd w:val="clear" w:color="auto" w:fill="FFFFFF"/>
              </w:rPr>
              <w:t>.</w:t>
            </w:r>
          </w:p>
          <w:p w14:paraId="27977F61" w14:textId="77777777" w:rsidR="00955946" w:rsidRDefault="00956D2F" w:rsidP="00955946">
            <w:pPr>
              <w:tabs>
                <w:tab w:val="left" w:pos="888"/>
              </w:tabs>
              <w:spacing w:after="0" w:line="240" w:lineRule="auto"/>
              <w:ind w:firstLine="604"/>
              <w:jc w:val="both"/>
              <w:rPr>
                <w:rFonts w:ascii="Times New Roman" w:hAnsi="Times New Roman"/>
                <w:i/>
                <w:iCs/>
                <w:sz w:val="28"/>
                <w:szCs w:val="28"/>
                <w:lang w:eastAsia="ru-RU"/>
              </w:rPr>
            </w:pPr>
            <w:r>
              <w:rPr>
                <w:rFonts w:ascii="Times New Roman" w:hAnsi="Times New Roman"/>
                <w:sz w:val="28"/>
                <w:szCs w:val="28"/>
                <w:lang w:eastAsia="ru-RU"/>
              </w:rPr>
              <w:t xml:space="preserve">Proiectul </w:t>
            </w:r>
            <w:r w:rsidR="00DD4963" w:rsidRPr="00EA7A59">
              <w:rPr>
                <w:rFonts w:ascii="Times New Roman" w:hAnsi="Times New Roman"/>
                <w:sz w:val="28"/>
                <w:szCs w:val="28"/>
                <w:lang w:eastAsia="ru-RU"/>
              </w:rPr>
              <w:t xml:space="preserve">are drept scop armonizarea legislației naționale cu </w:t>
            </w:r>
            <w:r w:rsidRPr="00956D2F">
              <w:rPr>
                <w:rFonts w:ascii="Times New Roman" w:hAnsi="Times New Roman"/>
                <w:iCs/>
                <w:sz w:val="28"/>
                <w:szCs w:val="28"/>
                <w:lang w:eastAsia="ru-RU"/>
              </w:rPr>
              <w:t>Directiv</w:t>
            </w:r>
            <w:r>
              <w:rPr>
                <w:rFonts w:ascii="Times New Roman" w:hAnsi="Times New Roman"/>
                <w:iCs/>
                <w:sz w:val="28"/>
                <w:szCs w:val="28"/>
                <w:lang w:eastAsia="ru-RU"/>
              </w:rPr>
              <w:t>a</w:t>
            </w:r>
            <w:r w:rsidRPr="00956D2F">
              <w:rPr>
                <w:rFonts w:ascii="Times New Roman" w:hAnsi="Times New Roman"/>
                <w:iCs/>
                <w:sz w:val="28"/>
                <w:szCs w:val="28"/>
                <w:lang w:eastAsia="ru-RU"/>
              </w:rPr>
              <w:t xml:space="preserve"> 2014/28/UE a Parlamentului European şi a Consiliului, </w:t>
            </w:r>
            <w:r w:rsidRPr="00956D2F">
              <w:rPr>
                <w:rFonts w:ascii="Times New Roman" w:hAnsi="Times New Roman"/>
                <w:i/>
                <w:iCs/>
                <w:sz w:val="28"/>
                <w:szCs w:val="28"/>
                <w:lang w:eastAsia="ru-RU"/>
              </w:rPr>
              <w:t>privind armonizarea legislației statelor membre referitoare la punerea la dispoziție pe</w:t>
            </w:r>
            <w:r w:rsidRPr="00956D2F">
              <w:rPr>
                <w:rFonts w:ascii="Times New Roman" w:hAnsi="Times New Roman"/>
                <w:iCs/>
                <w:sz w:val="28"/>
                <w:szCs w:val="28"/>
                <w:lang w:eastAsia="ru-RU"/>
              </w:rPr>
              <w:t xml:space="preserve"> </w:t>
            </w:r>
            <w:r w:rsidRPr="00956D2F">
              <w:rPr>
                <w:rFonts w:ascii="Times New Roman" w:hAnsi="Times New Roman"/>
                <w:i/>
                <w:iCs/>
                <w:sz w:val="28"/>
                <w:szCs w:val="28"/>
                <w:lang w:eastAsia="ru-RU"/>
              </w:rPr>
              <w:t>piață și controlul explozivilor de uz civil (reformare)</w:t>
            </w:r>
            <w:r w:rsidR="00955946">
              <w:rPr>
                <w:rFonts w:ascii="Times New Roman" w:hAnsi="Times New Roman"/>
                <w:i/>
                <w:iCs/>
                <w:sz w:val="28"/>
                <w:szCs w:val="28"/>
                <w:lang w:eastAsia="ru-RU"/>
              </w:rPr>
              <w:t>.</w:t>
            </w:r>
          </w:p>
          <w:p w14:paraId="79FE645B" w14:textId="3B15C3DC" w:rsidR="00955946" w:rsidRDefault="00955946" w:rsidP="00032451">
            <w:pPr>
              <w:tabs>
                <w:tab w:val="left" w:pos="888"/>
              </w:tabs>
              <w:spacing w:after="0" w:line="240" w:lineRule="auto"/>
              <w:ind w:firstLine="604"/>
              <w:jc w:val="both"/>
              <w:rPr>
                <w:rFonts w:ascii="Times New Roman" w:hAnsi="Times New Roman"/>
                <w:bCs/>
                <w:sz w:val="28"/>
                <w:szCs w:val="28"/>
              </w:rPr>
            </w:pPr>
            <w:r w:rsidRPr="00955946">
              <w:rPr>
                <w:rFonts w:ascii="Times New Roman" w:hAnsi="Times New Roman"/>
                <w:bCs/>
                <w:sz w:val="28"/>
                <w:szCs w:val="28"/>
                <w:lang w:eastAsia="ru-RU"/>
              </w:rPr>
              <w:t xml:space="preserve">Prin urmare, a fost </w:t>
            </w:r>
            <w:r>
              <w:rPr>
                <w:rFonts w:ascii="Times New Roman" w:hAnsi="Times New Roman"/>
                <w:bCs/>
                <w:sz w:val="28"/>
                <w:szCs w:val="28"/>
                <w:lang w:eastAsia="ru-RU"/>
              </w:rPr>
              <w:t xml:space="preserve">elaborat tabelul de concordanță a </w:t>
            </w:r>
            <w:r w:rsidRPr="00955946">
              <w:rPr>
                <w:rFonts w:ascii="Times New Roman" w:hAnsi="Times New Roman"/>
                <w:bCs/>
                <w:sz w:val="28"/>
                <w:szCs w:val="28"/>
              </w:rPr>
              <w:t xml:space="preserve">proiectului </w:t>
            </w:r>
            <w:r w:rsidR="00032451">
              <w:rPr>
                <w:rFonts w:ascii="Times New Roman" w:hAnsi="Times New Roman"/>
                <w:bCs/>
                <w:sz w:val="28"/>
                <w:szCs w:val="28"/>
              </w:rPr>
              <w:t>de lege privind regimul materialelor explozive cu destinație civilă cu</w:t>
            </w:r>
            <w:r w:rsidR="00593933">
              <w:rPr>
                <w:rFonts w:ascii="Times New Roman" w:hAnsi="Times New Roman"/>
                <w:bCs/>
                <w:sz w:val="28"/>
                <w:szCs w:val="28"/>
              </w:rPr>
              <w:t xml:space="preserve"> </w:t>
            </w:r>
            <w:r w:rsidR="00032451" w:rsidRPr="00956D2F">
              <w:rPr>
                <w:rFonts w:ascii="Times New Roman" w:hAnsi="Times New Roman"/>
                <w:iCs/>
                <w:sz w:val="28"/>
                <w:szCs w:val="28"/>
                <w:lang w:eastAsia="ru-RU"/>
              </w:rPr>
              <w:t>Directiv</w:t>
            </w:r>
            <w:r w:rsidR="00032451">
              <w:rPr>
                <w:rFonts w:ascii="Times New Roman" w:hAnsi="Times New Roman"/>
                <w:iCs/>
                <w:sz w:val="28"/>
                <w:szCs w:val="28"/>
                <w:lang w:eastAsia="ru-RU"/>
              </w:rPr>
              <w:t>a</w:t>
            </w:r>
            <w:r w:rsidR="00032451" w:rsidRPr="00956D2F">
              <w:rPr>
                <w:rFonts w:ascii="Times New Roman" w:hAnsi="Times New Roman"/>
                <w:iCs/>
                <w:sz w:val="28"/>
                <w:szCs w:val="28"/>
                <w:lang w:eastAsia="ru-RU"/>
              </w:rPr>
              <w:t xml:space="preserve"> 2014/28/UE a Parlamentului European şi a Consiliului, </w:t>
            </w:r>
            <w:r w:rsidR="00032451" w:rsidRPr="00956D2F">
              <w:rPr>
                <w:rFonts w:ascii="Times New Roman" w:hAnsi="Times New Roman"/>
                <w:i/>
                <w:iCs/>
                <w:sz w:val="28"/>
                <w:szCs w:val="28"/>
                <w:lang w:eastAsia="ru-RU"/>
              </w:rPr>
              <w:t>privind armonizarea legislației statelor membre referitoare la punerea la dispoziție pe</w:t>
            </w:r>
            <w:r w:rsidR="00032451" w:rsidRPr="00956D2F">
              <w:rPr>
                <w:rFonts w:ascii="Times New Roman" w:hAnsi="Times New Roman"/>
                <w:iCs/>
                <w:sz w:val="28"/>
                <w:szCs w:val="28"/>
                <w:lang w:eastAsia="ru-RU"/>
              </w:rPr>
              <w:t xml:space="preserve"> </w:t>
            </w:r>
            <w:r w:rsidR="00032451" w:rsidRPr="00956D2F">
              <w:rPr>
                <w:rFonts w:ascii="Times New Roman" w:hAnsi="Times New Roman"/>
                <w:i/>
                <w:iCs/>
                <w:sz w:val="28"/>
                <w:szCs w:val="28"/>
                <w:lang w:eastAsia="ru-RU"/>
              </w:rPr>
              <w:t>piață și controlul explozivilor de uz civil (reformare)</w:t>
            </w:r>
            <w:r w:rsidR="00593933">
              <w:rPr>
                <w:rFonts w:ascii="Times New Roman" w:hAnsi="Times New Roman"/>
                <w:bCs/>
                <w:sz w:val="28"/>
                <w:szCs w:val="28"/>
              </w:rPr>
              <w:t>, care va fi transmis pentru examinare</w:t>
            </w:r>
            <w:r w:rsidR="00595403">
              <w:rPr>
                <w:rFonts w:ascii="Times New Roman" w:hAnsi="Times New Roman"/>
                <w:bCs/>
                <w:sz w:val="28"/>
                <w:szCs w:val="28"/>
              </w:rPr>
              <w:t xml:space="preserve"> și expertizare</w:t>
            </w:r>
            <w:r w:rsidR="00593933">
              <w:rPr>
                <w:rFonts w:ascii="Times New Roman" w:hAnsi="Times New Roman"/>
                <w:bCs/>
                <w:sz w:val="28"/>
                <w:szCs w:val="28"/>
              </w:rPr>
              <w:t xml:space="preserve"> Centrului de Armonizare a Legislației a Cancelariei de Stat.</w:t>
            </w:r>
          </w:p>
          <w:p w14:paraId="2F5CF923" w14:textId="77777777" w:rsidR="005A784B" w:rsidRPr="00593933" w:rsidRDefault="005A784B" w:rsidP="00032451">
            <w:pPr>
              <w:tabs>
                <w:tab w:val="left" w:pos="888"/>
              </w:tabs>
              <w:spacing w:after="0" w:line="240" w:lineRule="auto"/>
              <w:ind w:firstLine="604"/>
              <w:jc w:val="both"/>
              <w:rPr>
                <w:rFonts w:ascii="Times New Roman" w:hAnsi="Times New Roman"/>
                <w:i/>
                <w:iCs/>
                <w:sz w:val="28"/>
                <w:szCs w:val="28"/>
                <w:lang w:eastAsia="ru-RU"/>
              </w:rPr>
            </w:pPr>
          </w:p>
        </w:tc>
      </w:tr>
      <w:tr w:rsidR="003969F9" w:rsidRPr="00EA7A59" w14:paraId="26D73CFB" w14:textId="77777777" w:rsidTr="008B6370">
        <w:tc>
          <w:tcPr>
            <w:tcW w:w="9781" w:type="dxa"/>
            <w:tcBorders>
              <w:top w:val="single" w:sz="4" w:space="0" w:color="auto"/>
              <w:left w:val="single" w:sz="4" w:space="0" w:color="auto"/>
              <w:bottom w:val="single" w:sz="4" w:space="0" w:color="auto"/>
              <w:right w:val="single" w:sz="4" w:space="0" w:color="auto"/>
            </w:tcBorders>
            <w:shd w:val="clear" w:color="auto" w:fill="BFBFBF"/>
            <w:hideMark/>
          </w:tcPr>
          <w:p w14:paraId="373C7EBF" w14:textId="77777777" w:rsidR="004A217A" w:rsidRPr="00EA7A59" w:rsidRDefault="00F75D46" w:rsidP="008054E1">
            <w:pPr>
              <w:pStyle w:val="a3"/>
              <w:tabs>
                <w:tab w:val="left" w:pos="888"/>
              </w:tabs>
              <w:spacing w:after="0" w:line="240" w:lineRule="auto"/>
              <w:ind w:left="0" w:firstLine="604"/>
              <w:jc w:val="both"/>
              <w:rPr>
                <w:rFonts w:ascii="Times New Roman" w:hAnsi="Times New Roman"/>
                <w:b/>
                <w:sz w:val="28"/>
                <w:szCs w:val="28"/>
                <w:lang w:eastAsia="ru-RU"/>
              </w:rPr>
            </w:pPr>
            <w:r w:rsidRPr="00EA7A59">
              <w:rPr>
                <w:rFonts w:ascii="Times New Roman" w:hAnsi="Times New Roman"/>
                <w:b/>
                <w:sz w:val="28"/>
                <w:szCs w:val="28"/>
                <w:lang w:eastAsia="ru-RU"/>
              </w:rPr>
              <w:lastRenderedPageBreak/>
              <w:t>4.</w:t>
            </w:r>
            <w:r w:rsidR="00B70E31" w:rsidRPr="00EA7A59">
              <w:rPr>
                <w:rFonts w:ascii="Times New Roman" w:hAnsi="Times New Roman"/>
                <w:b/>
                <w:sz w:val="28"/>
                <w:szCs w:val="28"/>
                <w:lang w:eastAsia="ru-RU"/>
              </w:rPr>
              <w:t xml:space="preserve"> </w:t>
            </w:r>
            <w:r w:rsidR="00DD4963" w:rsidRPr="00EA7A59">
              <w:rPr>
                <w:rFonts w:ascii="Times New Roman" w:hAnsi="Times New Roman"/>
                <w:b/>
                <w:sz w:val="28"/>
                <w:szCs w:val="28"/>
                <w:lang w:eastAsia="ru-RU"/>
              </w:rPr>
              <w:t>Principalele prevederi ale proiectului şi evidențierea elementelor noi</w:t>
            </w:r>
          </w:p>
        </w:tc>
      </w:tr>
      <w:tr w:rsidR="003969F9" w:rsidRPr="00EA7A59" w14:paraId="5515EE93" w14:textId="77777777" w:rsidTr="008B6370">
        <w:tc>
          <w:tcPr>
            <w:tcW w:w="9781" w:type="dxa"/>
            <w:tcBorders>
              <w:top w:val="single" w:sz="4" w:space="0" w:color="auto"/>
              <w:left w:val="single" w:sz="4" w:space="0" w:color="auto"/>
              <w:bottom w:val="single" w:sz="4" w:space="0" w:color="auto"/>
              <w:right w:val="single" w:sz="4" w:space="0" w:color="auto"/>
            </w:tcBorders>
            <w:vAlign w:val="center"/>
          </w:tcPr>
          <w:p w14:paraId="2A4B29A0" w14:textId="77777777" w:rsidR="00593933" w:rsidRPr="00593933" w:rsidRDefault="00593933" w:rsidP="00593933">
            <w:pPr>
              <w:spacing w:after="0" w:line="240" w:lineRule="auto"/>
              <w:ind w:left="31" w:right="31" w:firstLine="567"/>
              <w:jc w:val="both"/>
              <w:rPr>
                <w:rFonts w:ascii="Times New Roman" w:hAnsi="Times New Roman"/>
                <w:sz w:val="28"/>
                <w:szCs w:val="28"/>
              </w:rPr>
            </w:pPr>
            <w:r w:rsidRPr="00593933">
              <w:rPr>
                <w:rFonts w:ascii="Times New Roman" w:hAnsi="Times New Roman"/>
                <w:sz w:val="28"/>
                <w:szCs w:val="28"/>
              </w:rPr>
              <w:t>Proiectul prenotat</w:t>
            </w:r>
            <w:r w:rsidRPr="00593933">
              <w:rPr>
                <w:rFonts w:ascii="Times New Roman" w:hAnsi="Times New Roman"/>
                <w:b/>
                <w:sz w:val="28"/>
                <w:szCs w:val="28"/>
              </w:rPr>
              <w:t xml:space="preserve"> </w:t>
            </w:r>
            <w:r w:rsidRPr="00593933">
              <w:rPr>
                <w:rFonts w:ascii="Times New Roman" w:hAnsi="Times New Roman"/>
                <w:sz w:val="28"/>
                <w:szCs w:val="28"/>
              </w:rPr>
              <w:t xml:space="preserve">este rezultatul unui proces amplu de revizuire și optimizare a procesului de efectuare a operațiunilor cu materiale explozive: de procurare, importare, transportare, depozitare, preparare și folosire a materialelor explozive cu destinație civilă, în special a condițiilor de utilizare a acestora. </w:t>
            </w:r>
          </w:p>
          <w:p w14:paraId="20889AB2" w14:textId="77777777" w:rsidR="00593933" w:rsidRPr="00593933" w:rsidRDefault="00593933" w:rsidP="00593933">
            <w:pPr>
              <w:spacing w:after="0" w:line="240" w:lineRule="auto"/>
              <w:ind w:left="31" w:right="31" w:firstLine="567"/>
              <w:jc w:val="both"/>
              <w:rPr>
                <w:rFonts w:ascii="Times New Roman" w:hAnsi="Times New Roman"/>
                <w:sz w:val="28"/>
                <w:szCs w:val="28"/>
              </w:rPr>
            </w:pPr>
            <w:r w:rsidRPr="00593933">
              <w:rPr>
                <w:rFonts w:ascii="Times New Roman" w:hAnsi="Times New Roman"/>
                <w:sz w:val="28"/>
                <w:szCs w:val="28"/>
              </w:rPr>
              <w:t xml:space="preserve">În context, se relevă că proiectul prevede: </w:t>
            </w:r>
          </w:p>
          <w:p w14:paraId="33A361A7" w14:textId="77777777" w:rsidR="00593933" w:rsidRDefault="00593933" w:rsidP="00593933">
            <w:pPr>
              <w:pStyle w:val="a3"/>
              <w:numPr>
                <w:ilvl w:val="0"/>
                <w:numId w:val="16"/>
              </w:numPr>
              <w:tabs>
                <w:tab w:val="left" w:pos="952"/>
              </w:tabs>
              <w:spacing w:after="0" w:line="240" w:lineRule="auto"/>
              <w:ind w:left="31" w:right="31" w:firstLine="567"/>
              <w:jc w:val="both"/>
              <w:rPr>
                <w:rFonts w:ascii="Times New Roman" w:hAnsi="Times New Roman"/>
                <w:sz w:val="28"/>
                <w:szCs w:val="28"/>
              </w:rPr>
            </w:pPr>
            <w:r>
              <w:rPr>
                <w:rFonts w:ascii="Times New Roman" w:hAnsi="Times New Roman"/>
                <w:sz w:val="28"/>
                <w:szCs w:val="28"/>
              </w:rPr>
              <w:t>domeniul de reglementare a proiectului de lege;</w:t>
            </w:r>
          </w:p>
          <w:p w14:paraId="1DE605FB" w14:textId="77777777" w:rsidR="00593933" w:rsidRDefault="00593933" w:rsidP="00593933">
            <w:pPr>
              <w:pStyle w:val="a3"/>
              <w:numPr>
                <w:ilvl w:val="0"/>
                <w:numId w:val="16"/>
              </w:numPr>
              <w:tabs>
                <w:tab w:val="left" w:pos="952"/>
              </w:tabs>
              <w:spacing w:after="0" w:line="240" w:lineRule="auto"/>
              <w:ind w:left="31" w:right="31" w:firstLine="567"/>
              <w:jc w:val="both"/>
              <w:rPr>
                <w:rFonts w:ascii="Times New Roman" w:hAnsi="Times New Roman"/>
                <w:sz w:val="28"/>
                <w:szCs w:val="28"/>
              </w:rPr>
            </w:pPr>
            <w:r>
              <w:rPr>
                <w:rFonts w:ascii="Times New Roman" w:hAnsi="Times New Roman"/>
                <w:sz w:val="28"/>
                <w:szCs w:val="28"/>
              </w:rPr>
              <w:t xml:space="preserve">noțiunile </w:t>
            </w:r>
            <w:r w:rsidRPr="00E44D78">
              <w:rPr>
                <w:rFonts w:ascii="Times New Roman" w:hAnsi="Times New Roman"/>
                <w:sz w:val="28"/>
                <w:szCs w:val="28"/>
                <w:lang w:eastAsia="ru-RU"/>
              </w:rPr>
              <w:t>și termenii utilizați pe domeniul explozivilor de uz civil;</w:t>
            </w:r>
          </w:p>
          <w:p w14:paraId="1C803E82" w14:textId="77777777" w:rsidR="00593933" w:rsidRDefault="00593933" w:rsidP="00593933">
            <w:pPr>
              <w:pStyle w:val="a3"/>
              <w:numPr>
                <w:ilvl w:val="0"/>
                <w:numId w:val="16"/>
              </w:numPr>
              <w:tabs>
                <w:tab w:val="left" w:pos="952"/>
              </w:tabs>
              <w:spacing w:after="0" w:line="240" w:lineRule="auto"/>
              <w:ind w:left="31" w:right="31" w:firstLine="567"/>
              <w:jc w:val="both"/>
              <w:rPr>
                <w:rFonts w:ascii="Times New Roman" w:hAnsi="Times New Roman"/>
                <w:sz w:val="28"/>
                <w:szCs w:val="28"/>
              </w:rPr>
            </w:pPr>
            <w:r w:rsidRPr="00593933">
              <w:rPr>
                <w:rFonts w:ascii="Times New Roman" w:hAnsi="Times New Roman"/>
                <w:sz w:val="28"/>
                <w:szCs w:val="28"/>
              </w:rPr>
              <w:t>delimitarea competențelor organelor de reglementare, supraveghere și control a pieței în ceea ce privește materialele explozive cu destinație civilă.</w:t>
            </w:r>
          </w:p>
          <w:p w14:paraId="7EEAD046" w14:textId="77777777" w:rsidR="00593933" w:rsidRPr="00593933" w:rsidRDefault="00593933" w:rsidP="00593933">
            <w:pPr>
              <w:pStyle w:val="a3"/>
              <w:numPr>
                <w:ilvl w:val="0"/>
                <w:numId w:val="16"/>
              </w:numPr>
              <w:tabs>
                <w:tab w:val="left" w:pos="952"/>
              </w:tabs>
              <w:spacing w:after="0" w:line="240" w:lineRule="auto"/>
              <w:ind w:left="31" w:right="31" w:firstLine="567"/>
              <w:jc w:val="both"/>
              <w:rPr>
                <w:rFonts w:ascii="Times New Roman" w:hAnsi="Times New Roman"/>
                <w:sz w:val="28"/>
                <w:szCs w:val="28"/>
              </w:rPr>
            </w:pPr>
            <w:r w:rsidRPr="00593933">
              <w:rPr>
                <w:rFonts w:ascii="Times New Roman" w:hAnsi="Times New Roman"/>
                <w:sz w:val="28"/>
                <w:szCs w:val="28"/>
              </w:rPr>
              <w:t xml:space="preserve">restricțiile și interdicțiile </w:t>
            </w:r>
            <w:r w:rsidRPr="00593933">
              <w:rPr>
                <w:rFonts w:ascii="Times New Roman" w:hAnsi="Times New Roman"/>
                <w:sz w:val="28"/>
                <w:szCs w:val="28"/>
                <w:lang w:eastAsia="ru-RU"/>
              </w:rPr>
              <w:t>la folosirea, transportarea, păstrarea, depozitarea și înstrăinarea materialelor explozive de uz civil;</w:t>
            </w:r>
            <w:r w:rsidRPr="00593933">
              <w:rPr>
                <w:rFonts w:ascii="Times New Roman" w:hAnsi="Times New Roman"/>
                <w:sz w:val="28"/>
                <w:szCs w:val="28"/>
                <w:lang w:val="ro-MD"/>
              </w:rPr>
              <w:t xml:space="preserve"> </w:t>
            </w:r>
          </w:p>
          <w:p w14:paraId="1144FF79" w14:textId="77777777" w:rsidR="00593933" w:rsidRPr="00593933" w:rsidRDefault="00593933" w:rsidP="00593933">
            <w:pPr>
              <w:pStyle w:val="a3"/>
              <w:numPr>
                <w:ilvl w:val="0"/>
                <w:numId w:val="16"/>
              </w:numPr>
              <w:tabs>
                <w:tab w:val="left" w:pos="952"/>
              </w:tabs>
              <w:spacing w:after="0" w:line="240" w:lineRule="auto"/>
              <w:ind w:left="31" w:right="31" w:firstLine="567"/>
              <w:jc w:val="both"/>
              <w:rPr>
                <w:rFonts w:ascii="Times New Roman" w:hAnsi="Times New Roman"/>
                <w:sz w:val="28"/>
                <w:szCs w:val="28"/>
              </w:rPr>
            </w:pPr>
            <w:r w:rsidRPr="00593933">
              <w:rPr>
                <w:rFonts w:ascii="Times New Roman" w:hAnsi="Times New Roman"/>
                <w:sz w:val="28"/>
                <w:szCs w:val="28"/>
              </w:rPr>
              <w:t>clasificarea</w:t>
            </w:r>
            <w:r>
              <w:rPr>
                <w:rFonts w:ascii="Times New Roman" w:hAnsi="Times New Roman"/>
                <w:sz w:val="28"/>
                <w:szCs w:val="28"/>
              </w:rPr>
              <w:t xml:space="preserve"> </w:t>
            </w:r>
            <w:r w:rsidRPr="00593933">
              <w:rPr>
                <w:rFonts w:ascii="Times New Roman" w:hAnsi="Times New Roman"/>
                <w:sz w:val="28"/>
                <w:szCs w:val="28"/>
              </w:rPr>
              <w:t xml:space="preserve">materialelor explozive cu destinație civilă, conform recomandărilor Organizației Națiunilor Unite privind transportul produselor periculoase și care se încadrează în clasa 1 a acestor recomandări; </w:t>
            </w:r>
          </w:p>
          <w:p w14:paraId="1F098A1E" w14:textId="77777777" w:rsidR="00593933" w:rsidRPr="00593933" w:rsidRDefault="00593933" w:rsidP="00593933">
            <w:pPr>
              <w:pStyle w:val="a3"/>
              <w:numPr>
                <w:ilvl w:val="0"/>
                <w:numId w:val="16"/>
              </w:numPr>
              <w:tabs>
                <w:tab w:val="left" w:pos="952"/>
              </w:tabs>
              <w:spacing w:after="0" w:line="240" w:lineRule="auto"/>
              <w:ind w:left="31" w:right="31" w:firstLine="567"/>
              <w:jc w:val="both"/>
              <w:rPr>
                <w:rFonts w:ascii="Times New Roman" w:hAnsi="Times New Roman"/>
                <w:sz w:val="28"/>
                <w:szCs w:val="28"/>
              </w:rPr>
            </w:pPr>
            <w:r w:rsidRPr="00593933">
              <w:rPr>
                <w:rFonts w:ascii="Times New Roman" w:hAnsi="Times New Roman"/>
                <w:sz w:val="28"/>
                <w:szCs w:val="28"/>
              </w:rPr>
              <w:t xml:space="preserve">etichetarea corespunzătoare a materialelor explozive; </w:t>
            </w:r>
          </w:p>
          <w:p w14:paraId="4C046D7A" w14:textId="77777777" w:rsidR="00593933" w:rsidRPr="00593933" w:rsidRDefault="00593933" w:rsidP="00593933">
            <w:pPr>
              <w:pStyle w:val="a3"/>
              <w:numPr>
                <w:ilvl w:val="0"/>
                <w:numId w:val="16"/>
              </w:numPr>
              <w:tabs>
                <w:tab w:val="left" w:pos="952"/>
              </w:tabs>
              <w:spacing w:after="0" w:line="240" w:lineRule="auto"/>
              <w:ind w:left="31" w:right="31" w:firstLine="567"/>
              <w:jc w:val="both"/>
              <w:rPr>
                <w:rFonts w:ascii="Times New Roman" w:hAnsi="Times New Roman"/>
                <w:sz w:val="28"/>
                <w:szCs w:val="28"/>
              </w:rPr>
            </w:pPr>
            <w:r w:rsidRPr="00593933">
              <w:rPr>
                <w:rFonts w:ascii="Times New Roman" w:hAnsi="Times New Roman"/>
                <w:sz w:val="28"/>
                <w:szCs w:val="28"/>
              </w:rPr>
              <w:t xml:space="preserve">obligațiile operatorilor economici de a </w:t>
            </w:r>
            <w:r w:rsidRPr="00593933">
              <w:rPr>
                <w:rFonts w:ascii="Times New Roman" w:hAnsi="Times New Roman"/>
                <w:sz w:val="28"/>
                <w:szCs w:val="28"/>
                <w:lang w:val="ro-MD"/>
              </w:rPr>
              <w:t xml:space="preserve">introduce pe piață sau pentru utilizarea în scop propriu a materialelor explozive, care au fost proiectate și fabricate în conformitate cu cerințele esențiale de securitate, </w:t>
            </w:r>
            <w:r w:rsidRPr="00593933">
              <w:rPr>
                <w:rFonts w:ascii="Times New Roman" w:hAnsi="Times New Roman"/>
                <w:sz w:val="28"/>
                <w:szCs w:val="28"/>
              </w:rPr>
              <w:t xml:space="preserve">precum și măsurile care urmează a fi întreprinse în privința explozibilului care prezintă risc; </w:t>
            </w:r>
          </w:p>
          <w:p w14:paraId="60E8AD39" w14:textId="77777777" w:rsidR="00593933" w:rsidRPr="00593933" w:rsidRDefault="00593933" w:rsidP="00593933">
            <w:pPr>
              <w:pStyle w:val="a3"/>
              <w:numPr>
                <w:ilvl w:val="0"/>
                <w:numId w:val="16"/>
              </w:numPr>
              <w:tabs>
                <w:tab w:val="left" w:pos="952"/>
              </w:tabs>
              <w:spacing w:after="0" w:line="240" w:lineRule="auto"/>
              <w:ind w:left="31" w:right="31" w:firstLine="567"/>
              <w:jc w:val="both"/>
              <w:rPr>
                <w:rFonts w:ascii="Times New Roman" w:hAnsi="Times New Roman"/>
                <w:sz w:val="28"/>
                <w:szCs w:val="28"/>
              </w:rPr>
            </w:pPr>
            <w:r w:rsidRPr="00593933">
              <w:rPr>
                <w:rFonts w:ascii="Times New Roman" w:hAnsi="Times New Roman"/>
                <w:sz w:val="28"/>
                <w:szCs w:val="28"/>
                <w:lang w:val="ro-MD"/>
              </w:rPr>
              <w:t>confirmarea oficială a capacităților și a întrunirii condițiilor pentru acces la operațiunile cu materiale explozive;</w:t>
            </w:r>
            <w:r w:rsidRPr="00593933">
              <w:rPr>
                <w:rFonts w:ascii="Times New Roman" w:hAnsi="Times New Roman"/>
                <w:sz w:val="28"/>
                <w:szCs w:val="28"/>
              </w:rPr>
              <w:t xml:space="preserve"> </w:t>
            </w:r>
          </w:p>
          <w:p w14:paraId="594A3D9F" w14:textId="77777777" w:rsidR="00593933" w:rsidRPr="00593933" w:rsidRDefault="00593933" w:rsidP="00593933">
            <w:pPr>
              <w:pStyle w:val="a3"/>
              <w:numPr>
                <w:ilvl w:val="0"/>
                <w:numId w:val="16"/>
              </w:numPr>
              <w:tabs>
                <w:tab w:val="left" w:pos="952"/>
              </w:tabs>
              <w:spacing w:after="0" w:line="240" w:lineRule="auto"/>
              <w:ind w:left="31" w:right="31" w:firstLine="567"/>
              <w:jc w:val="both"/>
              <w:rPr>
                <w:rFonts w:ascii="Times New Roman" w:hAnsi="Times New Roman"/>
                <w:sz w:val="28"/>
                <w:szCs w:val="28"/>
              </w:rPr>
            </w:pPr>
            <w:r w:rsidRPr="00593933">
              <w:rPr>
                <w:rFonts w:ascii="Times New Roman" w:hAnsi="Times New Roman"/>
                <w:sz w:val="28"/>
                <w:szCs w:val="28"/>
              </w:rPr>
              <w:t xml:space="preserve">stabilirea condițiilor de </w:t>
            </w:r>
            <w:r w:rsidR="00F528BC">
              <w:rPr>
                <w:rFonts w:ascii="Times New Roman" w:hAnsi="Times New Roman"/>
                <w:sz w:val="28"/>
                <w:szCs w:val="28"/>
              </w:rPr>
              <w:t xml:space="preserve">transportare, </w:t>
            </w:r>
            <w:r w:rsidRPr="00593933">
              <w:rPr>
                <w:rFonts w:ascii="Times New Roman" w:hAnsi="Times New Roman"/>
                <w:sz w:val="28"/>
                <w:szCs w:val="28"/>
              </w:rPr>
              <w:t>depozitare, producere şi încătușare a materialelor explozive;</w:t>
            </w:r>
          </w:p>
          <w:p w14:paraId="102AD568" w14:textId="77777777" w:rsidR="00593933" w:rsidRPr="00593933" w:rsidRDefault="00593933" w:rsidP="00593933">
            <w:pPr>
              <w:pStyle w:val="a3"/>
              <w:numPr>
                <w:ilvl w:val="0"/>
                <w:numId w:val="16"/>
              </w:numPr>
              <w:tabs>
                <w:tab w:val="left" w:pos="952"/>
              </w:tabs>
              <w:spacing w:after="0" w:line="240" w:lineRule="auto"/>
              <w:ind w:left="31" w:right="31" w:firstLine="567"/>
              <w:jc w:val="both"/>
              <w:rPr>
                <w:rFonts w:ascii="Times New Roman" w:hAnsi="Times New Roman"/>
                <w:sz w:val="28"/>
                <w:szCs w:val="28"/>
              </w:rPr>
            </w:pPr>
            <w:r w:rsidRPr="00593933">
              <w:rPr>
                <w:rFonts w:ascii="Times New Roman" w:hAnsi="Times New Roman"/>
                <w:sz w:val="28"/>
                <w:szCs w:val="28"/>
              </w:rPr>
              <w:t xml:space="preserve">stabilirea condițiilor de licențiere a agenților economici pe domeniul explozivilor cu destinație civilă, lista documentelor necesare pentru obținerea și prelungirea licenței, condițiilor și temeiurile de suspendare temporară sau de retragere a licenței pentru operațiunile cu materiale explozive; </w:t>
            </w:r>
          </w:p>
          <w:p w14:paraId="5649A5AF" w14:textId="77777777" w:rsidR="00593933" w:rsidRPr="00593933" w:rsidRDefault="00593933" w:rsidP="00593933">
            <w:pPr>
              <w:pStyle w:val="a3"/>
              <w:numPr>
                <w:ilvl w:val="0"/>
                <w:numId w:val="16"/>
              </w:numPr>
              <w:tabs>
                <w:tab w:val="left" w:pos="952"/>
              </w:tabs>
              <w:spacing w:after="0" w:line="240" w:lineRule="auto"/>
              <w:ind w:left="31" w:right="31" w:firstLine="567"/>
              <w:jc w:val="both"/>
              <w:rPr>
                <w:rFonts w:ascii="Times New Roman" w:hAnsi="Times New Roman"/>
                <w:sz w:val="28"/>
                <w:szCs w:val="28"/>
              </w:rPr>
            </w:pPr>
            <w:r w:rsidRPr="00593933">
              <w:rPr>
                <w:rFonts w:ascii="Times New Roman" w:hAnsi="Times New Roman"/>
                <w:sz w:val="28"/>
                <w:szCs w:val="28"/>
              </w:rPr>
              <w:t xml:space="preserve">posibilitatea comercializării sau transmiterii materialelor explozive de către agentul economic licențiat; </w:t>
            </w:r>
          </w:p>
          <w:p w14:paraId="62661F89" w14:textId="77777777" w:rsidR="00593933" w:rsidRDefault="00593933" w:rsidP="00593933">
            <w:pPr>
              <w:pStyle w:val="a3"/>
              <w:numPr>
                <w:ilvl w:val="0"/>
                <w:numId w:val="16"/>
              </w:numPr>
              <w:tabs>
                <w:tab w:val="left" w:pos="952"/>
              </w:tabs>
              <w:spacing w:after="0" w:line="240" w:lineRule="auto"/>
              <w:ind w:left="31" w:right="31" w:firstLine="567"/>
              <w:jc w:val="both"/>
              <w:rPr>
                <w:rFonts w:ascii="Times New Roman" w:hAnsi="Times New Roman"/>
                <w:sz w:val="28"/>
                <w:szCs w:val="28"/>
              </w:rPr>
            </w:pPr>
            <w:r w:rsidRPr="00593933">
              <w:rPr>
                <w:rFonts w:ascii="Times New Roman" w:hAnsi="Times New Roman"/>
                <w:sz w:val="28"/>
                <w:szCs w:val="28"/>
              </w:rPr>
              <w:t xml:space="preserve">procedurii de distrugere a materialelor explozive pentru produsele provenite din rateuri sau cele devenite inutilizabile sau care sunt confiscate în cazul în care fac </w:t>
            </w:r>
            <w:r w:rsidRPr="00593933">
              <w:rPr>
                <w:rFonts w:ascii="Times New Roman" w:hAnsi="Times New Roman"/>
                <w:sz w:val="28"/>
                <w:szCs w:val="28"/>
              </w:rPr>
              <w:lastRenderedPageBreak/>
              <w:t>obiectul unei achiziționări, utilizări sau trafic ilicit, precum și procedurile de ridicare și depozitare în cazul unor amenințări grave sau al unor atentate la siguranța publică ca urmare a deținerii sau utilizării ilicite a explozivilor;</w:t>
            </w:r>
          </w:p>
          <w:p w14:paraId="02D4B95E" w14:textId="77777777" w:rsidR="00F528BC" w:rsidRPr="00593933" w:rsidRDefault="00F528BC" w:rsidP="00593933">
            <w:pPr>
              <w:pStyle w:val="a3"/>
              <w:numPr>
                <w:ilvl w:val="0"/>
                <w:numId w:val="16"/>
              </w:numPr>
              <w:tabs>
                <w:tab w:val="left" w:pos="952"/>
              </w:tabs>
              <w:spacing w:after="0" w:line="240" w:lineRule="auto"/>
              <w:ind w:left="31" w:right="31" w:firstLine="567"/>
              <w:jc w:val="both"/>
              <w:rPr>
                <w:rFonts w:ascii="Times New Roman" w:hAnsi="Times New Roman"/>
                <w:sz w:val="28"/>
                <w:szCs w:val="28"/>
              </w:rPr>
            </w:pPr>
            <w:r>
              <w:rPr>
                <w:rFonts w:ascii="Times New Roman" w:hAnsi="Times New Roman"/>
                <w:sz w:val="28"/>
                <w:szCs w:val="28"/>
              </w:rPr>
              <w:t>autorizarea operațiunilor cu materiale explozive;</w:t>
            </w:r>
          </w:p>
          <w:p w14:paraId="35D80285" w14:textId="77777777" w:rsidR="00593933" w:rsidRPr="00593933" w:rsidRDefault="00593933" w:rsidP="00593933">
            <w:pPr>
              <w:pStyle w:val="a3"/>
              <w:numPr>
                <w:ilvl w:val="0"/>
                <w:numId w:val="16"/>
              </w:numPr>
              <w:tabs>
                <w:tab w:val="left" w:pos="952"/>
              </w:tabs>
              <w:spacing w:after="0" w:line="240" w:lineRule="auto"/>
              <w:ind w:left="31" w:right="31" w:firstLine="567"/>
              <w:jc w:val="both"/>
              <w:rPr>
                <w:rFonts w:ascii="Times New Roman" w:hAnsi="Times New Roman"/>
                <w:sz w:val="28"/>
                <w:szCs w:val="28"/>
              </w:rPr>
            </w:pPr>
            <w:r w:rsidRPr="00593933">
              <w:rPr>
                <w:rFonts w:ascii="Times New Roman" w:hAnsi="Times New Roman"/>
                <w:sz w:val="28"/>
                <w:szCs w:val="28"/>
              </w:rPr>
              <w:t>condițiile pe care trebuie să le întrunească persoanele care solicită confirmarea accesului la operațiuni cu explozivi;</w:t>
            </w:r>
          </w:p>
          <w:p w14:paraId="3AE58B13" w14:textId="77777777" w:rsidR="00593933" w:rsidRDefault="00593933" w:rsidP="00593933">
            <w:pPr>
              <w:pStyle w:val="a3"/>
              <w:numPr>
                <w:ilvl w:val="0"/>
                <w:numId w:val="16"/>
              </w:numPr>
              <w:tabs>
                <w:tab w:val="left" w:pos="952"/>
              </w:tabs>
              <w:spacing w:after="0" w:line="240" w:lineRule="auto"/>
              <w:ind w:left="31" w:right="31" w:firstLine="567"/>
              <w:jc w:val="both"/>
              <w:rPr>
                <w:rFonts w:ascii="Times New Roman" w:hAnsi="Times New Roman"/>
                <w:sz w:val="28"/>
                <w:szCs w:val="28"/>
              </w:rPr>
            </w:pPr>
            <w:r w:rsidRPr="00593933">
              <w:rPr>
                <w:rFonts w:ascii="Times New Roman" w:hAnsi="Times New Roman"/>
                <w:sz w:val="28"/>
                <w:szCs w:val="28"/>
              </w:rPr>
              <w:t>stabilirea reglementărilor privind atestarea artificierilor pentru efectuarea lucrărilor cu materiale explozive cu destinație civilă;</w:t>
            </w:r>
          </w:p>
          <w:p w14:paraId="131531D2" w14:textId="77777777" w:rsidR="00F528BC" w:rsidRDefault="00F528BC" w:rsidP="00593933">
            <w:pPr>
              <w:pStyle w:val="a3"/>
              <w:numPr>
                <w:ilvl w:val="0"/>
                <w:numId w:val="16"/>
              </w:numPr>
              <w:tabs>
                <w:tab w:val="left" w:pos="952"/>
              </w:tabs>
              <w:spacing w:after="0" w:line="240" w:lineRule="auto"/>
              <w:ind w:left="31" w:right="31" w:firstLine="567"/>
              <w:jc w:val="both"/>
              <w:rPr>
                <w:rFonts w:ascii="Times New Roman" w:hAnsi="Times New Roman"/>
                <w:sz w:val="28"/>
                <w:szCs w:val="28"/>
              </w:rPr>
            </w:pPr>
            <w:r>
              <w:rPr>
                <w:rFonts w:ascii="Times New Roman" w:hAnsi="Times New Roman"/>
                <w:sz w:val="28"/>
                <w:szCs w:val="28"/>
              </w:rPr>
              <w:t>conformitatea materialelor explozive cu destinație civilă;</w:t>
            </w:r>
          </w:p>
          <w:p w14:paraId="2F24F791" w14:textId="77777777" w:rsidR="00956D2F" w:rsidRDefault="00F528BC" w:rsidP="00593933">
            <w:pPr>
              <w:pStyle w:val="a3"/>
              <w:numPr>
                <w:ilvl w:val="0"/>
                <w:numId w:val="16"/>
              </w:numPr>
              <w:tabs>
                <w:tab w:val="left" w:pos="952"/>
              </w:tabs>
              <w:spacing w:after="0" w:line="240" w:lineRule="auto"/>
              <w:ind w:left="31" w:right="31" w:firstLine="567"/>
              <w:jc w:val="both"/>
              <w:rPr>
                <w:rFonts w:ascii="Times New Roman" w:hAnsi="Times New Roman"/>
                <w:sz w:val="28"/>
                <w:szCs w:val="28"/>
              </w:rPr>
            </w:pPr>
            <w:r>
              <w:rPr>
                <w:rFonts w:ascii="Times New Roman" w:hAnsi="Times New Roman"/>
                <w:sz w:val="28"/>
                <w:szCs w:val="28"/>
              </w:rPr>
              <w:t xml:space="preserve">controlul privind respectarea regimului </w:t>
            </w:r>
            <w:r w:rsidR="00593933" w:rsidRPr="00593933">
              <w:rPr>
                <w:rFonts w:ascii="Times New Roman" w:hAnsi="Times New Roman"/>
                <w:sz w:val="28"/>
                <w:szCs w:val="28"/>
              </w:rPr>
              <w:t>materialele explozive cu destinație civilă.</w:t>
            </w:r>
          </w:p>
          <w:p w14:paraId="383A4AF2" w14:textId="77777777" w:rsidR="005A784B" w:rsidRPr="005A784B" w:rsidRDefault="005A784B" w:rsidP="005A784B">
            <w:pPr>
              <w:pStyle w:val="a3"/>
              <w:tabs>
                <w:tab w:val="left" w:pos="952"/>
              </w:tabs>
              <w:spacing w:after="0" w:line="240" w:lineRule="auto"/>
              <w:ind w:left="37" w:right="31" w:firstLine="561"/>
              <w:jc w:val="both"/>
              <w:rPr>
                <w:rFonts w:ascii="Times New Roman" w:hAnsi="Times New Roman"/>
                <w:sz w:val="28"/>
                <w:szCs w:val="28"/>
              </w:rPr>
            </w:pPr>
            <w:r>
              <w:rPr>
                <w:rFonts w:ascii="Times New Roman" w:hAnsi="Times New Roman"/>
                <w:sz w:val="28"/>
                <w:szCs w:val="28"/>
              </w:rPr>
              <w:t xml:space="preserve">Proiectul stabilește dispozițiile finale privind intrarea în vigoare a legii </w:t>
            </w:r>
            <w:r w:rsidRPr="005A784B">
              <w:rPr>
                <w:rFonts w:ascii="Times New Roman" w:hAnsi="Times New Roman"/>
                <w:sz w:val="28"/>
                <w:szCs w:val="28"/>
              </w:rPr>
              <w:t>peste 6 luni de la data publicării în Monitorul Oficial al Republicii Moldova.</w:t>
            </w:r>
            <w:r>
              <w:rPr>
                <w:rFonts w:ascii="Times New Roman" w:hAnsi="Times New Roman"/>
                <w:sz w:val="28"/>
                <w:szCs w:val="28"/>
              </w:rPr>
              <w:t xml:space="preserve"> De asemenea, </w:t>
            </w:r>
            <w:r>
              <w:t xml:space="preserve"> </w:t>
            </w:r>
            <w:r w:rsidRPr="005A784B">
              <w:rPr>
                <w:rFonts w:ascii="Times New Roman" w:hAnsi="Times New Roman"/>
                <w:sz w:val="28"/>
                <w:szCs w:val="28"/>
              </w:rPr>
              <w:t>Guvernul, în termen de 6 luni de la data publicării prezentei legi:</w:t>
            </w:r>
          </w:p>
          <w:p w14:paraId="2F59F484" w14:textId="77777777" w:rsidR="005A784B" w:rsidRPr="005A784B" w:rsidRDefault="005A784B" w:rsidP="005A784B">
            <w:pPr>
              <w:pStyle w:val="a3"/>
              <w:tabs>
                <w:tab w:val="left" w:pos="952"/>
              </w:tabs>
              <w:spacing w:after="0" w:line="240" w:lineRule="auto"/>
              <w:ind w:left="37" w:right="31" w:firstLine="561"/>
              <w:jc w:val="both"/>
              <w:rPr>
                <w:rFonts w:ascii="Times New Roman" w:hAnsi="Times New Roman"/>
                <w:sz w:val="28"/>
                <w:szCs w:val="28"/>
              </w:rPr>
            </w:pPr>
            <w:r w:rsidRPr="005A784B">
              <w:rPr>
                <w:rFonts w:ascii="Times New Roman" w:hAnsi="Times New Roman"/>
                <w:sz w:val="28"/>
                <w:szCs w:val="28"/>
              </w:rPr>
              <w:t>a) va prezenta propuneri Parlamentului privind aducerea legislației în vigoare în concordanță cu prezenta lege;</w:t>
            </w:r>
          </w:p>
          <w:p w14:paraId="29063430" w14:textId="77777777" w:rsidR="005A784B" w:rsidRPr="005A784B" w:rsidRDefault="005A784B" w:rsidP="005A784B">
            <w:pPr>
              <w:pStyle w:val="a3"/>
              <w:tabs>
                <w:tab w:val="left" w:pos="952"/>
              </w:tabs>
              <w:spacing w:after="0" w:line="240" w:lineRule="auto"/>
              <w:ind w:left="37" w:right="31" w:firstLine="561"/>
              <w:jc w:val="both"/>
              <w:rPr>
                <w:rFonts w:ascii="Times New Roman" w:hAnsi="Times New Roman"/>
                <w:sz w:val="28"/>
                <w:szCs w:val="28"/>
              </w:rPr>
            </w:pPr>
            <w:r w:rsidRPr="005A784B">
              <w:rPr>
                <w:rFonts w:ascii="Times New Roman" w:hAnsi="Times New Roman"/>
                <w:sz w:val="28"/>
                <w:szCs w:val="28"/>
              </w:rPr>
              <w:t>b) va aduce actele sale normative în concordanță cu prezenta lege;</w:t>
            </w:r>
          </w:p>
          <w:p w14:paraId="6E0CCCCF" w14:textId="77777777" w:rsidR="005A784B" w:rsidRDefault="005A784B" w:rsidP="005A784B">
            <w:pPr>
              <w:pStyle w:val="a3"/>
              <w:tabs>
                <w:tab w:val="left" w:pos="952"/>
              </w:tabs>
              <w:spacing w:after="0" w:line="240" w:lineRule="auto"/>
              <w:ind w:left="37" w:right="31" w:firstLine="561"/>
              <w:jc w:val="both"/>
              <w:rPr>
                <w:rFonts w:ascii="Times New Roman" w:hAnsi="Times New Roman"/>
                <w:sz w:val="28"/>
                <w:szCs w:val="28"/>
              </w:rPr>
            </w:pPr>
            <w:r w:rsidRPr="005A784B">
              <w:rPr>
                <w:rFonts w:ascii="Times New Roman" w:hAnsi="Times New Roman"/>
                <w:sz w:val="28"/>
                <w:szCs w:val="28"/>
              </w:rPr>
              <w:t>c) va elabora și va adopta actele normative necesare pentru implementarea prezentei legi.</w:t>
            </w:r>
          </w:p>
          <w:p w14:paraId="7C1A03F4" w14:textId="77777777" w:rsidR="005A784B" w:rsidRDefault="005A784B" w:rsidP="005A784B">
            <w:pPr>
              <w:pStyle w:val="a3"/>
              <w:tabs>
                <w:tab w:val="left" w:pos="952"/>
              </w:tabs>
              <w:spacing w:after="0" w:line="240" w:lineRule="auto"/>
              <w:ind w:left="37" w:right="31" w:firstLine="561"/>
              <w:jc w:val="both"/>
              <w:rPr>
                <w:rFonts w:ascii="Times New Roman" w:hAnsi="Times New Roman"/>
                <w:sz w:val="28"/>
                <w:szCs w:val="28"/>
              </w:rPr>
            </w:pPr>
            <w:r>
              <w:rPr>
                <w:rFonts w:ascii="Times New Roman" w:hAnsi="Times New Roman"/>
                <w:sz w:val="28"/>
                <w:szCs w:val="28"/>
              </w:rPr>
              <w:t>Totodată, au fost stabilite dispozițiile tranzitorii cu privire la l</w:t>
            </w:r>
            <w:r w:rsidRPr="005A784B">
              <w:rPr>
                <w:rFonts w:ascii="Times New Roman" w:hAnsi="Times New Roman"/>
                <w:sz w:val="28"/>
                <w:szCs w:val="28"/>
              </w:rPr>
              <w:t>icența eliberată până la intrarea în vigoare a legi</w:t>
            </w:r>
            <w:r>
              <w:rPr>
                <w:rFonts w:ascii="Times New Roman" w:hAnsi="Times New Roman"/>
                <w:sz w:val="28"/>
                <w:szCs w:val="28"/>
              </w:rPr>
              <w:t>i, care se va</w:t>
            </w:r>
            <w:r w:rsidRPr="005A784B">
              <w:rPr>
                <w:rFonts w:ascii="Times New Roman" w:hAnsi="Times New Roman"/>
                <w:sz w:val="28"/>
                <w:szCs w:val="28"/>
              </w:rPr>
              <w:t xml:space="preserve"> consider</w:t>
            </w:r>
            <w:r>
              <w:rPr>
                <w:rFonts w:ascii="Times New Roman" w:hAnsi="Times New Roman"/>
                <w:sz w:val="28"/>
                <w:szCs w:val="28"/>
              </w:rPr>
              <w:t>a</w:t>
            </w:r>
            <w:r w:rsidRPr="005A784B">
              <w:rPr>
                <w:rFonts w:ascii="Times New Roman" w:hAnsi="Times New Roman"/>
                <w:sz w:val="28"/>
                <w:szCs w:val="28"/>
              </w:rPr>
              <w:t xml:space="preserve"> valabilă până la expirarea termenului de valabilitate a licenței.</w:t>
            </w:r>
            <w:r>
              <w:rPr>
                <w:rFonts w:ascii="Times New Roman" w:hAnsi="Times New Roman"/>
                <w:sz w:val="28"/>
                <w:szCs w:val="28"/>
              </w:rPr>
              <w:t xml:space="preserve"> </w:t>
            </w:r>
            <w:r w:rsidRPr="005A784B">
              <w:rPr>
                <w:rFonts w:ascii="Times New Roman" w:hAnsi="Times New Roman"/>
                <w:sz w:val="28"/>
                <w:szCs w:val="28"/>
              </w:rPr>
              <w:t>Operatorii economici care activează în domeniul explozivilor, în termen de 6 luni de la data intrării în vigoare, vor întreprinde măsurile necesare pentru executarea prevederilor leg</w:t>
            </w:r>
            <w:r>
              <w:rPr>
                <w:rFonts w:ascii="Times New Roman" w:hAnsi="Times New Roman"/>
                <w:sz w:val="28"/>
                <w:szCs w:val="28"/>
              </w:rPr>
              <w:t>i</w:t>
            </w:r>
            <w:r w:rsidRPr="005A784B">
              <w:rPr>
                <w:rFonts w:ascii="Times New Roman" w:hAnsi="Times New Roman"/>
                <w:sz w:val="28"/>
                <w:szCs w:val="28"/>
              </w:rPr>
              <w:t>i.</w:t>
            </w:r>
          </w:p>
          <w:p w14:paraId="0D169111" w14:textId="77777777" w:rsidR="005A784B" w:rsidRDefault="005A784B" w:rsidP="005A784B">
            <w:pPr>
              <w:pStyle w:val="a3"/>
              <w:tabs>
                <w:tab w:val="left" w:pos="952"/>
              </w:tabs>
              <w:spacing w:after="0" w:line="240" w:lineRule="auto"/>
              <w:ind w:left="37" w:right="31" w:firstLine="561"/>
              <w:jc w:val="both"/>
              <w:rPr>
                <w:rFonts w:ascii="Times New Roman" w:hAnsi="Times New Roman"/>
                <w:sz w:val="28"/>
                <w:szCs w:val="28"/>
              </w:rPr>
            </w:pPr>
            <w:r>
              <w:rPr>
                <w:rFonts w:ascii="Times New Roman" w:hAnsi="Times New Roman"/>
                <w:sz w:val="28"/>
                <w:szCs w:val="28"/>
              </w:rPr>
              <w:t xml:space="preserve">La fel, proiectul legii conține anexa nr. 1 care stabilește clasificarea materialelor explozive după diviziuni și grupe de materiale explozive, iar anexa nr. 2 prevede cerințele esențiale de securitate </w:t>
            </w:r>
            <w:r w:rsidRPr="005A784B">
              <w:rPr>
                <w:rFonts w:ascii="Times New Roman" w:hAnsi="Times New Roman"/>
                <w:sz w:val="28"/>
                <w:szCs w:val="28"/>
              </w:rPr>
              <w:t>pe care trebuie să le întrunească materialele explozive</w:t>
            </w:r>
            <w:r>
              <w:rPr>
                <w:rFonts w:ascii="Times New Roman" w:hAnsi="Times New Roman"/>
                <w:sz w:val="28"/>
                <w:szCs w:val="28"/>
              </w:rPr>
              <w:t>.</w:t>
            </w:r>
          </w:p>
          <w:p w14:paraId="35C80288" w14:textId="77777777" w:rsidR="005A784B" w:rsidRPr="005A784B" w:rsidRDefault="005A784B" w:rsidP="005A784B">
            <w:pPr>
              <w:pStyle w:val="a3"/>
              <w:tabs>
                <w:tab w:val="left" w:pos="952"/>
              </w:tabs>
              <w:spacing w:after="0" w:line="240" w:lineRule="auto"/>
              <w:ind w:left="37" w:right="31" w:firstLine="561"/>
              <w:jc w:val="both"/>
              <w:rPr>
                <w:rFonts w:ascii="Times New Roman" w:hAnsi="Times New Roman"/>
                <w:sz w:val="28"/>
                <w:szCs w:val="28"/>
              </w:rPr>
            </w:pPr>
          </w:p>
        </w:tc>
      </w:tr>
      <w:tr w:rsidR="003969F9" w:rsidRPr="00EA7A59" w14:paraId="38A7CE12" w14:textId="77777777" w:rsidTr="008B6370">
        <w:tc>
          <w:tcPr>
            <w:tcW w:w="9781" w:type="dxa"/>
            <w:tcBorders>
              <w:top w:val="single" w:sz="4" w:space="0" w:color="auto"/>
              <w:left w:val="single" w:sz="4" w:space="0" w:color="auto"/>
              <w:bottom w:val="single" w:sz="4" w:space="0" w:color="auto"/>
              <w:right w:val="single" w:sz="4" w:space="0" w:color="auto"/>
            </w:tcBorders>
            <w:shd w:val="clear" w:color="auto" w:fill="BFBFBF"/>
            <w:hideMark/>
          </w:tcPr>
          <w:p w14:paraId="456E6F12" w14:textId="77777777" w:rsidR="00A53D13" w:rsidRPr="00EA7A59" w:rsidRDefault="00A53D13" w:rsidP="008054E1">
            <w:pPr>
              <w:pStyle w:val="a3"/>
              <w:tabs>
                <w:tab w:val="left" w:pos="888"/>
              </w:tabs>
              <w:spacing w:after="0" w:line="240" w:lineRule="auto"/>
              <w:ind w:left="0" w:firstLine="604"/>
              <w:rPr>
                <w:rFonts w:ascii="Times New Roman" w:hAnsi="Times New Roman"/>
                <w:b/>
                <w:sz w:val="28"/>
                <w:szCs w:val="28"/>
                <w:lang w:eastAsia="ru-RU"/>
              </w:rPr>
            </w:pPr>
            <w:r w:rsidRPr="00EA7A59">
              <w:rPr>
                <w:rFonts w:ascii="Times New Roman" w:hAnsi="Times New Roman"/>
                <w:b/>
                <w:sz w:val="28"/>
                <w:szCs w:val="28"/>
                <w:lang w:eastAsia="ru-RU"/>
              </w:rPr>
              <w:lastRenderedPageBreak/>
              <w:t>5.</w:t>
            </w:r>
            <w:r w:rsidR="00C069BD" w:rsidRPr="00EA7A59">
              <w:rPr>
                <w:rFonts w:ascii="Times New Roman" w:hAnsi="Times New Roman"/>
                <w:b/>
                <w:sz w:val="28"/>
                <w:szCs w:val="28"/>
                <w:lang w:eastAsia="ru-RU"/>
              </w:rPr>
              <w:t xml:space="preserve"> </w:t>
            </w:r>
            <w:r w:rsidRPr="00EA7A59">
              <w:rPr>
                <w:rFonts w:ascii="Times New Roman" w:hAnsi="Times New Roman"/>
                <w:b/>
                <w:sz w:val="28"/>
                <w:szCs w:val="28"/>
                <w:lang w:eastAsia="ru-RU"/>
              </w:rPr>
              <w:t>Fundamentarea economico - financiară</w:t>
            </w:r>
          </w:p>
        </w:tc>
      </w:tr>
      <w:tr w:rsidR="003969F9" w:rsidRPr="00EA7A59" w14:paraId="39789E6B" w14:textId="77777777" w:rsidTr="008B6370">
        <w:tc>
          <w:tcPr>
            <w:tcW w:w="9781" w:type="dxa"/>
            <w:tcBorders>
              <w:top w:val="single" w:sz="4" w:space="0" w:color="auto"/>
              <w:left w:val="single" w:sz="4" w:space="0" w:color="auto"/>
              <w:bottom w:val="single" w:sz="4" w:space="0" w:color="auto"/>
              <w:right w:val="single" w:sz="4" w:space="0" w:color="auto"/>
            </w:tcBorders>
            <w:hideMark/>
          </w:tcPr>
          <w:p w14:paraId="18995BCA" w14:textId="77777777" w:rsidR="00A53D13" w:rsidRDefault="00A53D13" w:rsidP="008054E1">
            <w:pPr>
              <w:tabs>
                <w:tab w:val="left" w:pos="888"/>
              </w:tabs>
              <w:spacing w:after="0" w:line="240" w:lineRule="auto"/>
              <w:ind w:firstLine="604"/>
              <w:jc w:val="both"/>
              <w:rPr>
                <w:rFonts w:ascii="Times New Roman" w:hAnsi="Times New Roman"/>
                <w:sz w:val="28"/>
                <w:szCs w:val="28"/>
                <w:lang w:eastAsia="ru-RU"/>
              </w:rPr>
            </w:pPr>
            <w:r w:rsidRPr="00EA7A59">
              <w:rPr>
                <w:rFonts w:ascii="Times New Roman" w:hAnsi="Times New Roman"/>
                <w:sz w:val="28"/>
                <w:szCs w:val="28"/>
                <w:lang w:eastAsia="ru-RU"/>
              </w:rPr>
              <w:t>Implementarea acestui proiect nu necesită alocarea unor resurse financiare sup</w:t>
            </w:r>
            <w:r w:rsidR="00956D2F">
              <w:rPr>
                <w:rFonts w:ascii="Times New Roman" w:hAnsi="Times New Roman"/>
                <w:sz w:val="28"/>
                <w:szCs w:val="28"/>
                <w:lang w:eastAsia="ru-RU"/>
              </w:rPr>
              <w:t>limentare de la bugetul de stat,</w:t>
            </w:r>
            <w:r w:rsidR="00956D2F" w:rsidRPr="00956D2F">
              <w:rPr>
                <w:rFonts w:ascii="Times New Roman" w:hAnsi="Times New Roman"/>
                <w:color w:val="000000"/>
                <w:sz w:val="28"/>
                <w:szCs w:val="28"/>
                <w:lang w:eastAsia="ro-RO"/>
              </w:rPr>
              <w:t xml:space="preserve"> </w:t>
            </w:r>
            <w:r w:rsidR="00956D2F" w:rsidRPr="00956D2F">
              <w:rPr>
                <w:rFonts w:ascii="Times New Roman" w:hAnsi="Times New Roman"/>
                <w:sz w:val="28"/>
                <w:szCs w:val="28"/>
                <w:lang w:eastAsia="ru-RU"/>
              </w:rPr>
              <w:t>realizarea acestuia se va efectua din bugetul instituțiilor responsabile în limita resurselor disponibile</w:t>
            </w:r>
            <w:r w:rsidR="00956D2F">
              <w:rPr>
                <w:rFonts w:ascii="Times New Roman" w:hAnsi="Times New Roman"/>
                <w:sz w:val="28"/>
                <w:szCs w:val="28"/>
                <w:lang w:eastAsia="ru-RU"/>
              </w:rPr>
              <w:t>.</w:t>
            </w:r>
          </w:p>
          <w:p w14:paraId="4E63004A" w14:textId="77777777" w:rsidR="002E55BA" w:rsidRDefault="002E55BA" w:rsidP="002E55BA">
            <w:pPr>
              <w:tabs>
                <w:tab w:val="left" w:pos="888"/>
              </w:tabs>
              <w:spacing w:after="0" w:line="240" w:lineRule="auto"/>
              <w:ind w:firstLine="604"/>
              <w:jc w:val="both"/>
              <w:rPr>
                <w:rFonts w:ascii="Times New Roman" w:hAnsi="Times New Roman"/>
                <w:sz w:val="28"/>
                <w:szCs w:val="28"/>
                <w:lang w:eastAsia="ru-RU"/>
              </w:rPr>
            </w:pPr>
            <w:r w:rsidRPr="00956D2F">
              <w:rPr>
                <w:rFonts w:ascii="Times New Roman" w:hAnsi="Times New Roman"/>
                <w:sz w:val="28"/>
                <w:szCs w:val="28"/>
                <w:lang w:eastAsia="ru-RU"/>
              </w:rPr>
              <w:t>Proiectul nu conține prevederi, care ar avea efecte negative asup</w:t>
            </w:r>
            <w:r>
              <w:rPr>
                <w:rFonts w:ascii="Times New Roman" w:hAnsi="Times New Roman"/>
                <w:sz w:val="28"/>
                <w:szCs w:val="28"/>
                <w:lang w:eastAsia="ru-RU"/>
              </w:rPr>
              <w:t>ra economiei Republicii Moldova.</w:t>
            </w:r>
          </w:p>
          <w:p w14:paraId="470F01A8" w14:textId="77777777" w:rsidR="00956D2F" w:rsidRDefault="002E55BA" w:rsidP="002E55BA">
            <w:pPr>
              <w:tabs>
                <w:tab w:val="left" w:pos="888"/>
              </w:tabs>
              <w:spacing w:after="0" w:line="240" w:lineRule="auto"/>
              <w:ind w:firstLine="604"/>
              <w:jc w:val="both"/>
              <w:rPr>
                <w:rFonts w:ascii="Times New Roman" w:hAnsi="Times New Roman"/>
                <w:sz w:val="28"/>
                <w:szCs w:val="28"/>
                <w:lang w:eastAsia="ru-RU"/>
              </w:rPr>
            </w:pPr>
            <w:r w:rsidRPr="00956D2F">
              <w:rPr>
                <w:rFonts w:ascii="Times New Roman" w:hAnsi="Times New Roman"/>
                <w:sz w:val="28"/>
                <w:szCs w:val="28"/>
                <w:lang w:eastAsia="ru-RU"/>
              </w:rPr>
              <w:t>La implementarea proiectului, nu este necesară instituirea unor noi structuri, angajarea personalului adițional, respectiv nu vor fi necesare careva cheltuieli din bugetul de stat.</w:t>
            </w:r>
          </w:p>
          <w:p w14:paraId="25BF5DA7" w14:textId="77777777" w:rsidR="005A784B" w:rsidRPr="00EA7A59" w:rsidRDefault="005A784B" w:rsidP="002E55BA">
            <w:pPr>
              <w:tabs>
                <w:tab w:val="left" w:pos="888"/>
              </w:tabs>
              <w:spacing w:after="0" w:line="240" w:lineRule="auto"/>
              <w:ind w:firstLine="604"/>
              <w:jc w:val="both"/>
              <w:rPr>
                <w:rFonts w:ascii="Times New Roman" w:hAnsi="Times New Roman"/>
                <w:sz w:val="28"/>
                <w:szCs w:val="28"/>
                <w:lang w:eastAsia="ru-RU"/>
              </w:rPr>
            </w:pPr>
          </w:p>
        </w:tc>
      </w:tr>
      <w:tr w:rsidR="003969F9" w:rsidRPr="00EA7A59" w14:paraId="4BFF6620" w14:textId="77777777" w:rsidTr="008B6370">
        <w:tc>
          <w:tcPr>
            <w:tcW w:w="97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3624509" w14:textId="77777777" w:rsidR="00A53D13" w:rsidRPr="00EA7A59" w:rsidRDefault="00A53D13" w:rsidP="008054E1">
            <w:pPr>
              <w:pStyle w:val="a3"/>
              <w:tabs>
                <w:tab w:val="left" w:pos="888"/>
              </w:tabs>
              <w:spacing w:after="0" w:line="240" w:lineRule="auto"/>
              <w:ind w:left="0" w:firstLine="604"/>
              <w:jc w:val="both"/>
              <w:rPr>
                <w:rFonts w:ascii="Times New Roman" w:hAnsi="Times New Roman"/>
                <w:sz w:val="28"/>
                <w:szCs w:val="28"/>
                <w:lang w:eastAsia="ru-RU"/>
              </w:rPr>
            </w:pPr>
            <w:r w:rsidRPr="00EA7A59">
              <w:rPr>
                <w:rFonts w:ascii="Times New Roman" w:hAnsi="Times New Roman"/>
                <w:b/>
                <w:sz w:val="28"/>
                <w:szCs w:val="28"/>
                <w:lang w:eastAsia="ru-RU"/>
              </w:rPr>
              <w:t>6.</w:t>
            </w:r>
            <w:r w:rsidR="00C069BD" w:rsidRPr="00EA7A59">
              <w:rPr>
                <w:rFonts w:ascii="Times New Roman" w:hAnsi="Times New Roman"/>
                <w:b/>
                <w:sz w:val="28"/>
                <w:szCs w:val="28"/>
                <w:lang w:eastAsia="ru-RU"/>
              </w:rPr>
              <w:t xml:space="preserve"> </w:t>
            </w:r>
            <w:r w:rsidRPr="00EA7A59">
              <w:rPr>
                <w:rFonts w:ascii="Times New Roman" w:hAnsi="Times New Roman"/>
                <w:b/>
                <w:sz w:val="28"/>
                <w:szCs w:val="28"/>
                <w:lang w:eastAsia="ru-RU"/>
              </w:rPr>
              <w:t>Modul de încorporare a actului în cadrul normativ în vigoare</w:t>
            </w:r>
          </w:p>
        </w:tc>
      </w:tr>
      <w:tr w:rsidR="003969F9" w:rsidRPr="00EA7A59" w14:paraId="7B153A73" w14:textId="77777777" w:rsidTr="008B6370">
        <w:tc>
          <w:tcPr>
            <w:tcW w:w="9781" w:type="dxa"/>
            <w:tcBorders>
              <w:top w:val="single" w:sz="4" w:space="0" w:color="auto"/>
              <w:left w:val="single" w:sz="4" w:space="0" w:color="auto"/>
              <w:bottom w:val="single" w:sz="4" w:space="0" w:color="auto"/>
              <w:right w:val="single" w:sz="4" w:space="0" w:color="auto"/>
            </w:tcBorders>
          </w:tcPr>
          <w:p w14:paraId="1FFDBD22" w14:textId="77777777" w:rsidR="00956D2F" w:rsidRPr="002E55BA" w:rsidRDefault="00956D2F" w:rsidP="002E55BA">
            <w:pPr>
              <w:tabs>
                <w:tab w:val="left" w:pos="888"/>
              </w:tabs>
              <w:spacing w:after="0" w:line="240" w:lineRule="auto"/>
              <w:ind w:firstLine="598"/>
              <w:jc w:val="both"/>
              <w:rPr>
                <w:rFonts w:ascii="Times New Roman" w:hAnsi="Times New Roman"/>
                <w:sz w:val="28"/>
                <w:szCs w:val="28"/>
                <w:lang w:eastAsia="ru-RU"/>
              </w:rPr>
            </w:pPr>
            <w:r w:rsidRPr="002E55BA">
              <w:rPr>
                <w:rFonts w:ascii="Times New Roman" w:hAnsi="Times New Roman"/>
                <w:sz w:val="28"/>
                <w:szCs w:val="28"/>
                <w:lang w:eastAsia="ru-RU"/>
              </w:rPr>
              <w:t xml:space="preserve">Proiectul legii privind </w:t>
            </w:r>
            <w:r w:rsidRPr="002E55BA">
              <w:rPr>
                <w:rFonts w:ascii="Times New Roman" w:hAnsi="Times New Roman"/>
                <w:bCs/>
                <w:sz w:val="28"/>
                <w:szCs w:val="28"/>
                <w:lang w:val="ro-MD" w:eastAsia="ru-RU"/>
              </w:rPr>
              <w:t>regimul materialelor explozive cu destinație civilă</w:t>
            </w:r>
            <w:r w:rsidRPr="002E55BA">
              <w:rPr>
                <w:rFonts w:ascii="Times New Roman" w:hAnsi="Times New Roman"/>
                <w:b/>
                <w:bCs/>
                <w:sz w:val="28"/>
                <w:szCs w:val="28"/>
                <w:lang w:eastAsia="ru-RU"/>
              </w:rPr>
              <w:t xml:space="preserve"> </w:t>
            </w:r>
            <w:r w:rsidRPr="002E55BA">
              <w:rPr>
                <w:rFonts w:ascii="Times New Roman" w:hAnsi="Times New Roman"/>
                <w:sz w:val="28"/>
                <w:szCs w:val="28"/>
                <w:lang w:eastAsia="ru-RU"/>
              </w:rPr>
              <w:t xml:space="preserve">este un act normativ nou. Pentru asigurarea implementării prevederilor prezentului proiect va fi necesara modificarea actelor normative care reglementează aspecte vizate de prezentul proiect de lege. </w:t>
            </w:r>
          </w:p>
          <w:p w14:paraId="644D7D38" w14:textId="77777777" w:rsidR="002E55BA" w:rsidRPr="002E55BA" w:rsidRDefault="002E55BA" w:rsidP="00595403">
            <w:pPr>
              <w:tabs>
                <w:tab w:val="left" w:pos="9311"/>
              </w:tabs>
              <w:spacing w:line="240" w:lineRule="auto"/>
              <w:ind w:firstLine="598"/>
              <w:contextualSpacing/>
              <w:jc w:val="both"/>
              <w:rPr>
                <w:rFonts w:ascii="Times New Roman" w:eastAsia="Calibri" w:hAnsi="Times New Roman"/>
                <w:bCs/>
                <w:sz w:val="28"/>
                <w:szCs w:val="28"/>
                <w:lang w:eastAsia="en-GB"/>
              </w:rPr>
            </w:pPr>
            <w:r w:rsidRPr="002E55BA">
              <w:rPr>
                <w:rFonts w:ascii="Times New Roman" w:eastAsia="Calibri" w:hAnsi="Times New Roman"/>
                <w:bCs/>
                <w:sz w:val="28"/>
                <w:szCs w:val="28"/>
                <w:lang w:eastAsia="en-GB"/>
              </w:rPr>
              <w:t xml:space="preserve">După adoptarea proiectului de lege, va fi inițiată procedura de modificare a </w:t>
            </w:r>
            <w:r w:rsidRPr="002E55BA">
              <w:rPr>
                <w:rFonts w:ascii="Times New Roman" w:eastAsia="Calibri" w:hAnsi="Times New Roman"/>
                <w:bCs/>
                <w:iCs/>
                <w:sz w:val="28"/>
                <w:szCs w:val="28"/>
                <w:lang w:eastAsia="en-GB"/>
              </w:rPr>
              <w:t xml:space="preserve">Hotărârii Guvernului nr. 1324/2016 </w:t>
            </w:r>
            <w:r w:rsidRPr="002E55BA">
              <w:rPr>
                <w:rFonts w:ascii="Times New Roman" w:eastAsia="Calibri" w:hAnsi="Times New Roman"/>
                <w:bCs/>
                <w:i/>
                <w:iCs/>
                <w:sz w:val="28"/>
                <w:szCs w:val="28"/>
                <w:lang w:eastAsia="en-GB"/>
              </w:rPr>
              <w:t xml:space="preserve">pentru aprobarea Reglementării tehnice privind </w:t>
            </w:r>
            <w:r w:rsidRPr="002E55BA">
              <w:rPr>
                <w:rFonts w:ascii="Times New Roman" w:eastAsia="Calibri" w:hAnsi="Times New Roman"/>
                <w:bCs/>
                <w:i/>
                <w:iCs/>
                <w:sz w:val="28"/>
                <w:szCs w:val="28"/>
                <w:lang w:eastAsia="en-GB"/>
              </w:rPr>
              <w:lastRenderedPageBreak/>
              <w:t>cerințele esențiale de securitate ale explozivilor de uz civil, punerea la dispoziție pe piață și controlul explozivilor de uz civil</w:t>
            </w:r>
            <w:r w:rsidRPr="002E55BA">
              <w:rPr>
                <w:rFonts w:ascii="Times New Roman" w:eastAsia="Calibri" w:hAnsi="Times New Roman"/>
                <w:bCs/>
                <w:iCs/>
                <w:sz w:val="28"/>
                <w:szCs w:val="28"/>
                <w:lang w:eastAsia="en-GB"/>
              </w:rPr>
              <w:t xml:space="preserve"> și Hotărârii Guvernului nr. 1236/2016 </w:t>
            </w:r>
            <w:r w:rsidRPr="002E55BA">
              <w:rPr>
                <w:rFonts w:ascii="Times New Roman" w:eastAsia="Calibri" w:hAnsi="Times New Roman"/>
                <w:bCs/>
                <w:i/>
                <w:iCs/>
                <w:sz w:val="28"/>
                <w:szCs w:val="28"/>
                <w:lang w:eastAsia="en-GB"/>
              </w:rPr>
              <w:t>pentru aprobarea Reglementării tehnice privind instituirea unui sistem de identificare și trasabilitate a explozivilor de uz civil</w:t>
            </w:r>
            <w:r w:rsidRPr="002E55BA">
              <w:rPr>
                <w:rFonts w:ascii="Times New Roman" w:eastAsia="Calibri" w:hAnsi="Times New Roman"/>
                <w:bCs/>
                <w:sz w:val="28"/>
                <w:szCs w:val="28"/>
                <w:lang w:eastAsia="en-GB"/>
              </w:rPr>
              <w:t>, precum și aprobarea actelor departamentale ale instituțiilor și autorităților cu competențe pe domeniu.</w:t>
            </w:r>
          </w:p>
          <w:p w14:paraId="0BC9AC35" w14:textId="77777777" w:rsidR="00453362" w:rsidRDefault="002E55BA" w:rsidP="00595403">
            <w:pPr>
              <w:tabs>
                <w:tab w:val="left" w:pos="888"/>
              </w:tabs>
              <w:spacing w:after="0" w:line="240" w:lineRule="auto"/>
              <w:ind w:firstLine="598"/>
              <w:jc w:val="both"/>
              <w:rPr>
                <w:rFonts w:ascii="Times New Roman" w:hAnsi="Times New Roman"/>
                <w:i/>
                <w:iCs/>
                <w:sz w:val="28"/>
                <w:szCs w:val="28"/>
                <w:lang w:eastAsia="ru-RU"/>
              </w:rPr>
            </w:pPr>
            <w:r w:rsidRPr="002E55BA">
              <w:rPr>
                <w:rFonts w:ascii="Times New Roman" w:hAnsi="Times New Roman"/>
                <w:sz w:val="28"/>
                <w:szCs w:val="28"/>
              </w:rPr>
              <w:t>Urmează a fi inițiată procedura de modificare și armonizare a Legii nr. 235/2011 privind activitățile de acreditare și de evaluare a conformității,</w:t>
            </w:r>
            <w:r w:rsidRPr="002E55BA">
              <w:rPr>
                <w:rFonts w:ascii="Times New Roman" w:hAnsi="Times New Roman"/>
                <w:sz w:val="28"/>
                <w:szCs w:val="28"/>
                <w:shd w:val="clear" w:color="auto" w:fill="FFFFFF"/>
              </w:rPr>
              <w:t xml:space="preserve"> în conformitate cu prevederile capitolului 4 și 5 a </w:t>
            </w:r>
            <w:r w:rsidRPr="002E55BA">
              <w:rPr>
                <w:rFonts w:ascii="Times New Roman" w:hAnsi="Times New Roman"/>
                <w:iCs/>
                <w:sz w:val="28"/>
                <w:szCs w:val="28"/>
                <w:lang w:eastAsia="ru-RU"/>
              </w:rPr>
              <w:t xml:space="preserve">Directivei 2014/28/UE a Parlamentului European și a Consiliului, </w:t>
            </w:r>
            <w:r w:rsidRPr="002E55BA">
              <w:rPr>
                <w:rFonts w:ascii="Times New Roman" w:hAnsi="Times New Roman"/>
                <w:i/>
                <w:iCs/>
                <w:sz w:val="28"/>
                <w:szCs w:val="28"/>
                <w:lang w:eastAsia="ru-RU"/>
              </w:rPr>
              <w:t>privind armonizarea legislației statelor membre referitoare la punerea la dispoziție pe</w:t>
            </w:r>
            <w:r w:rsidRPr="002E55BA">
              <w:rPr>
                <w:rFonts w:ascii="Times New Roman" w:hAnsi="Times New Roman"/>
                <w:iCs/>
                <w:sz w:val="28"/>
                <w:szCs w:val="28"/>
                <w:lang w:eastAsia="ru-RU"/>
              </w:rPr>
              <w:t xml:space="preserve"> </w:t>
            </w:r>
            <w:r w:rsidRPr="002E55BA">
              <w:rPr>
                <w:rFonts w:ascii="Times New Roman" w:hAnsi="Times New Roman"/>
                <w:i/>
                <w:iCs/>
                <w:sz w:val="28"/>
                <w:szCs w:val="28"/>
                <w:lang w:eastAsia="ru-RU"/>
              </w:rPr>
              <w:t>piață și controlul explozivilor de uz civil (reformare).</w:t>
            </w:r>
          </w:p>
          <w:p w14:paraId="52E01F15" w14:textId="77777777" w:rsidR="005A784B" w:rsidRPr="002E55BA" w:rsidRDefault="005A784B" w:rsidP="002E55BA">
            <w:pPr>
              <w:tabs>
                <w:tab w:val="left" w:pos="888"/>
              </w:tabs>
              <w:spacing w:after="0" w:line="240" w:lineRule="auto"/>
              <w:ind w:firstLine="598"/>
              <w:jc w:val="both"/>
              <w:rPr>
                <w:rFonts w:ascii="Times New Roman" w:hAnsi="Times New Roman"/>
                <w:i/>
                <w:iCs/>
                <w:sz w:val="28"/>
                <w:szCs w:val="28"/>
                <w:lang w:eastAsia="ru-RU"/>
              </w:rPr>
            </w:pPr>
          </w:p>
        </w:tc>
      </w:tr>
      <w:tr w:rsidR="003969F9" w:rsidRPr="00EA7A59" w14:paraId="03B212DF" w14:textId="77777777" w:rsidTr="008B6370">
        <w:tc>
          <w:tcPr>
            <w:tcW w:w="9781" w:type="dxa"/>
            <w:tcBorders>
              <w:top w:val="single" w:sz="4" w:space="0" w:color="auto"/>
              <w:left w:val="single" w:sz="4" w:space="0" w:color="auto"/>
              <w:bottom w:val="single" w:sz="4" w:space="0" w:color="auto"/>
              <w:right w:val="single" w:sz="4" w:space="0" w:color="auto"/>
            </w:tcBorders>
            <w:shd w:val="clear" w:color="auto" w:fill="BFBFBF"/>
            <w:hideMark/>
          </w:tcPr>
          <w:p w14:paraId="7870351A" w14:textId="77777777" w:rsidR="00A53D13" w:rsidRPr="00EA7A59" w:rsidRDefault="00A53D13" w:rsidP="008054E1">
            <w:pPr>
              <w:pStyle w:val="a3"/>
              <w:tabs>
                <w:tab w:val="left" w:pos="888"/>
              </w:tabs>
              <w:spacing w:after="0" w:line="240" w:lineRule="auto"/>
              <w:ind w:left="0" w:firstLine="604"/>
              <w:jc w:val="both"/>
              <w:rPr>
                <w:rFonts w:ascii="Times New Roman" w:hAnsi="Times New Roman"/>
                <w:b/>
                <w:sz w:val="28"/>
                <w:szCs w:val="28"/>
                <w:lang w:eastAsia="ru-RU"/>
              </w:rPr>
            </w:pPr>
            <w:r w:rsidRPr="00EA7A59">
              <w:rPr>
                <w:rFonts w:ascii="Times New Roman" w:hAnsi="Times New Roman"/>
                <w:b/>
                <w:sz w:val="28"/>
                <w:szCs w:val="28"/>
                <w:lang w:eastAsia="ru-RU"/>
              </w:rPr>
              <w:lastRenderedPageBreak/>
              <w:t>7.</w:t>
            </w:r>
            <w:r w:rsidR="00C069BD" w:rsidRPr="00EA7A59">
              <w:rPr>
                <w:rFonts w:ascii="Times New Roman" w:hAnsi="Times New Roman"/>
                <w:b/>
                <w:sz w:val="28"/>
                <w:szCs w:val="28"/>
                <w:lang w:eastAsia="ru-RU"/>
              </w:rPr>
              <w:t xml:space="preserve"> </w:t>
            </w:r>
            <w:r w:rsidRPr="00EA7A59">
              <w:rPr>
                <w:rFonts w:ascii="Times New Roman" w:hAnsi="Times New Roman"/>
                <w:b/>
                <w:sz w:val="28"/>
                <w:szCs w:val="28"/>
                <w:lang w:eastAsia="ru-RU"/>
              </w:rPr>
              <w:t>Avizarea şi consultarea publică a proiectului</w:t>
            </w:r>
          </w:p>
        </w:tc>
      </w:tr>
      <w:tr w:rsidR="003969F9" w:rsidRPr="00EA7A59" w14:paraId="4579B6DA" w14:textId="77777777" w:rsidTr="008B6370">
        <w:tc>
          <w:tcPr>
            <w:tcW w:w="9781" w:type="dxa"/>
            <w:tcBorders>
              <w:top w:val="single" w:sz="4" w:space="0" w:color="auto"/>
              <w:left w:val="single" w:sz="4" w:space="0" w:color="auto"/>
              <w:bottom w:val="single" w:sz="4" w:space="0" w:color="auto"/>
              <w:right w:val="single" w:sz="4" w:space="0" w:color="auto"/>
            </w:tcBorders>
            <w:hideMark/>
          </w:tcPr>
          <w:p w14:paraId="618AA231" w14:textId="77777777" w:rsidR="002E55BA" w:rsidRPr="002E55BA" w:rsidRDefault="002E55BA" w:rsidP="008F6994">
            <w:pPr>
              <w:spacing w:after="0" w:line="240" w:lineRule="auto"/>
              <w:ind w:firstLine="664"/>
              <w:jc w:val="both"/>
              <w:rPr>
                <w:rFonts w:ascii="Times New Roman" w:hAnsi="Times New Roman"/>
                <w:sz w:val="28"/>
                <w:szCs w:val="28"/>
                <w:lang w:eastAsia="ru-RU"/>
              </w:rPr>
            </w:pPr>
            <w:r w:rsidRPr="002E55BA">
              <w:rPr>
                <w:rFonts w:ascii="Times New Roman" w:hAnsi="Times New Roman"/>
                <w:sz w:val="28"/>
                <w:szCs w:val="28"/>
                <w:lang w:eastAsia="ru-RU"/>
              </w:rPr>
              <w:t>În scopul respectării prevederilor Legii nr. 239/2008 privind transparența în procesul decizional şi Regulamentului cu privire la procedurile de consultare publică cu societatea civilă în procesul decizional, aprobat prin Hotărârea Guvernului nr. 967/2016, proiectul urmează a fi plasat pe pagina web oficială a Ministerului Afacerilor Interne (https: //www.mai.gov.md), la compartimentul „Transparența”, rubrica „Consultări publice”, precum și pe platforma guvernamentală https: //particip.gov.md.</w:t>
            </w:r>
          </w:p>
          <w:p w14:paraId="1E7D1FF3" w14:textId="77777777" w:rsidR="002E55BA" w:rsidRDefault="002E55BA" w:rsidP="008F6994">
            <w:pPr>
              <w:spacing w:after="0" w:line="240" w:lineRule="auto"/>
              <w:ind w:firstLine="664"/>
              <w:jc w:val="both"/>
              <w:rPr>
                <w:rFonts w:ascii="Times New Roman" w:hAnsi="Times New Roman"/>
                <w:sz w:val="28"/>
                <w:szCs w:val="28"/>
                <w:lang w:eastAsia="ru-RU"/>
              </w:rPr>
            </w:pPr>
            <w:r w:rsidRPr="002E55BA">
              <w:rPr>
                <w:rFonts w:ascii="Times New Roman" w:hAnsi="Times New Roman"/>
                <w:sz w:val="28"/>
                <w:szCs w:val="28"/>
                <w:lang w:eastAsia="ru-RU"/>
              </w:rPr>
              <w:t xml:space="preserve">La </w:t>
            </w:r>
            <w:r w:rsidR="008F6994">
              <w:rPr>
                <w:rFonts w:ascii="Times New Roman" w:hAnsi="Times New Roman"/>
                <w:sz w:val="28"/>
                <w:szCs w:val="28"/>
                <w:lang w:eastAsia="ru-RU"/>
              </w:rPr>
              <w:t>20 februarie</w:t>
            </w:r>
            <w:r w:rsidRPr="002E55BA">
              <w:rPr>
                <w:rFonts w:ascii="Times New Roman" w:hAnsi="Times New Roman"/>
                <w:sz w:val="28"/>
                <w:szCs w:val="28"/>
                <w:lang w:eastAsia="ru-RU"/>
              </w:rPr>
              <w:t xml:space="preserve"> 2023, anunțul privind elaborarea proiectului hotărârii Guvernului cu privire la aprobarea </w:t>
            </w:r>
            <w:r w:rsidR="008F6994" w:rsidRPr="008F6994">
              <w:rPr>
                <w:rFonts w:ascii="Times New Roman" w:hAnsi="Times New Roman"/>
                <w:color w:val="000000"/>
                <w:sz w:val="28"/>
                <w:szCs w:val="28"/>
                <w:bdr w:val="none" w:sz="0" w:space="0" w:color="auto" w:frame="1"/>
              </w:rPr>
              <w:t>proiectului de lege privind regimul materialelor explozive cu destinație civilă</w:t>
            </w:r>
            <w:r w:rsidR="008F6994">
              <w:rPr>
                <w:rFonts w:ascii="Times New Roman" w:hAnsi="Times New Roman"/>
                <w:color w:val="000000"/>
                <w:sz w:val="28"/>
                <w:szCs w:val="28"/>
                <w:bdr w:val="none" w:sz="0" w:space="0" w:color="auto" w:frame="1"/>
              </w:rPr>
              <w:t xml:space="preserve"> </w:t>
            </w:r>
            <w:r w:rsidRPr="008F6994">
              <w:rPr>
                <w:rFonts w:ascii="Times New Roman" w:hAnsi="Times New Roman"/>
                <w:sz w:val="28"/>
                <w:szCs w:val="28"/>
                <w:lang w:eastAsia="ru-RU"/>
              </w:rPr>
              <w:t xml:space="preserve">fost </w:t>
            </w:r>
            <w:r w:rsidRPr="002E55BA">
              <w:rPr>
                <w:rFonts w:ascii="Times New Roman" w:hAnsi="Times New Roman"/>
                <w:sz w:val="28"/>
                <w:szCs w:val="28"/>
                <w:lang w:eastAsia="ru-RU"/>
              </w:rPr>
              <w:t xml:space="preserve">plasat pe pagina web oficială a Ministerului Afacerilor Interne (https: //www.mai.gov.md), la compartimentul „Transparența”, rubrica „Consultări publice/Inițierea elaborării actelor normative” și pe platforma guvernamentală www. particip.gov.md, fiind expusă argumentarea </w:t>
            </w:r>
            <w:r w:rsidR="008F6994" w:rsidRPr="002E55BA">
              <w:rPr>
                <w:rFonts w:ascii="Times New Roman" w:hAnsi="Times New Roman"/>
                <w:sz w:val="28"/>
                <w:szCs w:val="28"/>
                <w:lang w:eastAsia="ru-RU"/>
              </w:rPr>
              <w:t>necesității</w:t>
            </w:r>
            <w:r w:rsidRPr="002E55BA">
              <w:rPr>
                <w:rFonts w:ascii="Times New Roman" w:hAnsi="Times New Roman"/>
                <w:sz w:val="28"/>
                <w:szCs w:val="28"/>
                <w:lang w:eastAsia="ru-RU"/>
              </w:rPr>
              <w:t xml:space="preserve"> de a adopta acest act normativ și termenul-limită, locul şi modalitatea în care </w:t>
            </w:r>
            <w:r w:rsidR="008F6994" w:rsidRPr="002E55BA">
              <w:rPr>
                <w:rFonts w:ascii="Times New Roman" w:hAnsi="Times New Roman"/>
                <w:sz w:val="28"/>
                <w:szCs w:val="28"/>
                <w:lang w:eastAsia="ru-RU"/>
              </w:rPr>
              <w:t>părțile</w:t>
            </w:r>
            <w:r w:rsidRPr="002E55BA">
              <w:rPr>
                <w:rFonts w:ascii="Times New Roman" w:hAnsi="Times New Roman"/>
                <w:sz w:val="28"/>
                <w:szCs w:val="28"/>
                <w:lang w:eastAsia="ru-RU"/>
              </w:rPr>
              <w:t xml:space="preserve"> interesate pot prezenta sau expedia recomandări.</w:t>
            </w:r>
          </w:p>
          <w:p w14:paraId="413F6134" w14:textId="77777777" w:rsidR="009263B4" w:rsidRDefault="009263B4" w:rsidP="009263B4">
            <w:pPr>
              <w:spacing w:after="0" w:line="240" w:lineRule="auto"/>
              <w:ind w:firstLine="664"/>
              <w:jc w:val="both"/>
              <w:rPr>
                <w:rFonts w:ascii="Times New Roman" w:hAnsi="Times New Roman"/>
                <w:sz w:val="28"/>
                <w:szCs w:val="28"/>
                <w:lang w:eastAsia="ru-RU"/>
              </w:rPr>
            </w:pPr>
            <w:r>
              <w:rPr>
                <w:rFonts w:ascii="Times New Roman" w:hAnsi="Times New Roman"/>
                <w:sz w:val="28"/>
                <w:szCs w:val="28"/>
                <w:lang w:eastAsia="ru-RU"/>
              </w:rPr>
              <w:t xml:space="preserve">La 30 august 2023 anunțul privind </w:t>
            </w:r>
            <w:r w:rsidRPr="009263B4">
              <w:rPr>
                <w:rFonts w:ascii="Times New Roman" w:hAnsi="Times New Roman"/>
                <w:sz w:val="28"/>
                <w:szCs w:val="28"/>
                <w:lang w:eastAsia="ru-RU"/>
              </w:rPr>
              <w:t>i</w:t>
            </w:r>
            <w:r w:rsidRPr="009263B4">
              <w:rPr>
                <w:rFonts w:ascii="Times New Roman" w:hAnsi="Times New Roman"/>
                <w:color w:val="000000"/>
                <w:sz w:val="28"/>
                <w:szCs w:val="28"/>
                <w:bdr w:val="none" w:sz="0" w:space="0" w:color="auto" w:frame="1"/>
              </w:rPr>
              <w:t>nițierea procesului de elaborare a Analizei Impactului de Reglementare (AIR) la proiectului hotărârii de Guvern cu privire la aprobarea proiectului de lege privind regimul materialelor explozive cu destinație civilă</w:t>
            </w:r>
            <w:r w:rsidRPr="008F6994">
              <w:rPr>
                <w:rFonts w:ascii="Times New Roman" w:hAnsi="Times New Roman"/>
                <w:sz w:val="28"/>
                <w:szCs w:val="28"/>
                <w:lang w:eastAsia="ru-RU"/>
              </w:rPr>
              <w:t xml:space="preserve"> fost </w:t>
            </w:r>
            <w:r w:rsidRPr="002E55BA">
              <w:rPr>
                <w:rFonts w:ascii="Times New Roman" w:hAnsi="Times New Roman"/>
                <w:sz w:val="28"/>
                <w:szCs w:val="28"/>
                <w:lang w:eastAsia="ru-RU"/>
              </w:rPr>
              <w:t>plasat pe pagina web oficială a Ministerului Afacerilor Interne (https: //www.mai.gov.md), la compartimentul „Transparența”, rubrica „Consultări publice/Inițierea elaborării actelor normative” și pe platforma guvernamentală www. particip.gov.md, fiind expusă argumentarea necesității de a adopta acest act normativ și termenul-limită, locul şi modalitatea în care părțile interesate pot prezenta sau expedia recomandări.</w:t>
            </w:r>
          </w:p>
          <w:p w14:paraId="3780DD03" w14:textId="5C441DDF" w:rsidR="009263B4" w:rsidRPr="009263B4" w:rsidRDefault="009263B4" w:rsidP="009263B4">
            <w:pPr>
              <w:spacing w:after="0" w:line="240" w:lineRule="auto"/>
              <w:ind w:left="31" w:right="31" w:firstLine="709"/>
              <w:jc w:val="both"/>
              <w:rPr>
                <w:rFonts w:ascii="Times New Roman" w:hAnsi="Times New Roman"/>
                <w:color w:val="000000"/>
                <w:sz w:val="28"/>
                <w:szCs w:val="28"/>
                <w:bdr w:val="none" w:sz="0" w:space="0" w:color="auto" w:frame="1"/>
              </w:rPr>
            </w:pPr>
            <w:r w:rsidRPr="009263B4">
              <w:rPr>
                <w:rFonts w:ascii="Times New Roman" w:hAnsi="Times New Roman"/>
                <w:color w:val="000000"/>
                <w:sz w:val="28"/>
                <w:szCs w:val="28"/>
                <w:bdr w:val="none" w:sz="0" w:space="0" w:color="auto" w:frame="1"/>
              </w:rPr>
              <w:t xml:space="preserve">Prin </w:t>
            </w:r>
            <w:r w:rsidR="00163B86" w:rsidRPr="009263B4">
              <w:rPr>
                <w:rFonts w:ascii="Times New Roman" w:hAnsi="Times New Roman"/>
                <w:color w:val="000000"/>
                <w:sz w:val="28"/>
                <w:szCs w:val="28"/>
                <w:bdr w:val="none" w:sz="0" w:space="0" w:color="auto" w:frame="1"/>
              </w:rPr>
              <w:t>demersul</w:t>
            </w:r>
            <w:r w:rsidRPr="009263B4">
              <w:rPr>
                <w:rFonts w:ascii="Times New Roman" w:hAnsi="Times New Roman"/>
                <w:color w:val="000000"/>
                <w:sz w:val="28"/>
                <w:szCs w:val="28"/>
                <w:bdr w:val="none" w:sz="0" w:space="0" w:color="auto" w:frame="1"/>
              </w:rPr>
              <w:t xml:space="preserve"> MAI nr. 37/1745 din 14 aprilie 2023, în adresa Inspectoratului Național pentru Supraveghere Tehnică, organizațiilor comerciale cu activități în domeniul explozivilor cu destinație civilă, au fost remise pentru consultare proiectele actelor elaborate și solicitată expunerea pe marginea acestora, cu înaintarea recomandărilor, obiecțiilor și completărilor motivate, care să contribuie la definitivarea proiectului și transmiterea acestuia pentru consultare publică și avizare către autoritățile competente.</w:t>
            </w:r>
          </w:p>
          <w:p w14:paraId="65AB7CC0" w14:textId="77777777" w:rsidR="009263B4" w:rsidRDefault="009263B4" w:rsidP="009263B4">
            <w:pPr>
              <w:spacing w:after="0" w:line="240" w:lineRule="auto"/>
              <w:ind w:left="31" w:right="31" w:firstLine="709"/>
              <w:jc w:val="both"/>
              <w:rPr>
                <w:rFonts w:ascii="Times New Roman" w:hAnsi="Times New Roman"/>
                <w:sz w:val="28"/>
                <w:szCs w:val="28"/>
                <w:lang w:eastAsia="ru-RU"/>
              </w:rPr>
            </w:pPr>
            <w:r w:rsidRPr="009263B4">
              <w:rPr>
                <w:rFonts w:ascii="Times New Roman" w:hAnsi="Times New Roman"/>
                <w:sz w:val="28"/>
                <w:szCs w:val="28"/>
                <w:lang w:eastAsia="ru-RU"/>
              </w:rPr>
              <w:lastRenderedPageBreak/>
              <w:t>La 28.04.2023 a fost desfășurată ședința ședință comună cu reprezentanții</w:t>
            </w:r>
            <w:r>
              <w:rPr>
                <w:rFonts w:ascii="Times New Roman" w:hAnsi="Times New Roman"/>
                <w:sz w:val="28"/>
                <w:szCs w:val="28"/>
                <w:lang w:eastAsia="ru-RU"/>
              </w:rPr>
              <w:t xml:space="preserve"> </w:t>
            </w:r>
            <w:r w:rsidRPr="009263B4">
              <w:rPr>
                <w:rFonts w:ascii="Times New Roman" w:hAnsi="Times New Roman"/>
                <w:sz w:val="28"/>
                <w:szCs w:val="28"/>
                <w:lang w:eastAsia="ru-RU"/>
              </w:rPr>
              <w:t>autorității administrative abilitată în domeniul securității industriale și organizațiilor comerciale cu activități în domeniul explozivilor cu destinație civilă, în scopul consultării proiectului de lege privind regimul materialelor explozive cu destinație civilă și proiectului Analizei impactului de reglementare la proiectul de lege.</w:t>
            </w:r>
          </w:p>
          <w:p w14:paraId="7EDDC895" w14:textId="77777777" w:rsidR="009263B4" w:rsidRPr="009263B4" w:rsidRDefault="009263B4" w:rsidP="009263B4">
            <w:pPr>
              <w:spacing w:after="0" w:line="240" w:lineRule="auto"/>
              <w:ind w:left="31" w:right="31" w:firstLine="709"/>
              <w:jc w:val="both"/>
              <w:rPr>
                <w:rFonts w:ascii="Times New Roman" w:hAnsi="Times New Roman"/>
                <w:sz w:val="28"/>
                <w:szCs w:val="28"/>
              </w:rPr>
            </w:pPr>
            <w:r w:rsidRPr="009263B4">
              <w:rPr>
                <w:rFonts w:ascii="Times New Roman" w:hAnsi="Times New Roman"/>
                <w:sz w:val="28"/>
                <w:szCs w:val="28"/>
              </w:rPr>
              <w:t>În final, participanții la ședință au concluzionat asupra importanței scopului propus menționând că, lipsa reglementărilor privind măsurile de retragere din circuit și distrugere a materialelor explozive cu destinație civilă neconforme, interzise, modificate, cu termen de valabilitate expirat, deteriorate sau care nu corespund cerințelor esențiale de securitate, va genera efecte privind sporirea incidentelor cu utilizarea și folosirea acestora.</w:t>
            </w:r>
          </w:p>
          <w:p w14:paraId="1D64FF7B" w14:textId="77777777" w:rsidR="00B63442" w:rsidRDefault="00B63442" w:rsidP="009263B4">
            <w:pPr>
              <w:spacing w:after="0" w:line="240" w:lineRule="auto"/>
              <w:ind w:left="31" w:right="31" w:firstLine="709"/>
              <w:jc w:val="both"/>
              <w:rPr>
                <w:rFonts w:ascii="Times New Roman" w:hAnsi="Times New Roman"/>
                <w:sz w:val="28"/>
                <w:szCs w:val="28"/>
              </w:rPr>
            </w:pPr>
            <w:r w:rsidRPr="00B63442">
              <w:rPr>
                <w:rFonts w:ascii="Times New Roman" w:hAnsi="Times New Roman"/>
                <w:sz w:val="28"/>
                <w:szCs w:val="28"/>
              </w:rPr>
              <w:t>La 24.05.2023 în cadrul proiectului de asistență externă, în baza Memorandumului de Înțelegere dintre Ministerul Afacerilor Interne și Institutul Interregional de Cercetare a Criminalității și Justiției al Organizației Națiunilor Unite (UNICRI), a fost desfășurată ședința de lucru cu reprezentantul (UNICRI), cu referire la necesitatea implicării expertului străin pe domeniul reglementării regimului juridic al explozivului din circuitul civil, în scopul definitivării Analizei impactului de reglementare și a proiectului de lege.</w:t>
            </w:r>
          </w:p>
          <w:p w14:paraId="46A9D532" w14:textId="77777777" w:rsidR="009263B4" w:rsidRPr="009263B4" w:rsidRDefault="009263B4" w:rsidP="009263B4">
            <w:pPr>
              <w:spacing w:after="0" w:line="240" w:lineRule="auto"/>
              <w:ind w:left="31" w:right="31" w:firstLine="709"/>
              <w:jc w:val="both"/>
              <w:rPr>
                <w:rFonts w:ascii="Times New Roman" w:hAnsi="Times New Roman"/>
                <w:sz w:val="28"/>
                <w:szCs w:val="28"/>
              </w:rPr>
            </w:pPr>
            <w:r w:rsidRPr="009263B4">
              <w:rPr>
                <w:rFonts w:ascii="Times New Roman" w:hAnsi="Times New Roman"/>
                <w:sz w:val="28"/>
                <w:szCs w:val="28"/>
              </w:rPr>
              <w:t>Astfel, în perioada 27 – 29 iunie 2023, în Republica Moldova, a fost desfășurată misiunea UNICRI și a expertului străin, consultant pentru a sprijini procesul de reformare a legislației in domeniul dispozitivelor explozive de uz civil, cu experiență vastă pe acest domeniu, care a avut diverse colaborări internaționale, inclusiv cu ONU și EUROPOL, oferind expertiză în probleme legate de domeniile EOD/IEDD/CBRN.</w:t>
            </w:r>
          </w:p>
          <w:p w14:paraId="7C64ABE3" w14:textId="77777777" w:rsidR="009263B4" w:rsidRPr="009263B4" w:rsidRDefault="009263B4" w:rsidP="009263B4">
            <w:pPr>
              <w:spacing w:after="0" w:line="240" w:lineRule="auto"/>
              <w:ind w:left="31" w:right="31" w:firstLine="709"/>
              <w:jc w:val="both"/>
              <w:rPr>
                <w:rFonts w:ascii="Times New Roman" w:hAnsi="Times New Roman"/>
                <w:sz w:val="28"/>
                <w:szCs w:val="28"/>
              </w:rPr>
            </w:pPr>
            <w:r w:rsidRPr="009263B4">
              <w:rPr>
                <w:rFonts w:ascii="Times New Roman" w:hAnsi="Times New Roman"/>
                <w:sz w:val="28"/>
                <w:szCs w:val="28"/>
              </w:rPr>
              <w:t>În cadrul misiunii au fost desfășurate activitățile privind consultarea factorilor interesați cu atribuții pe domeniul explozivilor cu destinație civilă, din cadrul: Inspectoratului General al Poliției, Serviciului Vamal, Inspectoratului Național pentru Supraveghere Tehnică, Ministerului Mediului, Agenției Servicii Publice, Centrului Național de Acreditare – MOLDAC, Agenției Națională Transport Auto, Ministerului Apărării, Serviciului de Informații și Securitate, Serviciului Prevenirea și Combaterea Spălării Banilor.</w:t>
            </w:r>
          </w:p>
          <w:p w14:paraId="3D2323AB" w14:textId="77777777" w:rsidR="009263B4" w:rsidRDefault="009263B4" w:rsidP="00F20F5D">
            <w:pPr>
              <w:spacing w:after="0" w:line="240" w:lineRule="auto"/>
              <w:ind w:left="31" w:right="31" w:firstLine="709"/>
              <w:jc w:val="both"/>
              <w:rPr>
                <w:rFonts w:ascii="Times New Roman" w:hAnsi="Times New Roman"/>
                <w:sz w:val="28"/>
                <w:szCs w:val="28"/>
              </w:rPr>
            </w:pPr>
            <w:r w:rsidRPr="009263B4">
              <w:rPr>
                <w:rFonts w:ascii="Times New Roman" w:hAnsi="Times New Roman"/>
                <w:sz w:val="28"/>
                <w:szCs w:val="28"/>
              </w:rPr>
              <w:t xml:space="preserve">Prin urmare, în perioada lunilor iulie – septembrie 2023, de către reprezentantul și expertul UNICRI, au fost desfășurate sesiuni online privind </w:t>
            </w:r>
            <w:r w:rsidR="00F20F5D" w:rsidRPr="009263B4">
              <w:rPr>
                <w:rFonts w:ascii="Times New Roman" w:hAnsi="Times New Roman"/>
                <w:sz w:val="28"/>
                <w:szCs w:val="28"/>
              </w:rPr>
              <w:t>asistența</w:t>
            </w:r>
            <w:r w:rsidRPr="009263B4">
              <w:rPr>
                <w:rFonts w:ascii="Times New Roman" w:hAnsi="Times New Roman"/>
                <w:sz w:val="28"/>
                <w:szCs w:val="28"/>
              </w:rPr>
              <w:t xml:space="preserve"> tehnică în procesul de elaborare a proiectului de lege și proiectului Analizei impactului de reglementare, iar recomandările acestora au stat la baza definitivării proiectelor actelor menționate supra.</w:t>
            </w:r>
          </w:p>
          <w:p w14:paraId="081C28DF" w14:textId="77777777" w:rsidR="00453362" w:rsidRDefault="008F6994" w:rsidP="009263B4">
            <w:pPr>
              <w:spacing w:after="0" w:line="240" w:lineRule="auto"/>
              <w:ind w:left="31" w:right="31" w:firstLine="709"/>
              <w:jc w:val="both"/>
              <w:rPr>
                <w:rFonts w:ascii="Times New Roman" w:hAnsi="Times New Roman"/>
                <w:sz w:val="28"/>
                <w:szCs w:val="28"/>
                <w:lang w:eastAsia="ru-RU"/>
              </w:rPr>
            </w:pPr>
            <w:r>
              <w:rPr>
                <w:rFonts w:ascii="Times New Roman" w:hAnsi="Times New Roman"/>
                <w:sz w:val="28"/>
                <w:szCs w:val="28"/>
                <w:lang w:eastAsia="ru-RU"/>
              </w:rPr>
              <w:t xml:space="preserve">Proiectul de lege și </w:t>
            </w:r>
            <w:r w:rsidR="00453362" w:rsidRPr="00453362">
              <w:rPr>
                <w:rFonts w:ascii="Times New Roman" w:hAnsi="Times New Roman"/>
                <w:sz w:val="28"/>
                <w:szCs w:val="28"/>
                <w:lang w:eastAsia="ru-RU"/>
              </w:rPr>
              <w:t>Analiza impactului de reglementare urmează a fi consultat</w:t>
            </w:r>
            <w:r w:rsidR="00F20F5D">
              <w:rPr>
                <w:rFonts w:ascii="Times New Roman" w:hAnsi="Times New Roman"/>
                <w:sz w:val="28"/>
                <w:szCs w:val="28"/>
                <w:lang w:eastAsia="ru-RU"/>
              </w:rPr>
              <w:t>e</w:t>
            </w:r>
            <w:r w:rsidR="00453362" w:rsidRPr="00453362">
              <w:rPr>
                <w:rFonts w:ascii="Times New Roman" w:hAnsi="Times New Roman"/>
                <w:sz w:val="28"/>
                <w:szCs w:val="28"/>
                <w:lang w:eastAsia="ru-RU"/>
              </w:rPr>
              <w:t xml:space="preserve"> cu grupurile de interese de bază:</w:t>
            </w:r>
          </w:p>
          <w:p w14:paraId="3B58AD02" w14:textId="69EB2710" w:rsidR="00032451" w:rsidRPr="00032451" w:rsidRDefault="00453362" w:rsidP="00032451">
            <w:pPr>
              <w:pStyle w:val="a3"/>
              <w:numPr>
                <w:ilvl w:val="0"/>
                <w:numId w:val="15"/>
              </w:numPr>
              <w:tabs>
                <w:tab w:val="left" w:pos="888"/>
              </w:tabs>
              <w:spacing w:after="0" w:line="240" w:lineRule="auto"/>
              <w:ind w:left="37" w:firstLine="604"/>
              <w:jc w:val="both"/>
              <w:rPr>
                <w:rFonts w:ascii="Times New Roman" w:hAnsi="Times New Roman"/>
                <w:b/>
                <w:bCs/>
                <w:sz w:val="28"/>
                <w:szCs w:val="28"/>
                <w:lang w:val="ro-MD" w:eastAsia="ru-RU"/>
              </w:rPr>
            </w:pPr>
            <w:r w:rsidRPr="00032451">
              <w:rPr>
                <w:rFonts w:ascii="Times New Roman" w:hAnsi="Times New Roman"/>
                <w:i/>
                <w:sz w:val="28"/>
                <w:szCs w:val="28"/>
                <w:lang w:eastAsia="ru-RU"/>
              </w:rPr>
              <w:t>autoritățile de reglementare:</w:t>
            </w:r>
            <w:r w:rsidRPr="00032451">
              <w:rPr>
                <w:rFonts w:ascii="Times New Roman" w:hAnsi="Times New Roman"/>
                <w:sz w:val="28"/>
                <w:szCs w:val="28"/>
                <w:lang w:eastAsia="ru-RU"/>
              </w:rPr>
              <w:t xml:space="preserve"> Ministerul Infrastructurii </w:t>
            </w:r>
            <w:r w:rsidR="00595403" w:rsidRPr="00032451">
              <w:rPr>
                <w:rFonts w:ascii="Times New Roman" w:hAnsi="Times New Roman"/>
                <w:sz w:val="28"/>
                <w:szCs w:val="28"/>
                <w:lang w:eastAsia="ru-RU"/>
              </w:rPr>
              <w:t>și</w:t>
            </w:r>
            <w:r w:rsidRPr="00032451">
              <w:rPr>
                <w:rFonts w:ascii="Times New Roman" w:hAnsi="Times New Roman"/>
                <w:sz w:val="28"/>
                <w:szCs w:val="28"/>
                <w:lang w:eastAsia="ru-RU"/>
              </w:rPr>
              <w:t xml:space="preserve"> Dezvoltării Regionale, Ministerul </w:t>
            </w:r>
            <w:r w:rsidR="00032451" w:rsidRPr="00032451">
              <w:rPr>
                <w:rFonts w:ascii="Times New Roman" w:hAnsi="Times New Roman"/>
                <w:sz w:val="28"/>
                <w:szCs w:val="28"/>
                <w:lang w:eastAsia="ru-RU"/>
              </w:rPr>
              <w:t>Dezvoltării Economice</w:t>
            </w:r>
            <w:r w:rsidRPr="00032451">
              <w:rPr>
                <w:rFonts w:ascii="Times New Roman" w:hAnsi="Times New Roman"/>
                <w:sz w:val="28"/>
                <w:szCs w:val="28"/>
                <w:lang w:eastAsia="ru-RU"/>
              </w:rPr>
              <w:t xml:space="preserve">, </w:t>
            </w:r>
            <w:r w:rsidR="007F00C3" w:rsidRPr="00032451">
              <w:rPr>
                <w:rFonts w:ascii="Times New Roman" w:hAnsi="Times New Roman"/>
                <w:bCs/>
                <w:sz w:val="28"/>
                <w:szCs w:val="28"/>
                <w:lang w:val="ro-MD" w:eastAsia="ru-RU"/>
              </w:rPr>
              <w:t xml:space="preserve">Ministerul Apărării, </w:t>
            </w:r>
            <w:r w:rsidRPr="00032451">
              <w:rPr>
                <w:rFonts w:ascii="Times New Roman" w:hAnsi="Times New Roman"/>
                <w:sz w:val="28"/>
                <w:szCs w:val="28"/>
                <w:lang w:eastAsia="ru-RU"/>
              </w:rPr>
              <w:t>Ministerul Mediului,</w:t>
            </w:r>
            <w:r w:rsidR="007F00C3" w:rsidRPr="00032451">
              <w:rPr>
                <w:rFonts w:ascii="Times New Roman" w:eastAsiaTheme="minorHAnsi" w:hAnsi="Times New Roman"/>
                <w:bCs/>
                <w:color w:val="000000"/>
                <w:sz w:val="24"/>
                <w:szCs w:val="24"/>
                <w:lang w:val="ro-MD"/>
              </w:rPr>
              <w:t xml:space="preserve"> </w:t>
            </w:r>
            <w:r w:rsidR="007F00C3" w:rsidRPr="00032451">
              <w:rPr>
                <w:rFonts w:ascii="Times New Roman" w:hAnsi="Times New Roman"/>
                <w:bCs/>
                <w:sz w:val="28"/>
                <w:szCs w:val="28"/>
                <w:lang w:val="ro-MD" w:eastAsia="ru-RU"/>
              </w:rPr>
              <w:t>Ministerul Educației și Cercetării, Ministerul Justiției,</w:t>
            </w:r>
            <w:r w:rsidR="007F00C3" w:rsidRPr="00032451">
              <w:rPr>
                <w:rFonts w:ascii="Times New Roman" w:eastAsiaTheme="minorHAnsi" w:hAnsi="Times New Roman"/>
                <w:bCs/>
                <w:color w:val="000000"/>
                <w:sz w:val="24"/>
                <w:szCs w:val="24"/>
                <w:lang w:val="ro-MD"/>
              </w:rPr>
              <w:t xml:space="preserve"> </w:t>
            </w:r>
            <w:r w:rsidR="007F00C3" w:rsidRPr="00032451">
              <w:rPr>
                <w:rFonts w:ascii="Times New Roman" w:hAnsi="Times New Roman"/>
                <w:bCs/>
                <w:sz w:val="28"/>
                <w:szCs w:val="28"/>
                <w:lang w:val="ro-MD" w:eastAsia="ru-RU"/>
              </w:rPr>
              <w:t>Ministerul Finanțelor</w:t>
            </w:r>
            <w:r w:rsidR="00032451" w:rsidRPr="00032451">
              <w:rPr>
                <w:rFonts w:ascii="Times New Roman" w:hAnsi="Times New Roman"/>
                <w:bCs/>
                <w:sz w:val="28"/>
                <w:szCs w:val="28"/>
                <w:lang w:val="ro-MD" w:eastAsia="ru-RU"/>
              </w:rPr>
              <w:t>.</w:t>
            </w:r>
          </w:p>
          <w:p w14:paraId="53F1EFD4" w14:textId="77777777" w:rsidR="00453362" w:rsidRPr="00032451" w:rsidRDefault="00453362" w:rsidP="008F6994">
            <w:pPr>
              <w:pStyle w:val="a3"/>
              <w:numPr>
                <w:ilvl w:val="0"/>
                <w:numId w:val="15"/>
              </w:numPr>
              <w:tabs>
                <w:tab w:val="left" w:pos="888"/>
              </w:tabs>
              <w:spacing w:after="0" w:line="240" w:lineRule="auto"/>
              <w:ind w:left="37" w:firstLine="604"/>
              <w:jc w:val="both"/>
              <w:rPr>
                <w:rFonts w:ascii="Times New Roman" w:hAnsi="Times New Roman"/>
                <w:sz w:val="28"/>
                <w:szCs w:val="28"/>
                <w:lang w:eastAsia="ru-RU"/>
              </w:rPr>
            </w:pPr>
            <w:r w:rsidRPr="00032451">
              <w:rPr>
                <w:rFonts w:ascii="Times New Roman" w:hAnsi="Times New Roman"/>
                <w:i/>
                <w:sz w:val="28"/>
                <w:szCs w:val="28"/>
                <w:lang w:eastAsia="ru-RU"/>
              </w:rPr>
              <w:t>autoritățile de</w:t>
            </w:r>
            <w:r w:rsidR="00032451" w:rsidRPr="00032451">
              <w:rPr>
                <w:rFonts w:ascii="Times New Roman" w:hAnsi="Times New Roman"/>
                <w:i/>
                <w:sz w:val="28"/>
                <w:szCs w:val="28"/>
                <w:lang w:eastAsia="ru-RU"/>
              </w:rPr>
              <w:t xml:space="preserve"> control și</w:t>
            </w:r>
            <w:r w:rsidRPr="00032451">
              <w:rPr>
                <w:rFonts w:ascii="Times New Roman" w:hAnsi="Times New Roman"/>
                <w:i/>
                <w:sz w:val="28"/>
                <w:szCs w:val="28"/>
                <w:lang w:eastAsia="ru-RU"/>
              </w:rPr>
              <w:t xml:space="preserve"> supraveghere a pieței:</w:t>
            </w:r>
            <w:r w:rsidRPr="00032451">
              <w:rPr>
                <w:rFonts w:ascii="Times New Roman" w:hAnsi="Times New Roman"/>
                <w:sz w:val="28"/>
                <w:szCs w:val="28"/>
                <w:lang w:eastAsia="ru-RU"/>
              </w:rPr>
              <w:t xml:space="preserve"> </w:t>
            </w:r>
            <w:r w:rsidR="008F6994" w:rsidRPr="00032451">
              <w:rPr>
                <w:rFonts w:ascii="Times New Roman" w:hAnsi="Times New Roman"/>
                <w:sz w:val="28"/>
                <w:szCs w:val="28"/>
                <w:lang w:eastAsia="ru-RU"/>
              </w:rPr>
              <w:t>Inspectoratul Național</w:t>
            </w:r>
            <w:r w:rsidR="007F00C3" w:rsidRPr="00032451">
              <w:rPr>
                <w:rFonts w:ascii="Times New Roman" w:hAnsi="Times New Roman"/>
                <w:sz w:val="28"/>
                <w:szCs w:val="28"/>
                <w:lang w:eastAsia="ru-RU"/>
              </w:rPr>
              <w:t xml:space="preserve"> pentru Supraveghere Tehnică,</w:t>
            </w:r>
            <w:r w:rsidR="00032451" w:rsidRPr="00032451">
              <w:rPr>
                <w:rFonts w:ascii="Times New Roman" w:hAnsi="Times New Roman"/>
                <w:sz w:val="28"/>
                <w:szCs w:val="28"/>
                <w:lang w:eastAsia="ru-RU"/>
              </w:rPr>
              <w:t xml:space="preserve"> Agenția Servicii Publice,</w:t>
            </w:r>
            <w:r w:rsidR="007F00C3" w:rsidRPr="00032451">
              <w:rPr>
                <w:rFonts w:ascii="Times New Roman" w:hAnsi="Times New Roman"/>
                <w:sz w:val="28"/>
                <w:szCs w:val="28"/>
                <w:lang w:eastAsia="ru-RU"/>
              </w:rPr>
              <w:t xml:space="preserve"> </w:t>
            </w:r>
            <w:r w:rsidR="00032451" w:rsidRPr="00032451">
              <w:rPr>
                <w:rFonts w:ascii="Times New Roman" w:hAnsi="Times New Roman"/>
                <w:sz w:val="28"/>
                <w:szCs w:val="28"/>
                <w:lang w:eastAsia="ru-RU"/>
              </w:rPr>
              <w:t xml:space="preserve">Agenția Națională Transport Auto, </w:t>
            </w:r>
            <w:r w:rsidR="00032451" w:rsidRPr="00032451">
              <w:rPr>
                <w:rFonts w:ascii="Times New Roman" w:hAnsi="Times New Roman"/>
                <w:sz w:val="28"/>
                <w:szCs w:val="28"/>
                <w:lang w:eastAsia="ru-RU"/>
              </w:rPr>
              <w:lastRenderedPageBreak/>
              <w:t>Serviciul de Informații și Securitate</w:t>
            </w:r>
            <w:r w:rsidRPr="00032451">
              <w:rPr>
                <w:rFonts w:ascii="Times New Roman" w:hAnsi="Times New Roman"/>
                <w:sz w:val="28"/>
                <w:szCs w:val="28"/>
                <w:lang w:eastAsia="ru-RU"/>
              </w:rPr>
              <w:t>, Serviciul Vamal</w:t>
            </w:r>
            <w:r w:rsidR="0061622B" w:rsidRPr="00032451">
              <w:rPr>
                <w:rFonts w:ascii="Times New Roman" w:hAnsi="Times New Roman"/>
                <w:sz w:val="28"/>
                <w:szCs w:val="28"/>
                <w:lang w:eastAsia="ru-RU"/>
              </w:rPr>
              <w:t>,</w:t>
            </w:r>
            <w:r w:rsidR="0061622B" w:rsidRPr="00032451">
              <w:rPr>
                <w:rFonts w:ascii="Times New Roman" w:eastAsiaTheme="minorHAnsi" w:hAnsi="Times New Roman"/>
                <w:i/>
                <w:sz w:val="28"/>
                <w:szCs w:val="28"/>
              </w:rPr>
              <w:t xml:space="preserve"> </w:t>
            </w:r>
            <w:r w:rsidR="00032451" w:rsidRPr="00032451">
              <w:rPr>
                <w:rFonts w:ascii="Times New Roman" w:eastAsiaTheme="minorHAnsi" w:hAnsi="Times New Roman"/>
                <w:iCs/>
                <w:sz w:val="28"/>
                <w:szCs w:val="28"/>
              </w:rPr>
              <w:t>Serviciul Fiscal de Stat,</w:t>
            </w:r>
            <w:r w:rsidR="00032451" w:rsidRPr="00032451">
              <w:rPr>
                <w:rFonts w:ascii="Times New Roman" w:eastAsiaTheme="minorHAnsi" w:hAnsi="Times New Roman"/>
                <w:i/>
                <w:sz w:val="28"/>
                <w:szCs w:val="28"/>
              </w:rPr>
              <w:t xml:space="preserve"> </w:t>
            </w:r>
            <w:r w:rsidR="0061622B" w:rsidRPr="00032451">
              <w:rPr>
                <w:rFonts w:ascii="Times New Roman" w:hAnsi="Times New Roman"/>
                <w:sz w:val="28"/>
                <w:szCs w:val="28"/>
                <w:lang w:eastAsia="ru-RU"/>
              </w:rPr>
              <w:t>Centrul Național de Acreditare</w:t>
            </w:r>
            <w:r w:rsidR="0061622B" w:rsidRPr="00032451">
              <w:rPr>
                <w:rFonts w:ascii="Times New Roman" w:hAnsi="Times New Roman"/>
                <w:i/>
                <w:sz w:val="28"/>
                <w:szCs w:val="28"/>
                <w:lang w:eastAsia="ru-RU"/>
              </w:rPr>
              <w:t xml:space="preserve"> – MOLDAC</w:t>
            </w:r>
            <w:r w:rsidRPr="00032451">
              <w:rPr>
                <w:rFonts w:ascii="Times New Roman" w:hAnsi="Times New Roman"/>
                <w:sz w:val="28"/>
                <w:szCs w:val="28"/>
                <w:lang w:eastAsia="ru-RU"/>
              </w:rPr>
              <w:t>.</w:t>
            </w:r>
          </w:p>
          <w:p w14:paraId="038A8A83" w14:textId="77777777" w:rsidR="001D77A3" w:rsidRDefault="00453362" w:rsidP="008F6994">
            <w:pPr>
              <w:pStyle w:val="a3"/>
              <w:numPr>
                <w:ilvl w:val="0"/>
                <w:numId w:val="15"/>
              </w:numPr>
              <w:tabs>
                <w:tab w:val="left" w:pos="888"/>
              </w:tabs>
              <w:spacing w:after="0" w:line="240" w:lineRule="auto"/>
              <w:ind w:left="37" w:firstLine="604"/>
              <w:jc w:val="both"/>
              <w:rPr>
                <w:rFonts w:ascii="Times New Roman" w:hAnsi="Times New Roman"/>
                <w:sz w:val="28"/>
                <w:szCs w:val="28"/>
                <w:lang w:eastAsia="ru-RU"/>
              </w:rPr>
            </w:pPr>
            <w:r w:rsidRPr="00453362">
              <w:rPr>
                <w:rFonts w:ascii="Times New Roman" w:hAnsi="Times New Roman"/>
                <w:sz w:val="28"/>
                <w:szCs w:val="28"/>
                <w:lang w:eastAsia="ru-RU"/>
              </w:rPr>
              <w:t>Grupul de lucru al Comisiei de stat pentru reglementarea activității de întreprinzător</w:t>
            </w:r>
            <w:r w:rsidR="008F6994">
              <w:rPr>
                <w:rFonts w:ascii="Times New Roman" w:hAnsi="Times New Roman"/>
                <w:sz w:val="28"/>
                <w:szCs w:val="28"/>
                <w:lang w:eastAsia="ru-RU"/>
              </w:rPr>
              <w:t>, Centrul de Armonizare a Legislației.</w:t>
            </w:r>
          </w:p>
          <w:p w14:paraId="74F065AE" w14:textId="77777777" w:rsidR="005A784B" w:rsidRPr="00972879" w:rsidRDefault="005A784B" w:rsidP="00972879">
            <w:pPr>
              <w:tabs>
                <w:tab w:val="left" w:pos="888"/>
              </w:tabs>
              <w:spacing w:after="0" w:line="240" w:lineRule="auto"/>
              <w:jc w:val="both"/>
              <w:rPr>
                <w:rFonts w:ascii="Times New Roman" w:hAnsi="Times New Roman"/>
                <w:sz w:val="28"/>
                <w:szCs w:val="28"/>
                <w:lang w:eastAsia="ru-RU"/>
              </w:rPr>
            </w:pPr>
          </w:p>
        </w:tc>
      </w:tr>
      <w:tr w:rsidR="003969F9" w:rsidRPr="00EA7A59" w14:paraId="6DC4E7A1" w14:textId="77777777" w:rsidTr="008B6370">
        <w:tc>
          <w:tcPr>
            <w:tcW w:w="9781" w:type="dxa"/>
            <w:tcBorders>
              <w:top w:val="single" w:sz="4" w:space="0" w:color="auto"/>
              <w:left w:val="single" w:sz="4" w:space="0" w:color="auto"/>
              <w:bottom w:val="single" w:sz="4" w:space="0" w:color="auto"/>
              <w:right w:val="single" w:sz="4" w:space="0" w:color="auto"/>
            </w:tcBorders>
            <w:shd w:val="pct20" w:color="auto" w:fill="auto"/>
            <w:hideMark/>
          </w:tcPr>
          <w:p w14:paraId="69689FBC" w14:textId="77777777" w:rsidR="00A53D13" w:rsidRPr="00EA7A59" w:rsidRDefault="00A53D13" w:rsidP="008054E1">
            <w:pPr>
              <w:pStyle w:val="a3"/>
              <w:tabs>
                <w:tab w:val="left" w:pos="888"/>
              </w:tabs>
              <w:spacing w:after="0" w:line="240" w:lineRule="auto"/>
              <w:ind w:left="0" w:firstLine="604"/>
              <w:rPr>
                <w:rFonts w:ascii="Times New Roman" w:hAnsi="Times New Roman"/>
                <w:b/>
                <w:sz w:val="28"/>
                <w:szCs w:val="28"/>
              </w:rPr>
            </w:pPr>
            <w:r w:rsidRPr="00EA7A59">
              <w:rPr>
                <w:rFonts w:ascii="Times New Roman" w:hAnsi="Times New Roman"/>
                <w:b/>
                <w:sz w:val="28"/>
                <w:szCs w:val="28"/>
              </w:rPr>
              <w:lastRenderedPageBreak/>
              <w:t>8.</w:t>
            </w:r>
            <w:r w:rsidR="00C069BD" w:rsidRPr="00EA7A59">
              <w:rPr>
                <w:rFonts w:ascii="Times New Roman" w:hAnsi="Times New Roman"/>
                <w:b/>
                <w:sz w:val="28"/>
                <w:szCs w:val="28"/>
              </w:rPr>
              <w:t xml:space="preserve"> </w:t>
            </w:r>
            <w:r w:rsidRPr="00EA7A59">
              <w:rPr>
                <w:rFonts w:ascii="Times New Roman" w:hAnsi="Times New Roman"/>
                <w:b/>
                <w:sz w:val="28"/>
                <w:szCs w:val="28"/>
              </w:rPr>
              <w:t>Constatările expertizei anticorupție</w:t>
            </w:r>
          </w:p>
        </w:tc>
      </w:tr>
      <w:tr w:rsidR="003969F9" w:rsidRPr="00EA7A59" w14:paraId="6257E3AE" w14:textId="77777777" w:rsidTr="008B6370">
        <w:tc>
          <w:tcPr>
            <w:tcW w:w="9781" w:type="dxa"/>
            <w:tcBorders>
              <w:top w:val="single" w:sz="4" w:space="0" w:color="auto"/>
              <w:left w:val="single" w:sz="4" w:space="0" w:color="auto"/>
              <w:bottom w:val="single" w:sz="4" w:space="0" w:color="auto"/>
              <w:right w:val="single" w:sz="4" w:space="0" w:color="auto"/>
            </w:tcBorders>
            <w:hideMark/>
          </w:tcPr>
          <w:p w14:paraId="35F700C1" w14:textId="77777777" w:rsidR="00795009" w:rsidRDefault="00A53D13" w:rsidP="008054E1">
            <w:pPr>
              <w:tabs>
                <w:tab w:val="left" w:pos="888"/>
              </w:tabs>
              <w:spacing w:after="0" w:line="240" w:lineRule="auto"/>
              <w:ind w:firstLine="604"/>
              <w:jc w:val="both"/>
              <w:rPr>
                <w:rFonts w:ascii="Times New Roman" w:hAnsi="Times New Roman"/>
                <w:sz w:val="28"/>
                <w:szCs w:val="28"/>
                <w:lang w:eastAsia="ru-RU"/>
              </w:rPr>
            </w:pPr>
            <w:r w:rsidRPr="00EA7A59">
              <w:rPr>
                <w:rFonts w:ascii="Times New Roman" w:hAnsi="Times New Roman"/>
                <w:sz w:val="28"/>
                <w:szCs w:val="28"/>
                <w:lang w:eastAsia="ru-RU"/>
              </w:rPr>
              <w:t>În temeiul art. 34 şi 35 din Legea nr. 100/2017 cu privire la actele normative, proiectul urmează a fi supus expertizei anticorupție, care va fi efectuată de către Centrul Național Anticorupție.</w:t>
            </w:r>
          </w:p>
          <w:p w14:paraId="5FE4A9ED" w14:textId="77777777" w:rsidR="005A784B" w:rsidRPr="00EA7A59" w:rsidRDefault="005A784B" w:rsidP="008054E1">
            <w:pPr>
              <w:tabs>
                <w:tab w:val="left" w:pos="888"/>
              </w:tabs>
              <w:spacing w:after="0" w:line="240" w:lineRule="auto"/>
              <w:ind w:firstLine="604"/>
              <w:jc w:val="both"/>
              <w:rPr>
                <w:rFonts w:ascii="Times New Roman" w:hAnsi="Times New Roman"/>
                <w:sz w:val="28"/>
                <w:szCs w:val="28"/>
                <w:lang w:eastAsia="ru-RU"/>
              </w:rPr>
            </w:pPr>
          </w:p>
        </w:tc>
      </w:tr>
      <w:tr w:rsidR="003969F9" w:rsidRPr="00EA7A59" w14:paraId="36EA8D88" w14:textId="77777777" w:rsidTr="008B6370">
        <w:tc>
          <w:tcPr>
            <w:tcW w:w="97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0C66A58" w14:textId="77777777" w:rsidR="00A53D13" w:rsidRPr="00EA7A59" w:rsidRDefault="00A53D13" w:rsidP="008054E1">
            <w:pPr>
              <w:pStyle w:val="a3"/>
              <w:tabs>
                <w:tab w:val="left" w:pos="246"/>
                <w:tab w:val="left" w:pos="888"/>
              </w:tabs>
              <w:spacing w:after="0" w:line="240" w:lineRule="auto"/>
              <w:ind w:left="0" w:firstLine="604"/>
              <w:rPr>
                <w:rFonts w:ascii="Times New Roman" w:hAnsi="Times New Roman"/>
                <w:b/>
                <w:sz w:val="28"/>
                <w:szCs w:val="28"/>
              </w:rPr>
            </w:pPr>
            <w:r w:rsidRPr="00EA7A59">
              <w:rPr>
                <w:rFonts w:ascii="Times New Roman" w:hAnsi="Times New Roman"/>
                <w:b/>
                <w:sz w:val="28"/>
                <w:szCs w:val="28"/>
              </w:rPr>
              <w:t>9.</w:t>
            </w:r>
            <w:r w:rsidR="00C069BD" w:rsidRPr="00EA7A59">
              <w:rPr>
                <w:rFonts w:ascii="Times New Roman" w:hAnsi="Times New Roman"/>
                <w:b/>
                <w:sz w:val="28"/>
                <w:szCs w:val="28"/>
              </w:rPr>
              <w:t xml:space="preserve"> </w:t>
            </w:r>
            <w:r w:rsidRPr="00EA7A59">
              <w:rPr>
                <w:rFonts w:ascii="Times New Roman" w:hAnsi="Times New Roman"/>
                <w:b/>
                <w:sz w:val="28"/>
                <w:szCs w:val="28"/>
              </w:rPr>
              <w:t>Constatările expertizei de compatibilitate</w:t>
            </w:r>
          </w:p>
        </w:tc>
      </w:tr>
      <w:tr w:rsidR="003969F9" w:rsidRPr="00EA7A59" w14:paraId="6173E34E" w14:textId="77777777" w:rsidTr="008B6370">
        <w:tc>
          <w:tcPr>
            <w:tcW w:w="9781" w:type="dxa"/>
            <w:tcBorders>
              <w:top w:val="single" w:sz="4" w:space="0" w:color="auto"/>
              <w:left w:val="single" w:sz="4" w:space="0" w:color="auto"/>
              <w:bottom w:val="single" w:sz="4" w:space="0" w:color="auto"/>
              <w:right w:val="single" w:sz="4" w:space="0" w:color="auto"/>
            </w:tcBorders>
          </w:tcPr>
          <w:p w14:paraId="5FF8A8E3" w14:textId="7AD29400" w:rsidR="005A784B" w:rsidRPr="00EA7A59" w:rsidRDefault="00595403" w:rsidP="00595403">
            <w:pPr>
              <w:tabs>
                <w:tab w:val="left" w:pos="660"/>
                <w:tab w:val="left" w:pos="888"/>
              </w:tabs>
              <w:spacing w:after="0" w:line="240" w:lineRule="auto"/>
              <w:ind w:firstLine="604"/>
              <w:jc w:val="both"/>
              <w:rPr>
                <w:rFonts w:ascii="Times New Roman" w:hAnsi="Times New Roman"/>
                <w:sz w:val="28"/>
                <w:szCs w:val="28"/>
              </w:rPr>
            </w:pPr>
            <w:r w:rsidRPr="00EA7A59">
              <w:rPr>
                <w:rFonts w:ascii="Times New Roman" w:hAnsi="Times New Roman"/>
                <w:sz w:val="28"/>
                <w:szCs w:val="28"/>
                <w:lang w:eastAsia="ru-RU"/>
              </w:rPr>
              <w:t xml:space="preserve">În temeiul art. </w:t>
            </w:r>
            <w:r>
              <w:rPr>
                <w:rFonts w:ascii="Times New Roman" w:hAnsi="Times New Roman"/>
                <w:sz w:val="28"/>
                <w:szCs w:val="28"/>
                <w:lang w:eastAsia="ru-RU"/>
              </w:rPr>
              <w:t>36</w:t>
            </w:r>
            <w:r w:rsidRPr="00EA7A59">
              <w:rPr>
                <w:rFonts w:ascii="Times New Roman" w:hAnsi="Times New Roman"/>
                <w:sz w:val="28"/>
                <w:szCs w:val="28"/>
                <w:lang w:eastAsia="ru-RU"/>
              </w:rPr>
              <w:t xml:space="preserve"> din Legea nr. 100/2017 cu privire la actele normative</w:t>
            </w:r>
            <w:r>
              <w:rPr>
                <w:rFonts w:ascii="Times New Roman" w:hAnsi="Times New Roman"/>
                <w:sz w:val="28"/>
                <w:szCs w:val="28"/>
                <w:lang w:eastAsia="ru-RU"/>
              </w:rPr>
              <w:t>, p</w:t>
            </w:r>
            <w:r w:rsidR="00A53D13" w:rsidRPr="00EA7A59">
              <w:rPr>
                <w:rFonts w:ascii="Times New Roman" w:hAnsi="Times New Roman"/>
                <w:sz w:val="28"/>
                <w:szCs w:val="28"/>
              </w:rPr>
              <w:t xml:space="preserve">roiectul nominalizat </w:t>
            </w:r>
            <w:r w:rsidR="008054E1">
              <w:rPr>
                <w:rFonts w:ascii="Times New Roman" w:hAnsi="Times New Roman"/>
                <w:sz w:val="28"/>
                <w:szCs w:val="28"/>
              </w:rPr>
              <w:t>urmează</w:t>
            </w:r>
            <w:r w:rsidR="00A53D13" w:rsidRPr="00EA7A59">
              <w:rPr>
                <w:rFonts w:ascii="Times New Roman" w:hAnsi="Times New Roman"/>
                <w:sz w:val="28"/>
                <w:szCs w:val="28"/>
              </w:rPr>
              <w:t xml:space="preserve"> a fi supus expertizei de compatibilitate</w:t>
            </w:r>
            <w:r w:rsidR="00163B86">
              <w:rPr>
                <w:rFonts w:ascii="Times New Roman" w:hAnsi="Times New Roman"/>
                <w:sz w:val="28"/>
                <w:szCs w:val="28"/>
              </w:rPr>
              <w:t xml:space="preserve"> de către Centrul de Armonizare a Legislației a Cancelariei de Stat</w:t>
            </w:r>
            <w:r w:rsidR="00A53D13" w:rsidRPr="00EA7A59">
              <w:rPr>
                <w:rFonts w:ascii="Times New Roman" w:hAnsi="Times New Roman"/>
                <w:sz w:val="28"/>
                <w:szCs w:val="28"/>
              </w:rPr>
              <w:t>.</w:t>
            </w:r>
          </w:p>
        </w:tc>
      </w:tr>
      <w:tr w:rsidR="003969F9" w:rsidRPr="00EA7A59" w14:paraId="0A0D6A7E" w14:textId="77777777" w:rsidTr="008B6370">
        <w:tc>
          <w:tcPr>
            <w:tcW w:w="9781" w:type="dxa"/>
            <w:tcBorders>
              <w:top w:val="single" w:sz="4" w:space="0" w:color="auto"/>
              <w:left w:val="single" w:sz="4" w:space="0" w:color="auto"/>
              <w:bottom w:val="single" w:sz="4" w:space="0" w:color="auto"/>
              <w:right w:val="single" w:sz="4" w:space="0" w:color="auto"/>
            </w:tcBorders>
            <w:shd w:val="pct20" w:color="auto" w:fill="auto"/>
            <w:hideMark/>
          </w:tcPr>
          <w:p w14:paraId="35E4152F" w14:textId="77777777" w:rsidR="00A53D13" w:rsidRPr="00EA7A59" w:rsidRDefault="00A53D13" w:rsidP="008054E1">
            <w:pPr>
              <w:pStyle w:val="a3"/>
              <w:tabs>
                <w:tab w:val="left" w:pos="888"/>
              </w:tabs>
              <w:spacing w:after="0" w:line="240" w:lineRule="auto"/>
              <w:ind w:left="0" w:firstLine="604"/>
              <w:rPr>
                <w:rFonts w:ascii="Times New Roman" w:hAnsi="Times New Roman"/>
                <w:b/>
                <w:sz w:val="28"/>
                <w:szCs w:val="28"/>
                <w:lang w:eastAsia="ru-RU"/>
              </w:rPr>
            </w:pPr>
            <w:r w:rsidRPr="00EA7A59">
              <w:rPr>
                <w:rFonts w:ascii="Times New Roman" w:hAnsi="Times New Roman"/>
                <w:b/>
                <w:sz w:val="28"/>
                <w:szCs w:val="28"/>
                <w:lang w:eastAsia="ru-RU"/>
              </w:rPr>
              <w:t>10.</w:t>
            </w:r>
            <w:r w:rsidR="00C069BD" w:rsidRPr="00EA7A59">
              <w:rPr>
                <w:rFonts w:ascii="Times New Roman" w:hAnsi="Times New Roman"/>
                <w:b/>
                <w:sz w:val="28"/>
                <w:szCs w:val="28"/>
                <w:lang w:eastAsia="ru-RU"/>
              </w:rPr>
              <w:t xml:space="preserve"> </w:t>
            </w:r>
            <w:r w:rsidRPr="00EA7A59">
              <w:rPr>
                <w:rFonts w:ascii="Times New Roman" w:hAnsi="Times New Roman"/>
                <w:b/>
                <w:sz w:val="28"/>
                <w:szCs w:val="28"/>
                <w:lang w:eastAsia="ru-RU"/>
              </w:rPr>
              <w:t>Constatările expertizei juridice</w:t>
            </w:r>
          </w:p>
        </w:tc>
      </w:tr>
      <w:tr w:rsidR="003969F9" w:rsidRPr="00EA7A59" w14:paraId="39D2FEF5" w14:textId="77777777" w:rsidTr="008B6370">
        <w:tc>
          <w:tcPr>
            <w:tcW w:w="9781" w:type="dxa"/>
            <w:tcBorders>
              <w:top w:val="single" w:sz="4" w:space="0" w:color="auto"/>
              <w:left w:val="single" w:sz="4" w:space="0" w:color="auto"/>
              <w:bottom w:val="single" w:sz="4" w:space="0" w:color="auto"/>
              <w:right w:val="single" w:sz="4" w:space="0" w:color="auto"/>
            </w:tcBorders>
            <w:hideMark/>
          </w:tcPr>
          <w:p w14:paraId="3FBB2303" w14:textId="77777777" w:rsidR="00A53D13" w:rsidRDefault="00A53D13" w:rsidP="008054E1">
            <w:pPr>
              <w:tabs>
                <w:tab w:val="left" w:pos="888"/>
              </w:tabs>
              <w:spacing w:after="0" w:line="240" w:lineRule="auto"/>
              <w:ind w:firstLine="604"/>
              <w:jc w:val="both"/>
              <w:rPr>
                <w:rFonts w:ascii="Times New Roman" w:hAnsi="Times New Roman"/>
                <w:sz w:val="28"/>
                <w:szCs w:val="28"/>
                <w:lang w:eastAsia="ru-RU"/>
              </w:rPr>
            </w:pPr>
            <w:r w:rsidRPr="00EA7A59">
              <w:rPr>
                <w:rFonts w:ascii="Times New Roman" w:hAnsi="Times New Roman"/>
                <w:sz w:val="28"/>
                <w:szCs w:val="28"/>
                <w:lang w:eastAsia="ru-RU"/>
              </w:rPr>
              <w:t>În temeiul art. 34 şi 37 din Legea nr. 100/2017 cu privire la actele normative, proiectul urmează a fi supus expertizei juridice, care va fi efectuată de către Ministerul Justiției.</w:t>
            </w:r>
          </w:p>
          <w:p w14:paraId="093B0F9F" w14:textId="77777777" w:rsidR="005A784B" w:rsidRPr="00EA7A59" w:rsidRDefault="005A784B" w:rsidP="008054E1">
            <w:pPr>
              <w:tabs>
                <w:tab w:val="left" w:pos="888"/>
              </w:tabs>
              <w:spacing w:after="0" w:line="240" w:lineRule="auto"/>
              <w:ind w:firstLine="604"/>
              <w:jc w:val="both"/>
              <w:rPr>
                <w:rFonts w:ascii="Times New Roman" w:hAnsi="Times New Roman"/>
                <w:sz w:val="28"/>
                <w:szCs w:val="28"/>
                <w:lang w:eastAsia="ru-RU"/>
              </w:rPr>
            </w:pPr>
          </w:p>
        </w:tc>
      </w:tr>
      <w:tr w:rsidR="003969F9" w:rsidRPr="00EA7A59" w14:paraId="07111EE2" w14:textId="77777777" w:rsidTr="008B6370">
        <w:tc>
          <w:tcPr>
            <w:tcW w:w="9781" w:type="dxa"/>
            <w:tcBorders>
              <w:top w:val="single" w:sz="4" w:space="0" w:color="auto"/>
              <w:left w:val="single" w:sz="4" w:space="0" w:color="auto"/>
              <w:bottom w:val="single" w:sz="4" w:space="0" w:color="auto"/>
              <w:right w:val="single" w:sz="4" w:space="0" w:color="auto"/>
            </w:tcBorders>
            <w:shd w:val="pct20" w:color="auto" w:fill="auto"/>
            <w:hideMark/>
          </w:tcPr>
          <w:p w14:paraId="6E8BDFAF" w14:textId="77777777" w:rsidR="00A53D13" w:rsidRPr="00EA7A59" w:rsidRDefault="00A53D13" w:rsidP="008054E1">
            <w:pPr>
              <w:pStyle w:val="a3"/>
              <w:tabs>
                <w:tab w:val="left" w:pos="888"/>
              </w:tabs>
              <w:spacing w:after="0" w:line="240" w:lineRule="auto"/>
              <w:ind w:left="0" w:firstLine="604"/>
              <w:jc w:val="both"/>
              <w:rPr>
                <w:rFonts w:ascii="Times New Roman" w:hAnsi="Times New Roman"/>
                <w:b/>
                <w:sz w:val="28"/>
                <w:szCs w:val="28"/>
                <w:lang w:eastAsia="ru-RU"/>
              </w:rPr>
            </w:pPr>
            <w:r w:rsidRPr="00EA7A59">
              <w:rPr>
                <w:rFonts w:ascii="Times New Roman" w:hAnsi="Times New Roman"/>
                <w:b/>
                <w:sz w:val="28"/>
                <w:szCs w:val="28"/>
                <w:lang w:eastAsia="ru-RU"/>
              </w:rPr>
              <w:t>11.</w:t>
            </w:r>
            <w:r w:rsidR="00C069BD" w:rsidRPr="00EA7A59">
              <w:rPr>
                <w:rFonts w:ascii="Times New Roman" w:hAnsi="Times New Roman"/>
                <w:b/>
                <w:sz w:val="28"/>
                <w:szCs w:val="28"/>
                <w:lang w:eastAsia="ru-RU"/>
              </w:rPr>
              <w:t xml:space="preserve"> </w:t>
            </w:r>
            <w:r w:rsidRPr="00EA7A59">
              <w:rPr>
                <w:rFonts w:ascii="Times New Roman" w:hAnsi="Times New Roman"/>
                <w:b/>
                <w:sz w:val="28"/>
                <w:szCs w:val="28"/>
                <w:lang w:eastAsia="ru-RU"/>
              </w:rPr>
              <w:t>Constatările altor expertize</w:t>
            </w:r>
          </w:p>
        </w:tc>
      </w:tr>
      <w:tr w:rsidR="003969F9" w:rsidRPr="00EA7A59" w14:paraId="3912E295" w14:textId="77777777" w:rsidTr="008B6370">
        <w:trPr>
          <w:trHeight w:val="70"/>
        </w:trPr>
        <w:tc>
          <w:tcPr>
            <w:tcW w:w="9781" w:type="dxa"/>
            <w:tcBorders>
              <w:top w:val="single" w:sz="4" w:space="0" w:color="auto"/>
              <w:left w:val="single" w:sz="4" w:space="0" w:color="auto"/>
              <w:bottom w:val="single" w:sz="4" w:space="0" w:color="auto"/>
              <w:right w:val="single" w:sz="4" w:space="0" w:color="auto"/>
            </w:tcBorders>
            <w:hideMark/>
          </w:tcPr>
          <w:p w14:paraId="36DA8391" w14:textId="77777777" w:rsidR="008054E1" w:rsidRDefault="008054E1" w:rsidP="008054E1">
            <w:pPr>
              <w:tabs>
                <w:tab w:val="left" w:pos="888"/>
              </w:tabs>
              <w:spacing w:after="0" w:line="240" w:lineRule="auto"/>
              <w:ind w:firstLine="604"/>
              <w:jc w:val="both"/>
              <w:rPr>
                <w:rFonts w:ascii="Times New Roman" w:hAnsi="Times New Roman"/>
                <w:sz w:val="28"/>
                <w:szCs w:val="28"/>
                <w:lang w:eastAsia="ru-RU"/>
              </w:rPr>
            </w:pPr>
            <w:r w:rsidRPr="008054E1">
              <w:rPr>
                <w:rFonts w:ascii="Times New Roman" w:hAnsi="Times New Roman"/>
                <w:sz w:val="28"/>
                <w:szCs w:val="28"/>
                <w:lang w:eastAsia="ru-RU"/>
              </w:rPr>
              <w:t>În conformitate cu prevederile pct.11 subpct. 2</w:t>
            </w:r>
            <w:r>
              <w:rPr>
                <w:rFonts w:ascii="Times New Roman" w:hAnsi="Times New Roman"/>
                <w:sz w:val="28"/>
                <w:szCs w:val="28"/>
                <w:vertAlign w:val="superscript"/>
                <w:lang w:eastAsia="ru-RU"/>
              </w:rPr>
              <w:t>1</w:t>
            </w:r>
            <w:r>
              <w:rPr>
                <w:rFonts w:ascii="Times New Roman" w:hAnsi="Times New Roman"/>
                <w:sz w:val="28"/>
                <w:szCs w:val="28"/>
                <w:lang w:eastAsia="ru-RU"/>
              </w:rPr>
              <w:t xml:space="preserve"> lit.</w:t>
            </w:r>
            <w:r w:rsidRPr="008054E1">
              <w:rPr>
                <w:rFonts w:ascii="Times New Roman" w:hAnsi="Times New Roman"/>
                <w:sz w:val="28"/>
                <w:szCs w:val="28"/>
                <w:lang w:eastAsia="ru-RU"/>
              </w:rPr>
              <w:t xml:space="preserve"> b) din Metodologia de analiză a impactului în procesul de fundamentare a proiectelor de acte normative, aprobată prin Hotărârea Guvernului nr.23/2019, Analiza impactului de reglementare urmează </w:t>
            </w:r>
            <w:r w:rsidR="00E86E3C">
              <w:rPr>
                <w:rFonts w:ascii="Times New Roman" w:hAnsi="Times New Roman"/>
                <w:sz w:val="28"/>
                <w:szCs w:val="28"/>
                <w:lang w:eastAsia="ru-RU"/>
              </w:rPr>
              <w:t>v</w:t>
            </w:r>
            <w:r w:rsidRPr="008054E1">
              <w:rPr>
                <w:rFonts w:ascii="Times New Roman" w:hAnsi="Times New Roman"/>
                <w:sz w:val="28"/>
                <w:szCs w:val="28"/>
                <w:lang w:eastAsia="ru-RU"/>
              </w:rPr>
              <w:t xml:space="preserve">a fi </w:t>
            </w:r>
            <w:r>
              <w:rPr>
                <w:rFonts w:ascii="Times New Roman" w:hAnsi="Times New Roman"/>
                <w:sz w:val="28"/>
                <w:szCs w:val="28"/>
                <w:lang w:eastAsia="ru-RU"/>
              </w:rPr>
              <w:t>e</w:t>
            </w:r>
            <w:r w:rsidRPr="008054E1">
              <w:rPr>
                <w:rFonts w:ascii="Times New Roman" w:hAnsi="Times New Roman"/>
                <w:sz w:val="28"/>
                <w:szCs w:val="28"/>
                <w:lang w:eastAsia="ru-RU"/>
              </w:rPr>
              <w:t>xaminată de către Grupul de lucru al Comisiei de stat pentru reglementarea activității de întreprinzător.</w:t>
            </w:r>
          </w:p>
          <w:p w14:paraId="571955A0" w14:textId="77777777" w:rsidR="00972879" w:rsidRDefault="00972879" w:rsidP="00972879">
            <w:pPr>
              <w:tabs>
                <w:tab w:val="left" w:pos="888"/>
              </w:tabs>
              <w:spacing w:after="0" w:line="240" w:lineRule="auto"/>
              <w:ind w:firstLine="604"/>
              <w:jc w:val="both"/>
              <w:rPr>
                <w:rFonts w:ascii="Times New Roman" w:hAnsi="Times New Roman"/>
                <w:sz w:val="28"/>
                <w:szCs w:val="28"/>
                <w:lang w:eastAsia="ru-RU"/>
              </w:rPr>
            </w:pPr>
            <w:r>
              <w:rPr>
                <w:rFonts w:ascii="Times New Roman" w:hAnsi="Times New Roman"/>
                <w:sz w:val="28"/>
                <w:szCs w:val="28"/>
                <w:lang w:eastAsia="ru-RU"/>
              </w:rPr>
              <w:t xml:space="preserve">Prin demersul MAI nr. 38/4435 din 02.10.2023, proiectul Analizei impactului de reglementare a fost prezentat spre expertizare în adresa </w:t>
            </w:r>
            <w:r w:rsidRPr="008054E1">
              <w:rPr>
                <w:rFonts w:ascii="Times New Roman" w:hAnsi="Times New Roman"/>
                <w:sz w:val="28"/>
                <w:szCs w:val="28"/>
                <w:lang w:eastAsia="ru-RU"/>
              </w:rPr>
              <w:t>Grupul de lucru al Comisiei de stat pentru reglementarea activității de întreprinzăto</w:t>
            </w:r>
            <w:r>
              <w:rPr>
                <w:rFonts w:ascii="Times New Roman" w:hAnsi="Times New Roman"/>
                <w:sz w:val="28"/>
                <w:szCs w:val="28"/>
                <w:lang w:eastAsia="ru-RU"/>
              </w:rPr>
              <w:t>r.</w:t>
            </w:r>
          </w:p>
          <w:p w14:paraId="203E8032" w14:textId="1B7A7207" w:rsidR="00972879" w:rsidRPr="00972879" w:rsidRDefault="00972879" w:rsidP="00972879">
            <w:pPr>
              <w:tabs>
                <w:tab w:val="left" w:pos="888"/>
              </w:tabs>
              <w:spacing w:after="0" w:line="240" w:lineRule="auto"/>
              <w:ind w:firstLine="604"/>
              <w:jc w:val="both"/>
              <w:rPr>
                <w:rFonts w:ascii="Times New Roman" w:hAnsi="Times New Roman"/>
                <w:sz w:val="28"/>
                <w:szCs w:val="28"/>
                <w:lang w:eastAsia="ru-RU"/>
              </w:rPr>
            </w:pPr>
            <w:r>
              <w:rPr>
                <w:rFonts w:ascii="Times New Roman" w:hAnsi="Times New Roman"/>
                <w:sz w:val="28"/>
                <w:szCs w:val="28"/>
                <w:lang w:eastAsia="ru-RU"/>
              </w:rPr>
              <w:t xml:space="preserve"> </w:t>
            </w:r>
            <w:r w:rsidRPr="00972879">
              <w:rPr>
                <w:rFonts w:ascii="Times New Roman" w:hAnsi="Times New Roman"/>
                <w:sz w:val="28"/>
                <w:szCs w:val="28"/>
                <w:lang w:eastAsia="ru-RU"/>
              </w:rPr>
              <w:t>La 10.10.2023</w:t>
            </w:r>
            <w:r w:rsidR="00A06BF6">
              <w:rPr>
                <w:rFonts w:ascii="Times New Roman" w:hAnsi="Times New Roman"/>
                <w:sz w:val="28"/>
                <w:szCs w:val="28"/>
                <w:lang w:eastAsia="ru-RU"/>
              </w:rPr>
              <w:t>,</w:t>
            </w:r>
            <w:r w:rsidRPr="00972879">
              <w:rPr>
                <w:rFonts w:ascii="Times New Roman" w:hAnsi="Times New Roman"/>
                <w:sz w:val="28"/>
                <w:szCs w:val="28"/>
                <w:lang w:eastAsia="ru-RU"/>
              </w:rPr>
              <w:t xml:space="preserve"> proiectul Analizei impactului de reglementare la proiectul de lege privind regimul materialelor explozive a fost examinat în cadrul ședinței Grupului de lucru al Comisiei de stat pentru reglementarea activității de întreprinzător, fiind susținut condiționat cu votul membrilor Grupului de lucru.</w:t>
            </w:r>
          </w:p>
          <w:p w14:paraId="77F625BE" w14:textId="77777777" w:rsidR="00A53D13" w:rsidRPr="00EA7A59" w:rsidRDefault="00A53D13" w:rsidP="008054E1">
            <w:pPr>
              <w:tabs>
                <w:tab w:val="left" w:pos="888"/>
              </w:tabs>
              <w:spacing w:after="0" w:line="240" w:lineRule="auto"/>
              <w:ind w:firstLine="604"/>
              <w:jc w:val="both"/>
              <w:rPr>
                <w:rFonts w:ascii="Times New Roman" w:hAnsi="Times New Roman"/>
                <w:sz w:val="28"/>
                <w:szCs w:val="28"/>
                <w:lang w:eastAsia="ru-RU"/>
              </w:rPr>
            </w:pPr>
            <w:r w:rsidRPr="00EA7A59">
              <w:rPr>
                <w:rFonts w:ascii="Times New Roman" w:hAnsi="Times New Roman"/>
                <w:sz w:val="28"/>
                <w:szCs w:val="28"/>
                <w:lang w:eastAsia="ru-RU"/>
              </w:rPr>
              <w:t xml:space="preserve">Proiectul nu cade sub </w:t>
            </w:r>
            <w:r w:rsidR="007C2017" w:rsidRPr="00EA7A59">
              <w:rPr>
                <w:rFonts w:ascii="Times New Roman" w:hAnsi="Times New Roman"/>
                <w:sz w:val="28"/>
                <w:szCs w:val="28"/>
                <w:lang w:eastAsia="ru-RU"/>
              </w:rPr>
              <w:t>incidența</w:t>
            </w:r>
            <w:r w:rsidRPr="00EA7A59">
              <w:rPr>
                <w:rFonts w:ascii="Times New Roman" w:hAnsi="Times New Roman"/>
                <w:sz w:val="28"/>
                <w:szCs w:val="28"/>
                <w:lang w:eastAsia="ru-RU"/>
              </w:rPr>
              <w:t xml:space="preserve"> altor expertize, în condițiile Legii</w:t>
            </w:r>
            <w:r w:rsidR="00C069BD" w:rsidRPr="00EA7A59">
              <w:rPr>
                <w:rFonts w:ascii="Times New Roman" w:hAnsi="Times New Roman"/>
                <w:sz w:val="28"/>
                <w:szCs w:val="28"/>
                <w:lang w:eastAsia="ru-RU"/>
              </w:rPr>
              <w:t xml:space="preserve"> nr.</w:t>
            </w:r>
            <w:r w:rsidRPr="00EA7A59">
              <w:rPr>
                <w:rFonts w:ascii="Times New Roman" w:hAnsi="Times New Roman"/>
                <w:sz w:val="28"/>
                <w:szCs w:val="28"/>
                <w:lang w:eastAsia="ru-RU"/>
              </w:rPr>
              <w:t xml:space="preserve"> 100/2017 cu privire la actele normative.</w:t>
            </w:r>
          </w:p>
        </w:tc>
      </w:tr>
    </w:tbl>
    <w:p w14:paraId="248B5203" w14:textId="77777777" w:rsidR="004A217A" w:rsidRPr="00EA7A59" w:rsidRDefault="004A217A" w:rsidP="00C7308C">
      <w:pPr>
        <w:jc w:val="both"/>
        <w:rPr>
          <w:rFonts w:ascii="Times New Roman" w:hAnsi="Times New Roman"/>
          <w:b/>
          <w:sz w:val="28"/>
          <w:szCs w:val="28"/>
        </w:rPr>
      </w:pPr>
    </w:p>
    <w:p w14:paraId="0FD5F570" w14:textId="77777777" w:rsidR="00F20F5D" w:rsidRDefault="00C7308C" w:rsidP="00F20F5D">
      <w:pPr>
        <w:spacing w:after="0" w:line="240" w:lineRule="auto"/>
        <w:jc w:val="both"/>
        <w:rPr>
          <w:rFonts w:ascii="Times New Roman" w:hAnsi="Times New Roman"/>
          <w:b/>
          <w:sz w:val="28"/>
          <w:szCs w:val="28"/>
        </w:rPr>
      </w:pPr>
      <w:r w:rsidRPr="00EA7A59">
        <w:rPr>
          <w:rFonts w:ascii="Times New Roman" w:hAnsi="Times New Roman"/>
          <w:b/>
          <w:sz w:val="28"/>
          <w:szCs w:val="28"/>
        </w:rPr>
        <w:t xml:space="preserve">Secretar general </w:t>
      </w:r>
      <w:r w:rsidR="00F20F5D">
        <w:rPr>
          <w:rFonts w:ascii="Times New Roman" w:hAnsi="Times New Roman"/>
          <w:b/>
          <w:sz w:val="28"/>
          <w:szCs w:val="28"/>
        </w:rPr>
        <w:t xml:space="preserve">adjunct </w:t>
      </w:r>
    </w:p>
    <w:p w14:paraId="1E3593F2" w14:textId="77777777" w:rsidR="008A554A" w:rsidRPr="00EA7A59" w:rsidRDefault="00C7308C" w:rsidP="00F20F5D">
      <w:pPr>
        <w:spacing w:after="0" w:line="240" w:lineRule="auto"/>
        <w:jc w:val="both"/>
      </w:pPr>
      <w:r w:rsidRPr="00EA7A59">
        <w:rPr>
          <w:rFonts w:ascii="Times New Roman" w:hAnsi="Times New Roman"/>
          <w:b/>
          <w:sz w:val="28"/>
          <w:szCs w:val="28"/>
        </w:rPr>
        <w:t>al ministerului</w:t>
      </w:r>
      <w:r w:rsidR="007745B2" w:rsidRPr="00EA7A59">
        <w:rPr>
          <w:rFonts w:ascii="Times New Roman" w:hAnsi="Times New Roman"/>
          <w:b/>
          <w:sz w:val="28"/>
          <w:szCs w:val="28"/>
        </w:rPr>
        <w:tab/>
      </w:r>
      <w:r w:rsidR="007745B2" w:rsidRPr="00EA7A59">
        <w:rPr>
          <w:rFonts w:ascii="Times New Roman" w:hAnsi="Times New Roman"/>
          <w:b/>
          <w:sz w:val="28"/>
          <w:szCs w:val="28"/>
        </w:rPr>
        <w:tab/>
      </w:r>
      <w:r w:rsidR="00F20F5D">
        <w:rPr>
          <w:rFonts w:ascii="Times New Roman" w:hAnsi="Times New Roman"/>
          <w:b/>
          <w:sz w:val="28"/>
          <w:szCs w:val="28"/>
        </w:rPr>
        <w:t xml:space="preserve">                                                        Vladislav COJUHARI</w:t>
      </w:r>
    </w:p>
    <w:sectPr w:rsidR="008A554A" w:rsidRPr="00EA7A59" w:rsidSect="00795009">
      <w:pgSz w:w="11906" w:h="16838" w:code="9"/>
      <w:pgMar w:top="1276" w:right="964" w:bottom="1276"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705F3"/>
    <w:multiLevelType w:val="hybridMultilevel"/>
    <w:tmpl w:val="FCAE29A8"/>
    <w:lvl w:ilvl="0" w:tplc="B13861D8">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D1575EF"/>
    <w:multiLevelType w:val="hybridMultilevel"/>
    <w:tmpl w:val="3AFE7E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0B3CD3"/>
    <w:multiLevelType w:val="hybridMultilevel"/>
    <w:tmpl w:val="FA448D2C"/>
    <w:lvl w:ilvl="0" w:tplc="56CA0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66C3ACA"/>
    <w:multiLevelType w:val="hybridMultilevel"/>
    <w:tmpl w:val="6FE2B0D0"/>
    <w:lvl w:ilvl="0" w:tplc="9E00CF68">
      <w:start w:val="1"/>
      <w:numFmt w:val="bullet"/>
      <w:lvlText w:val="-"/>
      <w:lvlJc w:val="left"/>
      <w:pPr>
        <w:ind w:left="1069" w:hanging="360"/>
      </w:pPr>
      <w:rPr>
        <w:rFonts w:ascii="Georgia" w:eastAsiaTheme="minorHAnsi" w:hAnsi="Georgia" w:cstheme="minorBidi"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27D25C64"/>
    <w:multiLevelType w:val="hybridMultilevel"/>
    <w:tmpl w:val="0492B6A0"/>
    <w:lvl w:ilvl="0" w:tplc="9472540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D875447"/>
    <w:multiLevelType w:val="hybridMultilevel"/>
    <w:tmpl w:val="872E97FC"/>
    <w:lvl w:ilvl="0" w:tplc="A93ABEEA">
      <w:start w:val="1"/>
      <w:numFmt w:val="decimal"/>
      <w:lvlText w:val="%1."/>
      <w:lvlJc w:val="left"/>
      <w:pPr>
        <w:ind w:left="1121" w:hanging="360"/>
      </w:pPr>
      <w:rPr>
        <w:rFonts w:hint="default"/>
      </w:rPr>
    </w:lvl>
    <w:lvl w:ilvl="1" w:tplc="04180019" w:tentative="1">
      <w:start w:val="1"/>
      <w:numFmt w:val="lowerLetter"/>
      <w:lvlText w:val="%2."/>
      <w:lvlJc w:val="left"/>
      <w:pPr>
        <w:ind w:left="1841" w:hanging="360"/>
      </w:pPr>
    </w:lvl>
    <w:lvl w:ilvl="2" w:tplc="0418001B" w:tentative="1">
      <w:start w:val="1"/>
      <w:numFmt w:val="lowerRoman"/>
      <w:lvlText w:val="%3."/>
      <w:lvlJc w:val="right"/>
      <w:pPr>
        <w:ind w:left="2561" w:hanging="180"/>
      </w:pPr>
    </w:lvl>
    <w:lvl w:ilvl="3" w:tplc="0418000F" w:tentative="1">
      <w:start w:val="1"/>
      <w:numFmt w:val="decimal"/>
      <w:lvlText w:val="%4."/>
      <w:lvlJc w:val="left"/>
      <w:pPr>
        <w:ind w:left="3281" w:hanging="360"/>
      </w:pPr>
    </w:lvl>
    <w:lvl w:ilvl="4" w:tplc="04180019" w:tentative="1">
      <w:start w:val="1"/>
      <w:numFmt w:val="lowerLetter"/>
      <w:lvlText w:val="%5."/>
      <w:lvlJc w:val="left"/>
      <w:pPr>
        <w:ind w:left="4001" w:hanging="360"/>
      </w:pPr>
    </w:lvl>
    <w:lvl w:ilvl="5" w:tplc="0418001B" w:tentative="1">
      <w:start w:val="1"/>
      <w:numFmt w:val="lowerRoman"/>
      <w:lvlText w:val="%6."/>
      <w:lvlJc w:val="right"/>
      <w:pPr>
        <w:ind w:left="4721" w:hanging="180"/>
      </w:pPr>
    </w:lvl>
    <w:lvl w:ilvl="6" w:tplc="0418000F" w:tentative="1">
      <w:start w:val="1"/>
      <w:numFmt w:val="decimal"/>
      <w:lvlText w:val="%7."/>
      <w:lvlJc w:val="left"/>
      <w:pPr>
        <w:ind w:left="5441" w:hanging="360"/>
      </w:pPr>
    </w:lvl>
    <w:lvl w:ilvl="7" w:tplc="04180019" w:tentative="1">
      <w:start w:val="1"/>
      <w:numFmt w:val="lowerLetter"/>
      <w:lvlText w:val="%8."/>
      <w:lvlJc w:val="left"/>
      <w:pPr>
        <w:ind w:left="6161" w:hanging="360"/>
      </w:pPr>
    </w:lvl>
    <w:lvl w:ilvl="8" w:tplc="0418001B" w:tentative="1">
      <w:start w:val="1"/>
      <w:numFmt w:val="lowerRoman"/>
      <w:lvlText w:val="%9."/>
      <w:lvlJc w:val="right"/>
      <w:pPr>
        <w:ind w:left="6881" w:hanging="180"/>
      </w:pPr>
    </w:lvl>
  </w:abstractNum>
  <w:abstractNum w:abstractNumId="6" w15:restartNumberingAfterBreak="0">
    <w:nsid w:val="4E04419C"/>
    <w:multiLevelType w:val="hybridMultilevel"/>
    <w:tmpl w:val="BDA6F9FE"/>
    <w:lvl w:ilvl="0" w:tplc="3F3A196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CC06C61"/>
    <w:multiLevelType w:val="hybridMultilevel"/>
    <w:tmpl w:val="7B087F52"/>
    <w:lvl w:ilvl="0" w:tplc="9F9474CE">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8" w15:restartNumberingAfterBreak="0">
    <w:nsid w:val="5DD50C11"/>
    <w:multiLevelType w:val="hybridMultilevel"/>
    <w:tmpl w:val="0890F09E"/>
    <w:lvl w:ilvl="0" w:tplc="12743CE2">
      <w:start w:val="1"/>
      <w:numFmt w:val="decimal"/>
      <w:lvlText w:val="%1)"/>
      <w:lvlJc w:val="left"/>
      <w:pPr>
        <w:ind w:left="964" w:hanging="360"/>
      </w:pPr>
      <w:rPr>
        <w:rFonts w:hint="default"/>
      </w:rPr>
    </w:lvl>
    <w:lvl w:ilvl="1" w:tplc="04190019" w:tentative="1">
      <w:start w:val="1"/>
      <w:numFmt w:val="lowerLetter"/>
      <w:lvlText w:val="%2."/>
      <w:lvlJc w:val="left"/>
      <w:pPr>
        <w:ind w:left="1684" w:hanging="360"/>
      </w:pPr>
    </w:lvl>
    <w:lvl w:ilvl="2" w:tplc="0419001B" w:tentative="1">
      <w:start w:val="1"/>
      <w:numFmt w:val="lowerRoman"/>
      <w:lvlText w:val="%3."/>
      <w:lvlJc w:val="right"/>
      <w:pPr>
        <w:ind w:left="2404" w:hanging="180"/>
      </w:pPr>
    </w:lvl>
    <w:lvl w:ilvl="3" w:tplc="0419000F" w:tentative="1">
      <w:start w:val="1"/>
      <w:numFmt w:val="decimal"/>
      <w:lvlText w:val="%4."/>
      <w:lvlJc w:val="left"/>
      <w:pPr>
        <w:ind w:left="3124" w:hanging="360"/>
      </w:pPr>
    </w:lvl>
    <w:lvl w:ilvl="4" w:tplc="04190019" w:tentative="1">
      <w:start w:val="1"/>
      <w:numFmt w:val="lowerLetter"/>
      <w:lvlText w:val="%5."/>
      <w:lvlJc w:val="left"/>
      <w:pPr>
        <w:ind w:left="3844" w:hanging="360"/>
      </w:pPr>
    </w:lvl>
    <w:lvl w:ilvl="5" w:tplc="0419001B" w:tentative="1">
      <w:start w:val="1"/>
      <w:numFmt w:val="lowerRoman"/>
      <w:lvlText w:val="%6."/>
      <w:lvlJc w:val="right"/>
      <w:pPr>
        <w:ind w:left="4564" w:hanging="180"/>
      </w:pPr>
    </w:lvl>
    <w:lvl w:ilvl="6" w:tplc="0419000F" w:tentative="1">
      <w:start w:val="1"/>
      <w:numFmt w:val="decimal"/>
      <w:lvlText w:val="%7."/>
      <w:lvlJc w:val="left"/>
      <w:pPr>
        <w:ind w:left="5284" w:hanging="360"/>
      </w:pPr>
    </w:lvl>
    <w:lvl w:ilvl="7" w:tplc="04190019" w:tentative="1">
      <w:start w:val="1"/>
      <w:numFmt w:val="lowerLetter"/>
      <w:lvlText w:val="%8."/>
      <w:lvlJc w:val="left"/>
      <w:pPr>
        <w:ind w:left="6004" w:hanging="360"/>
      </w:pPr>
    </w:lvl>
    <w:lvl w:ilvl="8" w:tplc="0419001B" w:tentative="1">
      <w:start w:val="1"/>
      <w:numFmt w:val="lowerRoman"/>
      <w:lvlText w:val="%9."/>
      <w:lvlJc w:val="right"/>
      <w:pPr>
        <w:ind w:left="6724" w:hanging="180"/>
      </w:pPr>
    </w:lvl>
  </w:abstractNum>
  <w:abstractNum w:abstractNumId="9" w15:restartNumberingAfterBreak="0">
    <w:nsid w:val="66092214"/>
    <w:multiLevelType w:val="hybridMultilevel"/>
    <w:tmpl w:val="EAE0164A"/>
    <w:lvl w:ilvl="0" w:tplc="2E9C9ED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6121872"/>
    <w:multiLevelType w:val="hybridMultilevel"/>
    <w:tmpl w:val="88CA477C"/>
    <w:lvl w:ilvl="0" w:tplc="67C44F6E">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BB72148"/>
    <w:multiLevelType w:val="hybridMultilevel"/>
    <w:tmpl w:val="CBCCCCBC"/>
    <w:lvl w:ilvl="0" w:tplc="46BC1E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CDB6D8A"/>
    <w:multiLevelType w:val="hybridMultilevel"/>
    <w:tmpl w:val="17E6513A"/>
    <w:lvl w:ilvl="0" w:tplc="C7D4B6F0">
      <w:start w:val="17"/>
      <w:numFmt w:val="bullet"/>
      <w:lvlText w:val="-"/>
      <w:lvlJc w:val="left"/>
      <w:pPr>
        <w:ind w:left="1011" w:hanging="360"/>
      </w:pPr>
      <w:rPr>
        <w:rFonts w:ascii="Times New Roman" w:eastAsia="Times New Roman" w:hAnsi="Times New Roman" w:cs="Times New Roman" w:hint="default"/>
      </w:rPr>
    </w:lvl>
    <w:lvl w:ilvl="1" w:tplc="04190003">
      <w:start w:val="1"/>
      <w:numFmt w:val="bullet"/>
      <w:lvlText w:val="o"/>
      <w:lvlJc w:val="left"/>
      <w:pPr>
        <w:ind w:left="1731" w:hanging="360"/>
      </w:pPr>
      <w:rPr>
        <w:rFonts w:ascii="Courier New" w:hAnsi="Courier New" w:cs="Times New Roman" w:hint="default"/>
      </w:rPr>
    </w:lvl>
    <w:lvl w:ilvl="2" w:tplc="04190005">
      <w:start w:val="1"/>
      <w:numFmt w:val="bullet"/>
      <w:lvlText w:val=""/>
      <w:lvlJc w:val="left"/>
      <w:pPr>
        <w:ind w:left="2451" w:hanging="360"/>
      </w:pPr>
      <w:rPr>
        <w:rFonts w:ascii="Wingdings" w:hAnsi="Wingdings" w:hint="default"/>
      </w:rPr>
    </w:lvl>
    <w:lvl w:ilvl="3" w:tplc="04190001">
      <w:start w:val="1"/>
      <w:numFmt w:val="bullet"/>
      <w:lvlText w:val=""/>
      <w:lvlJc w:val="left"/>
      <w:pPr>
        <w:ind w:left="3171" w:hanging="360"/>
      </w:pPr>
      <w:rPr>
        <w:rFonts w:ascii="Symbol" w:hAnsi="Symbol" w:hint="default"/>
      </w:rPr>
    </w:lvl>
    <w:lvl w:ilvl="4" w:tplc="04190003">
      <w:start w:val="1"/>
      <w:numFmt w:val="bullet"/>
      <w:lvlText w:val="o"/>
      <w:lvlJc w:val="left"/>
      <w:pPr>
        <w:ind w:left="3891" w:hanging="360"/>
      </w:pPr>
      <w:rPr>
        <w:rFonts w:ascii="Courier New" w:hAnsi="Courier New" w:cs="Times New Roman" w:hint="default"/>
      </w:rPr>
    </w:lvl>
    <w:lvl w:ilvl="5" w:tplc="04190005">
      <w:start w:val="1"/>
      <w:numFmt w:val="bullet"/>
      <w:lvlText w:val=""/>
      <w:lvlJc w:val="left"/>
      <w:pPr>
        <w:ind w:left="4611" w:hanging="360"/>
      </w:pPr>
      <w:rPr>
        <w:rFonts w:ascii="Wingdings" w:hAnsi="Wingdings" w:hint="default"/>
      </w:rPr>
    </w:lvl>
    <w:lvl w:ilvl="6" w:tplc="04190001">
      <w:start w:val="1"/>
      <w:numFmt w:val="bullet"/>
      <w:lvlText w:val=""/>
      <w:lvlJc w:val="left"/>
      <w:pPr>
        <w:ind w:left="5331" w:hanging="360"/>
      </w:pPr>
      <w:rPr>
        <w:rFonts w:ascii="Symbol" w:hAnsi="Symbol" w:hint="default"/>
      </w:rPr>
    </w:lvl>
    <w:lvl w:ilvl="7" w:tplc="04190003">
      <w:start w:val="1"/>
      <w:numFmt w:val="bullet"/>
      <w:lvlText w:val="o"/>
      <w:lvlJc w:val="left"/>
      <w:pPr>
        <w:ind w:left="6051" w:hanging="360"/>
      </w:pPr>
      <w:rPr>
        <w:rFonts w:ascii="Courier New" w:hAnsi="Courier New" w:cs="Times New Roman" w:hint="default"/>
      </w:rPr>
    </w:lvl>
    <w:lvl w:ilvl="8" w:tplc="04190005">
      <w:start w:val="1"/>
      <w:numFmt w:val="bullet"/>
      <w:lvlText w:val=""/>
      <w:lvlJc w:val="left"/>
      <w:pPr>
        <w:ind w:left="6771" w:hanging="360"/>
      </w:pPr>
      <w:rPr>
        <w:rFonts w:ascii="Wingdings" w:hAnsi="Wingdings" w:hint="default"/>
      </w:rPr>
    </w:lvl>
  </w:abstractNum>
  <w:abstractNum w:abstractNumId="13" w15:restartNumberingAfterBreak="0">
    <w:nsid w:val="6DE9599B"/>
    <w:multiLevelType w:val="hybridMultilevel"/>
    <w:tmpl w:val="1B887C34"/>
    <w:lvl w:ilvl="0" w:tplc="7DB6495E">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0106A62"/>
    <w:multiLevelType w:val="hybridMultilevel"/>
    <w:tmpl w:val="C930C7BE"/>
    <w:lvl w:ilvl="0" w:tplc="82BE434A">
      <w:start w:val="1"/>
      <w:numFmt w:val="decimal"/>
      <w:lvlText w:val="%1)"/>
      <w:lvlJc w:val="left"/>
      <w:pPr>
        <w:ind w:left="964" w:hanging="360"/>
      </w:pPr>
      <w:rPr>
        <w:rFonts w:hint="default"/>
      </w:rPr>
    </w:lvl>
    <w:lvl w:ilvl="1" w:tplc="04190019" w:tentative="1">
      <w:start w:val="1"/>
      <w:numFmt w:val="lowerLetter"/>
      <w:lvlText w:val="%2."/>
      <w:lvlJc w:val="left"/>
      <w:pPr>
        <w:ind w:left="1684" w:hanging="360"/>
      </w:pPr>
    </w:lvl>
    <w:lvl w:ilvl="2" w:tplc="0419001B" w:tentative="1">
      <w:start w:val="1"/>
      <w:numFmt w:val="lowerRoman"/>
      <w:lvlText w:val="%3."/>
      <w:lvlJc w:val="right"/>
      <w:pPr>
        <w:ind w:left="2404" w:hanging="180"/>
      </w:pPr>
    </w:lvl>
    <w:lvl w:ilvl="3" w:tplc="0419000F" w:tentative="1">
      <w:start w:val="1"/>
      <w:numFmt w:val="decimal"/>
      <w:lvlText w:val="%4."/>
      <w:lvlJc w:val="left"/>
      <w:pPr>
        <w:ind w:left="3124" w:hanging="360"/>
      </w:pPr>
    </w:lvl>
    <w:lvl w:ilvl="4" w:tplc="04190019" w:tentative="1">
      <w:start w:val="1"/>
      <w:numFmt w:val="lowerLetter"/>
      <w:lvlText w:val="%5."/>
      <w:lvlJc w:val="left"/>
      <w:pPr>
        <w:ind w:left="3844" w:hanging="360"/>
      </w:pPr>
    </w:lvl>
    <w:lvl w:ilvl="5" w:tplc="0419001B" w:tentative="1">
      <w:start w:val="1"/>
      <w:numFmt w:val="lowerRoman"/>
      <w:lvlText w:val="%6."/>
      <w:lvlJc w:val="right"/>
      <w:pPr>
        <w:ind w:left="4564" w:hanging="180"/>
      </w:pPr>
    </w:lvl>
    <w:lvl w:ilvl="6" w:tplc="0419000F" w:tentative="1">
      <w:start w:val="1"/>
      <w:numFmt w:val="decimal"/>
      <w:lvlText w:val="%7."/>
      <w:lvlJc w:val="left"/>
      <w:pPr>
        <w:ind w:left="5284" w:hanging="360"/>
      </w:pPr>
    </w:lvl>
    <w:lvl w:ilvl="7" w:tplc="04190019" w:tentative="1">
      <w:start w:val="1"/>
      <w:numFmt w:val="lowerLetter"/>
      <w:lvlText w:val="%8."/>
      <w:lvlJc w:val="left"/>
      <w:pPr>
        <w:ind w:left="6004" w:hanging="360"/>
      </w:pPr>
    </w:lvl>
    <w:lvl w:ilvl="8" w:tplc="0419001B" w:tentative="1">
      <w:start w:val="1"/>
      <w:numFmt w:val="lowerRoman"/>
      <w:lvlText w:val="%9."/>
      <w:lvlJc w:val="right"/>
      <w:pPr>
        <w:ind w:left="6724" w:hanging="180"/>
      </w:pPr>
    </w:lvl>
  </w:abstractNum>
  <w:abstractNum w:abstractNumId="15" w15:restartNumberingAfterBreak="0">
    <w:nsid w:val="71EB0DBF"/>
    <w:multiLevelType w:val="hybridMultilevel"/>
    <w:tmpl w:val="E12E6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FE1865"/>
    <w:multiLevelType w:val="hybridMultilevel"/>
    <w:tmpl w:val="2A7E9686"/>
    <w:lvl w:ilvl="0" w:tplc="9E00CF68">
      <w:start w:val="1"/>
      <w:numFmt w:val="bullet"/>
      <w:lvlText w:val="-"/>
      <w:lvlJc w:val="left"/>
      <w:pPr>
        <w:ind w:left="720" w:hanging="360"/>
      </w:pPr>
      <w:rPr>
        <w:rFonts w:ascii="Georgia" w:eastAsiaTheme="minorHAnsi" w:hAnsi="Georgia"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830633449">
    <w:abstractNumId w:val="15"/>
  </w:num>
  <w:num w:numId="2" w16cid:durableId="953437625">
    <w:abstractNumId w:val="2"/>
  </w:num>
  <w:num w:numId="3" w16cid:durableId="218321127">
    <w:abstractNumId w:val="9"/>
  </w:num>
  <w:num w:numId="4" w16cid:durableId="1509901295">
    <w:abstractNumId w:val="13"/>
  </w:num>
  <w:num w:numId="5" w16cid:durableId="970554783">
    <w:abstractNumId w:val="0"/>
  </w:num>
  <w:num w:numId="6" w16cid:durableId="1955091598">
    <w:abstractNumId w:val="10"/>
  </w:num>
  <w:num w:numId="7" w16cid:durableId="1774781252">
    <w:abstractNumId w:val="4"/>
  </w:num>
  <w:num w:numId="8" w16cid:durableId="309554603">
    <w:abstractNumId w:val="11"/>
  </w:num>
  <w:num w:numId="9" w16cid:durableId="1462920870">
    <w:abstractNumId w:val="6"/>
  </w:num>
  <w:num w:numId="10" w16cid:durableId="2055082597">
    <w:abstractNumId w:val="1"/>
  </w:num>
  <w:num w:numId="11" w16cid:durableId="213004954">
    <w:abstractNumId w:val="14"/>
  </w:num>
  <w:num w:numId="12" w16cid:durableId="19053354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62894723">
    <w:abstractNumId w:val="8"/>
  </w:num>
  <w:num w:numId="14" w16cid:durableId="1940526174">
    <w:abstractNumId w:val="3"/>
  </w:num>
  <w:num w:numId="15" w16cid:durableId="1211068435">
    <w:abstractNumId w:val="16"/>
  </w:num>
  <w:num w:numId="16" w16cid:durableId="1164975580">
    <w:abstractNumId w:val="12"/>
  </w:num>
  <w:num w:numId="17" w16cid:durableId="11837122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178"/>
    <w:rsid w:val="00001CC4"/>
    <w:rsid w:val="000045F3"/>
    <w:rsid w:val="00004E86"/>
    <w:rsid w:val="000159EB"/>
    <w:rsid w:val="00032451"/>
    <w:rsid w:val="00045CE0"/>
    <w:rsid w:val="00052307"/>
    <w:rsid w:val="0006203C"/>
    <w:rsid w:val="000700AF"/>
    <w:rsid w:val="00083FDA"/>
    <w:rsid w:val="00091B3E"/>
    <w:rsid w:val="00092160"/>
    <w:rsid w:val="000A4F04"/>
    <w:rsid w:val="000B3A8C"/>
    <w:rsid w:val="000B5A6C"/>
    <w:rsid w:val="000B614D"/>
    <w:rsid w:val="000B77C5"/>
    <w:rsid w:val="000D5CDD"/>
    <w:rsid w:val="000E2406"/>
    <w:rsid w:val="000E4262"/>
    <w:rsid w:val="000E7220"/>
    <w:rsid w:val="000E729B"/>
    <w:rsid w:val="00105CA1"/>
    <w:rsid w:val="00125F9C"/>
    <w:rsid w:val="00131DCE"/>
    <w:rsid w:val="00131E5E"/>
    <w:rsid w:val="001557A3"/>
    <w:rsid w:val="001602BC"/>
    <w:rsid w:val="00163B86"/>
    <w:rsid w:val="00177B93"/>
    <w:rsid w:val="00184830"/>
    <w:rsid w:val="001A6815"/>
    <w:rsid w:val="001B36EF"/>
    <w:rsid w:val="001C58D0"/>
    <w:rsid w:val="001D2414"/>
    <w:rsid w:val="001D2D56"/>
    <w:rsid w:val="001D77A3"/>
    <w:rsid w:val="001E0F9A"/>
    <w:rsid w:val="001E595F"/>
    <w:rsid w:val="001F6F92"/>
    <w:rsid w:val="002026E2"/>
    <w:rsid w:val="00210A37"/>
    <w:rsid w:val="00216481"/>
    <w:rsid w:val="0022124A"/>
    <w:rsid w:val="0022417C"/>
    <w:rsid w:val="00225C10"/>
    <w:rsid w:val="0025392F"/>
    <w:rsid w:val="00263016"/>
    <w:rsid w:val="00271179"/>
    <w:rsid w:val="00274810"/>
    <w:rsid w:val="00276B6A"/>
    <w:rsid w:val="0027714C"/>
    <w:rsid w:val="00297ABE"/>
    <w:rsid w:val="002A78B1"/>
    <w:rsid w:val="002C550C"/>
    <w:rsid w:val="002C757F"/>
    <w:rsid w:val="002D54BB"/>
    <w:rsid w:val="002E1250"/>
    <w:rsid w:val="002E540B"/>
    <w:rsid w:val="002E55BA"/>
    <w:rsid w:val="00346159"/>
    <w:rsid w:val="0035608D"/>
    <w:rsid w:val="00362EB0"/>
    <w:rsid w:val="003861F1"/>
    <w:rsid w:val="003969F9"/>
    <w:rsid w:val="003C014A"/>
    <w:rsid w:val="003C7250"/>
    <w:rsid w:val="003E6568"/>
    <w:rsid w:val="003E6753"/>
    <w:rsid w:val="003E695C"/>
    <w:rsid w:val="004039A2"/>
    <w:rsid w:val="00403E48"/>
    <w:rsid w:val="00424D5F"/>
    <w:rsid w:val="004265B8"/>
    <w:rsid w:val="00435F09"/>
    <w:rsid w:val="0044002A"/>
    <w:rsid w:val="00447E91"/>
    <w:rsid w:val="00453362"/>
    <w:rsid w:val="004A217A"/>
    <w:rsid w:val="004B5FCE"/>
    <w:rsid w:val="004B6F25"/>
    <w:rsid w:val="004D2080"/>
    <w:rsid w:val="004D386D"/>
    <w:rsid w:val="004D626E"/>
    <w:rsid w:val="004E2B15"/>
    <w:rsid w:val="004E3ED1"/>
    <w:rsid w:val="004F4668"/>
    <w:rsid w:val="005066CA"/>
    <w:rsid w:val="005158DB"/>
    <w:rsid w:val="00521242"/>
    <w:rsid w:val="00532ED4"/>
    <w:rsid w:val="00542949"/>
    <w:rsid w:val="005453C8"/>
    <w:rsid w:val="00560178"/>
    <w:rsid w:val="0056037E"/>
    <w:rsid w:val="00567527"/>
    <w:rsid w:val="00593933"/>
    <w:rsid w:val="00595403"/>
    <w:rsid w:val="005A784B"/>
    <w:rsid w:val="005B5D11"/>
    <w:rsid w:val="005B7DCD"/>
    <w:rsid w:val="005C5965"/>
    <w:rsid w:val="005E1C99"/>
    <w:rsid w:val="005E375D"/>
    <w:rsid w:val="005F7636"/>
    <w:rsid w:val="005F778A"/>
    <w:rsid w:val="00603518"/>
    <w:rsid w:val="00614E55"/>
    <w:rsid w:val="00615430"/>
    <w:rsid w:val="0061622B"/>
    <w:rsid w:val="00633B04"/>
    <w:rsid w:val="00636E1F"/>
    <w:rsid w:val="00645395"/>
    <w:rsid w:val="00670A9C"/>
    <w:rsid w:val="00672BE5"/>
    <w:rsid w:val="006740E6"/>
    <w:rsid w:val="00685FFD"/>
    <w:rsid w:val="0069187A"/>
    <w:rsid w:val="006C18CB"/>
    <w:rsid w:val="006D2FE8"/>
    <w:rsid w:val="006F3EF1"/>
    <w:rsid w:val="006F5C45"/>
    <w:rsid w:val="00712BD4"/>
    <w:rsid w:val="007314AF"/>
    <w:rsid w:val="00740885"/>
    <w:rsid w:val="00744353"/>
    <w:rsid w:val="00753E34"/>
    <w:rsid w:val="007745B2"/>
    <w:rsid w:val="00781F17"/>
    <w:rsid w:val="00783B5C"/>
    <w:rsid w:val="007874DD"/>
    <w:rsid w:val="00795009"/>
    <w:rsid w:val="00797FBB"/>
    <w:rsid w:val="007C2017"/>
    <w:rsid w:val="007C7248"/>
    <w:rsid w:val="007F00C3"/>
    <w:rsid w:val="008054E1"/>
    <w:rsid w:val="00805FE1"/>
    <w:rsid w:val="00813A90"/>
    <w:rsid w:val="00827399"/>
    <w:rsid w:val="00834FDD"/>
    <w:rsid w:val="00841623"/>
    <w:rsid w:val="008454C6"/>
    <w:rsid w:val="008479A9"/>
    <w:rsid w:val="00850324"/>
    <w:rsid w:val="00852A8F"/>
    <w:rsid w:val="00853430"/>
    <w:rsid w:val="008556CF"/>
    <w:rsid w:val="00860758"/>
    <w:rsid w:val="0086180C"/>
    <w:rsid w:val="00886131"/>
    <w:rsid w:val="008A554A"/>
    <w:rsid w:val="008A69FD"/>
    <w:rsid w:val="008A7AF9"/>
    <w:rsid w:val="008A7F56"/>
    <w:rsid w:val="008B6370"/>
    <w:rsid w:val="008D1116"/>
    <w:rsid w:val="008F2ED1"/>
    <w:rsid w:val="008F6994"/>
    <w:rsid w:val="008F755B"/>
    <w:rsid w:val="009263B4"/>
    <w:rsid w:val="00930D3C"/>
    <w:rsid w:val="0093772B"/>
    <w:rsid w:val="00946A30"/>
    <w:rsid w:val="00955946"/>
    <w:rsid w:val="00956D2F"/>
    <w:rsid w:val="00964463"/>
    <w:rsid w:val="00972879"/>
    <w:rsid w:val="009905DB"/>
    <w:rsid w:val="00997433"/>
    <w:rsid w:val="009A0C27"/>
    <w:rsid w:val="009B39D0"/>
    <w:rsid w:val="009D355C"/>
    <w:rsid w:val="009D7FAC"/>
    <w:rsid w:val="009F0CD6"/>
    <w:rsid w:val="00A06A1A"/>
    <w:rsid w:val="00A06BF6"/>
    <w:rsid w:val="00A26ABD"/>
    <w:rsid w:val="00A43CEC"/>
    <w:rsid w:val="00A46DC1"/>
    <w:rsid w:val="00A53D13"/>
    <w:rsid w:val="00A54C03"/>
    <w:rsid w:val="00A61E6E"/>
    <w:rsid w:val="00A92020"/>
    <w:rsid w:val="00A949D2"/>
    <w:rsid w:val="00AC09BB"/>
    <w:rsid w:val="00AD0CD0"/>
    <w:rsid w:val="00AF7E92"/>
    <w:rsid w:val="00B07C34"/>
    <w:rsid w:val="00B175B2"/>
    <w:rsid w:val="00B244FF"/>
    <w:rsid w:val="00B24FFF"/>
    <w:rsid w:val="00B50842"/>
    <w:rsid w:val="00B5626A"/>
    <w:rsid w:val="00B62317"/>
    <w:rsid w:val="00B63442"/>
    <w:rsid w:val="00B66C65"/>
    <w:rsid w:val="00B70E31"/>
    <w:rsid w:val="00B92416"/>
    <w:rsid w:val="00BB150F"/>
    <w:rsid w:val="00BB6A45"/>
    <w:rsid w:val="00BC52A9"/>
    <w:rsid w:val="00BE1351"/>
    <w:rsid w:val="00BE41E9"/>
    <w:rsid w:val="00C01769"/>
    <w:rsid w:val="00C069BD"/>
    <w:rsid w:val="00C21484"/>
    <w:rsid w:val="00C540EE"/>
    <w:rsid w:val="00C546FC"/>
    <w:rsid w:val="00C57BBA"/>
    <w:rsid w:val="00C7308C"/>
    <w:rsid w:val="00C833A7"/>
    <w:rsid w:val="00C83A62"/>
    <w:rsid w:val="00C91BEA"/>
    <w:rsid w:val="00CB2ADE"/>
    <w:rsid w:val="00CB4A7F"/>
    <w:rsid w:val="00CC1873"/>
    <w:rsid w:val="00CC2F32"/>
    <w:rsid w:val="00CC6637"/>
    <w:rsid w:val="00CD188F"/>
    <w:rsid w:val="00CD370A"/>
    <w:rsid w:val="00CD3799"/>
    <w:rsid w:val="00CE00A0"/>
    <w:rsid w:val="00CE61EE"/>
    <w:rsid w:val="00CF4793"/>
    <w:rsid w:val="00D14AD2"/>
    <w:rsid w:val="00D20B44"/>
    <w:rsid w:val="00D3061C"/>
    <w:rsid w:val="00D306DF"/>
    <w:rsid w:val="00D42B8D"/>
    <w:rsid w:val="00D50CAC"/>
    <w:rsid w:val="00D67E92"/>
    <w:rsid w:val="00D81243"/>
    <w:rsid w:val="00D82F3A"/>
    <w:rsid w:val="00DA6AF8"/>
    <w:rsid w:val="00DB2BE1"/>
    <w:rsid w:val="00DD4963"/>
    <w:rsid w:val="00DE14DF"/>
    <w:rsid w:val="00DE4142"/>
    <w:rsid w:val="00DE7BD6"/>
    <w:rsid w:val="00E07C25"/>
    <w:rsid w:val="00E173F4"/>
    <w:rsid w:val="00E2353E"/>
    <w:rsid w:val="00E40C7B"/>
    <w:rsid w:val="00E44D78"/>
    <w:rsid w:val="00E45F8F"/>
    <w:rsid w:val="00E4645D"/>
    <w:rsid w:val="00E5312D"/>
    <w:rsid w:val="00E55A3A"/>
    <w:rsid w:val="00E710E6"/>
    <w:rsid w:val="00E86E3C"/>
    <w:rsid w:val="00EA11FD"/>
    <w:rsid w:val="00EA4686"/>
    <w:rsid w:val="00EA4EC5"/>
    <w:rsid w:val="00EA74FA"/>
    <w:rsid w:val="00EA7A59"/>
    <w:rsid w:val="00EB4219"/>
    <w:rsid w:val="00ED3392"/>
    <w:rsid w:val="00EE5367"/>
    <w:rsid w:val="00EF2589"/>
    <w:rsid w:val="00EF4F9A"/>
    <w:rsid w:val="00EF7011"/>
    <w:rsid w:val="00F06BA3"/>
    <w:rsid w:val="00F0721B"/>
    <w:rsid w:val="00F20F5D"/>
    <w:rsid w:val="00F24646"/>
    <w:rsid w:val="00F5137D"/>
    <w:rsid w:val="00F528BC"/>
    <w:rsid w:val="00F556D4"/>
    <w:rsid w:val="00F61CF0"/>
    <w:rsid w:val="00F63D5D"/>
    <w:rsid w:val="00F6779B"/>
    <w:rsid w:val="00F73BCE"/>
    <w:rsid w:val="00F75D46"/>
    <w:rsid w:val="00F914D8"/>
    <w:rsid w:val="00FA2FDC"/>
    <w:rsid w:val="00FB357E"/>
    <w:rsid w:val="00FB5C49"/>
    <w:rsid w:val="00FF4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F939D"/>
  <w15:chartTrackingRefBased/>
  <w15:docId w15:val="{E64005CA-0ED9-4951-93EA-A32DF29EA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57A3"/>
    <w:pPr>
      <w:spacing w:after="200" w:line="276" w:lineRule="auto"/>
    </w:pPr>
    <w:rPr>
      <w:rFonts w:ascii="Calibri" w:eastAsia="Times New Roman" w:hAnsi="Calibri" w:cs="Times New Roman"/>
      <w:lang w:val="ro-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References,NUMBERED PARAGRAPH,List Paragraph 1,Bullets,List_Paragraph,Multilevel para_II,List Paragraph1"/>
    <w:basedOn w:val="a"/>
    <w:link w:val="a4"/>
    <w:uiPriority w:val="99"/>
    <w:qFormat/>
    <w:rsid w:val="000E729B"/>
    <w:pPr>
      <w:ind w:left="720"/>
      <w:contextualSpacing/>
    </w:pPr>
  </w:style>
  <w:style w:type="paragraph" w:styleId="a5">
    <w:name w:val="Balloon Text"/>
    <w:basedOn w:val="a"/>
    <w:link w:val="a6"/>
    <w:uiPriority w:val="99"/>
    <w:semiHidden/>
    <w:unhideWhenUsed/>
    <w:rsid w:val="00D20B4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20B44"/>
    <w:rPr>
      <w:rFonts w:ascii="Segoe UI" w:eastAsia="Times New Roman" w:hAnsi="Segoe UI" w:cs="Segoe UI"/>
      <w:sz w:val="18"/>
      <w:szCs w:val="18"/>
      <w:lang w:val="ro-RO"/>
    </w:rPr>
  </w:style>
  <w:style w:type="paragraph" w:customStyle="1" w:styleId="Default">
    <w:name w:val="Default"/>
    <w:rsid w:val="00A53D13"/>
    <w:pPr>
      <w:autoSpaceDE w:val="0"/>
      <w:autoSpaceDN w:val="0"/>
      <w:adjustRightInd w:val="0"/>
      <w:spacing w:after="0" w:line="240" w:lineRule="auto"/>
    </w:pPr>
    <w:rPr>
      <w:rFonts w:ascii="Times New Roman" w:eastAsia="SimSun" w:hAnsi="Times New Roman" w:cs="Times New Roman"/>
      <w:color w:val="000000"/>
      <w:sz w:val="24"/>
      <w:szCs w:val="24"/>
      <w:lang w:val="ru-RU" w:eastAsia="ru-RU"/>
    </w:rPr>
  </w:style>
  <w:style w:type="character" w:styleId="a7">
    <w:name w:val="Strong"/>
    <w:basedOn w:val="a0"/>
    <w:uiPriority w:val="22"/>
    <w:qFormat/>
    <w:rsid w:val="00E44D78"/>
    <w:rPr>
      <w:b/>
      <w:bCs/>
    </w:rPr>
  </w:style>
  <w:style w:type="character" w:customStyle="1" w:styleId="a4">
    <w:name w:val="Абзац списка Знак"/>
    <w:aliases w:val="References Знак,NUMBERED PARAGRAPH Знак,List Paragraph 1 Знак,Bullets Знак,List_Paragraph Знак,Multilevel para_II Знак,List Paragraph1 Знак"/>
    <w:link w:val="a3"/>
    <w:uiPriority w:val="99"/>
    <w:locked/>
    <w:rsid w:val="00C540EE"/>
    <w:rPr>
      <w:rFonts w:ascii="Calibri" w:eastAsia="Times New Roman" w:hAnsi="Calibri" w:cs="Times New Roman"/>
      <w:lang w:val="ro-RO"/>
    </w:rPr>
  </w:style>
  <w:style w:type="paragraph" w:styleId="HTML">
    <w:name w:val="HTML Preformatted"/>
    <w:basedOn w:val="a"/>
    <w:link w:val="HTML0"/>
    <w:uiPriority w:val="99"/>
    <w:rsid w:val="00955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955946"/>
    <w:rPr>
      <w:rFonts w:ascii="Courier New" w:eastAsia="Times New Roman" w:hAnsi="Courier New" w:cs="Courier New"/>
      <w:sz w:val="20"/>
      <w:szCs w:val="20"/>
      <w:lang w:val="ru-RU" w:eastAsia="ru-RU"/>
    </w:rPr>
  </w:style>
  <w:style w:type="paragraph" w:styleId="a8">
    <w:name w:val="Normal (Web)"/>
    <w:basedOn w:val="a"/>
    <w:uiPriority w:val="99"/>
    <w:unhideWhenUsed/>
    <w:rsid w:val="00593933"/>
    <w:pPr>
      <w:spacing w:after="0" w:line="240" w:lineRule="auto"/>
      <w:ind w:firstLine="567"/>
      <w:jc w:val="both"/>
    </w:pPr>
    <w:rPr>
      <w:rFonts w:ascii="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467103">
      <w:bodyDiv w:val="1"/>
      <w:marLeft w:val="0"/>
      <w:marRight w:val="0"/>
      <w:marTop w:val="0"/>
      <w:marBottom w:val="0"/>
      <w:divBdr>
        <w:top w:val="none" w:sz="0" w:space="0" w:color="auto"/>
        <w:left w:val="none" w:sz="0" w:space="0" w:color="auto"/>
        <w:bottom w:val="none" w:sz="0" w:space="0" w:color="auto"/>
        <w:right w:val="none" w:sz="0" w:space="0" w:color="auto"/>
      </w:divBdr>
    </w:div>
    <w:div w:id="802699620">
      <w:bodyDiv w:val="1"/>
      <w:marLeft w:val="0"/>
      <w:marRight w:val="0"/>
      <w:marTop w:val="0"/>
      <w:marBottom w:val="0"/>
      <w:divBdr>
        <w:top w:val="none" w:sz="0" w:space="0" w:color="auto"/>
        <w:left w:val="none" w:sz="0" w:space="0" w:color="auto"/>
        <w:bottom w:val="none" w:sz="0" w:space="0" w:color="auto"/>
        <w:right w:val="none" w:sz="0" w:space="0" w:color="auto"/>
      </w:divBdr>
    </w:div>
    <w:div w:id="16545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Pages>
  <Words>4511</Words>
  <Characters>26166</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dc:creator>
  <cp:keywords/>
  <dc:description/>
  <cp:lastModifiedBy>Vitalie Railean</cp:lastModifiedBy>
  <cp:revision>18</cp:revision>
  <cp:lastPrinted>2023-10-17T13:13:00Z</cp:lastPrinted>
  <dcterms:created xsi:type="dcterms:W3CDTF">2023-10-01T08:32:00Z</dcterms:created>
  <dcterms:modified xsi:type="dcterms:W3CDTF">2023-10-17T13:13:00Z</dcterms:modified>
</cp:coreProperties>
</file>