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62B2" w14:textId="4FF89B92" w:rsidR="00863CD9" w:rsidRPr="004866F2" w:rsidRDefault="00872856" w:rsidP="0048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</w:pPr>
      <w:r w:rsidRPr="004866F2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  <w:t>TABEL COMPARATIV</w:t>
      </w:r>
    </w:p>
    <w:p w14:paraId="7FF424EF" w14:textId="0081EE11" w:rsidR="00AE3CCA" w:rsidRPr="004866F2" w:rsidRDefault="0036346C" w:rsidP="00A76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</w:pPr>
      <w:bookmarkStart w:id="0" w:name="_Hlk144107716"/>
      <w:r w:rsidRPr="004866F2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  <w:t>cu privire la</w:t>
      </w:r>
      <w:r w:rsidR="00BB76D4" w:rsidRPr="004866F2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  <w:t xml:space="preserve"> aprobarea proiectului </w:t>
      </w:r>
      <w:r w:rsidR="00851E8E" w:rsidRPr="004866F2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  <w:t>de lege</w:t>
      </w:r>
      <w:r w:rsidR="00BB76D4" w:rsidRPr="004866F2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  <w:t xml:space="preserve"> </w:t>
      </w:r>
      <w:r w:rsidR="00851E8E" w:rsidRPr="004866F2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  <w:t>pentru</w:t>
      </w:r>
      <w:r w:rsidR="00BB76D4" w:rsidRPr="004866F2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  <w:t xml:space="preserve"> </w:t>
      </w:r>
    </w:p>
    <w:p w14:paraId="4990C669" w14:textId="31390C9E" w:rsidR="00872856" w:rsidRPr="004866F2" w:rsidRDefault="00BB76D4" w:rsidP="0048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</w:pPr>
      <w:r w:rsidRPr="004866F2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  <w:t>modificarea</w:t>
      </w:r>
      <w:r w:rsidRPr="004866F2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</w:t>
      </w:r>
      <w:r w:rsidRPr="004866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>Leg</w:t>
      </w:r>
      <w:r w:rsidR="00A76763" w:rsidRPr="004866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>ii</w:t>
      </w:r>
      <w:r w:rsidRPr="004866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 xml:space="preserve"> culturii nr. 413/1999</w:t>
      </w:r>
      <w:bookmarkEnd w:id="0"/>
    </w:p>
    <w:p w14:paraId="5E3B4D4F" w14:textId="77777777" w:rsidR="004866F2" w:rsidRPr="004866F2" w:rsidRDefault="004866F2" w:rsidP="004866F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574"/>
        <w:gridCol w:w="4805"/>
      </w:tblGrid>
      <w:tr w:rsidR="009151B5" w:rsidRPr="004866F2" w14:paraId="6CBE2BBC" w14:textId="77777777" w:rsidTr="00607762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6D3" w14:textId="388938AF" w:rsidR="00266E15" w:rsidRPr="004866F2" w:rsidRDefault="00863CD9" w:rsidP="00266E1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66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66E15" w:rsidRPr="004866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Leg</w:t>
            </w:r>
            <w:r w:rsidRPr="004866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ea </w:t>
            </w:r>
            <w:r w:rsidR="00266E15" w:rsidRPr="004866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culturii nr. 413/1999</w:t>
            </w:r>
          </w:p>
          <w:p w14:paraId="12FC1BAB" w14:textId="77777777" w:rsidR="00872856" w:rsidRPr="004866F2" w:rsidRDefault="00872856" w:rsidP="00266E15">
            <w:pPr>
              <w:ind w:left="33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51B5" w:rsidRPr="004866F2" w14:paraId="07C0BFC7" w14:textId="77777777" w:rsidTr="00607762"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C97A" w14:textId="77777777" w:rsidR="00872856" w:rsidRPr="004866F2" w:rsidRDefault="00872856" w:rsidP="008728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Prevederi în vigoare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2A9" w14:textId="2D937313" w:rsidR="00872856" w:rsidRPr="004866F2" w:rsidRDefault="00B272D4" w:rsidP="0087285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66F2"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  <w:t>Text după modificare</w:t>
            </w:r>
          </w:p>
          <w:p w14:paraId="4364A953" w14:textId="77777777" w:rsidR="00872856" w:rsidRPr="004866F2" w:rsidRDefault="00872856" w:rsidP="008728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51B5" w:rsidRPr="004866F2" w14:paraId="7FF0A1CB" w14:textId="77777777" w:rsidTr="00607762"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CA92" w14:textId="77777777" w:rsidR="00266E15" w:rsidRPr="004866F2" w:rsidRDefault="00266E15" w:rsidP="003F165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66F2">
              <w:rPr>
                <w:rStyle w:val="a5"/>
                <w:sz w:val="28"/>
                <w:szCs w:val="28"/>
              </w:rPr>
              <w:t>Articolul 10. </w:t>
            </w:r>
            <w:r w:rsidRPr="004866F2">
              <w:rPr>
                <w:sz w:val="28"/>
                <w:szCs w:val="28"/>
              </w:rPr>
              <w:t>Obligaţiile statului faţă de tineretul de creaţie</w:t>
            </w:r>
          </w:p>
          <w:p w14:paraId="1FDF31B6" w14:textId="77777777" w:rsidR="00266E15" w:rsidRPr="004866F2" w:rsidRDefault="00266E15" w:rsidP="003F165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66F2">
              <w:rPr>
                <w:sz w:val="28"/>
                <w:szCs w:val="28"/>
              </w:rPr>
              <w:t>Statul protejează tinerele talente, tineretul de creaţie.</w:t>
            </w:r>
          </w:p>
          <w:p w14:paraId="306E1FD0" w14:textId="2A5052EF" w:rsidR="00872856" w:rsidRPr="004866F2" w:rsidRDefault="00872856" w:rsidP="00872856">
            <w:pPr>
              <w:shd w:val="clear" w:color="auto" w:fill="FFFFFF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6644" w14:textId="5A0F005D" w:rsidR="00B272D4" w:rsidRPr="004866F2" w:rsidRDefault="00B272D4" w:rsidP="00B272D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66F2">
              <w:rPr>
                <w:rStyle w:val="a5"/>
                <w:sz w:val="28"/>
                <w:szCs w:val="28"/>
              </w:rPr>
              <w:t>Articolul 10. </w:t>
            </w:r>
            <w:r w:rsidRPr="004866F2">
              <w:rPr>
                <w:sz w:val="28"/>
                <w:szCs w:val="28"/>
              </w:rPr>
              <w:t>Obligaţiile statului faţă de tineretul de creaţie</w:t>
            </w:r>
          </w:p>
          <w:p w14:paraId="23A9163F" w14:textId="77777777" w:rsidR="00A7517B" w:rsidRPr="004866F2" w:rsidRDefault="00A7517B" w:rsidP="00A7517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866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(1) Statul protejează tinerele talente, tineretul de creaţie.</w:t>
            </w:r>
          </w:p>
          <w:p w14:paraId="28C726C9" w14:textId="7B0CAC99" w:rsidR="00A7517B" w:rsidRPr="004866F2" w:rsidRDefault="00A7517B" w:rsidP="00A7517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866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(2) Tinerii absolvenți ai instituțiilor de învățământ superior și profesional tehnic de profil, care în primul an după absolvire, se angajează și activează în </w:t>
            </w:r>
            <w:r w:rsidR="003314B6" w:rsidRPr="004866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case de cultură, instituții de cultură sau în instituții publice</w:t>
            </w:r>
            <w:r w:rsidRPr="004866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ce desfăşoară o activitate culturală în municipii, orașe sau sate (comune), în primii 3 ani de activitate beneficiază din contul bugetului de stat,  în modul și condițiile stabilite de Guvern, de dreptul la:</w:t>
            </w:r>
          </w:p>
          <w:p w14:paraId="7B27B3D3" w14:textId="77777777" w:rsidR="00A7517B" w:rsidRPr="004866F2" w:rsidRDefault="00A7517B" w:rsidP="00A7517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866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a) o indemnizație unică în mărime de 120 mii lei, pentru absolvenții instituțiilor de învățământ superior de profil, care se achită în trei rate egale, o jumătate din prima rată fiind achitată după prima lună de activitate, iar a doua jumătate la finele primului an de activitate, iar ulterior, celelalte rate se achită la finele fiecărui an de activitate, </w:t>
            </w:r>
          </w:p>
          <w:p w14:paraId="535F0932" w14:textId="0F750071" w:rsidR="00004740" w:rsidRPr="004866F2" w:rsidRDefault="00A7517B" w:rsidP="00863CD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66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b) o indemnizație unică în mărime de 90 mii lei, pentru absolvenții instituțiilor de învățământ profesional tehnic de profil, care se achită în trei rate egale, o jumătate din prima rată fiind achitată după prima lună de activitate, iar a doua jumătate la finele primului an de activitate, iar ulterior, celelalte rate se achită la finele fiecărui an de activitate</w:t>
            </w:r>
            <w:r w:rsidR="009151B5" w:rsidRPr="004866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37C1D" w:rsidRPr="004866F2" w14:paraId="79F2FE7B" w14:textId="77777777" w:rsidTr="00607762"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172" w14:textId="0DF187A9" w:rsidR="00F37C1D" w:rsidRPr="004866F2" w:rsidRDefault="00F37C1D" w:rsidP="003F165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sz w:val="28"/>
                <w:szCs w:val="28"/>
              </w:rPr>
            </w:pPr>
            <w:r w:rsidRPr="004866F2">
              <w:rPr>
                <w:rStyle w:val="a5"/>
                <w:sz w:val="28"/>
                <w:szCs w:val="28"/>
              </w:rPr>
              <w:t xml:space="preserve">Art. 21 </w:t>
            </w: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Finanțarea culturii</w:t>
            </w:r>
          </w:p>
          <w:p w14:paraId="179BC164" w14:textId="1006D57C" w:rsidR="00F37C1D" w:rsidRPr="004866F2" w:rsidRDefault="00F37C1D" w:rsidP="00F37C1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(1) Finanţarea de către stat a culturii garantează protecţia şi dezvoltarea acesteia.</w:t>
            </w:r>
          </w:p>
          <w:p w14:paraId="17351E6A" w14:textId="5120AC40" w:rsidR="00F37C1D" w:rsidRPr="004866F2" w:rsidRDefault="00F37C1D" w:rsidP="00F37C1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(2) Finanţarea culturii se efectuează de la bugetul de stat şi din bugetele locale, inclusiv din venituri colectate.</w:t>
            </w:r>
          </w:p>
          <w:p w14:paraId="4D70F7FD" w14:textId="472AD455" w:rsidR="00F37C1D" w:rsidRPr="004866F2" w:rsidRDefault="00F37C1D" w:rsidP="00F37C1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lastRenderedPageBreak/>
              <w:t>(2</w:t>
            </w:r>
            <w:r w:rsidRPr="004866F2">
              <w:rPr>
                <w:rStyle w:val="a5"/>
                <w:b w:val="0"/>
                <w:bCs w:val="0"/>
                <w:sz w:val="28"/>
                <w:szCs w:val="28"/>
                <w:vertAlign w:val="superscript"/>
              </w:rPr>
              <w:t>1</w:t>
            </w: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) Mecanismul şi modul de acordare şi utilizare a voucherelor culturale se stabilesc în regulamentul aprobat de Guvern.</w:t>
            </w:r>
          </w:p>
          <w:p w14:paraId="09307580" w14:textId="01E67B28" w:rsidR="00F37C1D" w:rsidRPr="004866F2" w:rsidRDefault="00F37C1D" w:rsidP="00F37C1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sz w:val="28"/>
                <w:szCs w:val="28"/>
              </w:rPr>
            </w:pP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(4) Persoanele juridice şi fizice, indiferent de cetăţenie, au dreptul să creeze, în conformitate cu legislaţia, fonduri pentru finanţarea culturii.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AC66" w14:textId="77777777" w:rsidR="00632334" w:rsidRPr="004866F2" w:rsidRDefault="00632334" w:rsidP="006323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sz w:val="28"/>
                <w:szCs w:val="28"/>
              </w:rPr>
            </w:pPr>
            <w:r w:rsidRPr="004866F2">
              <w:rPr>
                <w:rStyle w:val="a5"/>
                <w:sz w:val="28"/>
                <w:szCs w:val="28"/>
              </w:rPr>
              <w:lastRenderedPageBreak/>
              <w:t xml:space="preserve">Art. 21 </w:t>
            </w: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Finanțarea culturii</w:t>
            </w:r>
          </w:p>
          <w:p w14:paraId="1C61960E" w14:textId="77777777" w:rsidR="00632334" w:rsidRPr="004866F2" w:rsidRDefault="00632334" w:rsidP="006323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(1) Finanţarea de către stat a culturii garantează protecţia şi dezvoltarea acesteia.</w:t>
            </w:r>
          </w:p>
          <w:p w14:paraId="66C6581F" w14:textId="77777777" w:rsidR="00632334" w:rsidRPr="004866F2" w:rsidRDefault="00632334" w:rsidP="006323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(2) Finanţarea culturii se efectuează de la bugetul de stat şi din bugetele locale, inclusiv din venituri colectate.</w:t>
            </w:r>
          </w:p>
          <w:p w14:paraId="622F9093" w14:textId="77777777" w:rsidR="00632334" w:rsidRPr="004866F2" w:rsidRDefault="00632334" w:rsidP="006323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lastRenderedPageBreak/>
              <w:t>(2</w:t>
            </w:r>
            <w:r w:rsidRPr="004866F2">
              <w:rPr>
                <w:rStyle w:val="a5"/>
                <w:b w:val="0"/>
                <w:bCs w:val="0"/>
                <w:sz w:val="28"/>
                <w:szCs w:val="28"/>
                <w:vertAlign w:val="superscript"/>
              </w:rPr>
              <w:t>1</w:t>
            </w: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) Mecanismul şi modul de acordare şi utilizare a voucherelor culturale se stabilesc în regulamentul aprobat de Guvern.</w:t>
            </w:r>
          </w:p>
          <w:p w14:paraId="54412C44" w14:textId="4B1BBBBA" w:rsidR="00632334" w:rsidRPr="004866F2" w:rsidRDefault="00632334" w:rsidP="006323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(2</w:t>
            </w:r>
            <w:r w:rsidRPr="004866F2">
              <w:rPr>
                <w:rStyle w:val="a5"/>
                <w:b w:val="0"/>
                <w:bCs w:val="0"/>
                <w:sz w:val="28"/>
                <w:szCs w:val="28"/>
                <w:vertAlign w:val="superscript"/>
              </w:rPr>
              <w:t>2</w:t>
            </w: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) Autorităţile administraţiei publice centrale de specialitate şi locale sprijină financiar, în limita bugetului aprobat, organizațiile de cultură şi activităţile acestora în bază de proiecte şi programe culturale</w:t>
            </w:r>
          </w:p>
          <w:p w14:paraId="2318654D" w14:textId="55CA4625" w:rsidR="00F37C1D" w:rsidRPr="004866F2" w:rsidRDefault="00632334" w:rsidP="006323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sz w:val="28"/>
                <w:szCs w:val="28"/>
              </w:rPr>
            </w:pPr>
            <w:r w:rsidRPr="004866F2">
              <w:rPr>
                <w:rStyle w:val="a5"/>
                <w:b w:val="0"/>
                <w:bCs w:val="0"/>
                <w:sz w:val="28"/>
                <w:szCs w:val="28"/>
              </w:rPr>
              <w:t>(4) Persoanele juridice şi fizice, indiferent de cetăţenie, au dreptul să creeze, în conformitate cu legislaţia, fonduri pentru finanţarea culturii.</w:t>
            </w:r>
          </w:p>
        </w:tc>
      </w:tr>
    </w:tbl>
    <w:p w14:paraId="280308D0" w14:textId="77777777" w:rsidR="00872856" w:rsidRPr="004866F2" w:rsidRDefault="00872856" w:rsidP="008728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</w:p>
    <w:p w14:paraId="1775E157" w14:textId="77777777" w:rsidR="00872856" w:rsidRPr="004866F2" w:rsidRDefault="00872856" w:rsidP="008728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</w:p>
    <w:p w14:paraId="2187483B" w14:textId="77777777" w:rsidR="00266E15" w:rsidRPr="004866F2" w:rsidRDefault="00266E15" w:rsidP="008728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</w:p>
    <w:p w14:paraId="20528EEA" w14:textId="77777777" w:rsidR="00872856" w:rsidRPr="004866F2" w:rsidRDefault="00872856" w:rsidP="0087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</w:pPr>
      <w:r w:rsidRPr="004866F2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  <w:t xml:space="preserve">                                                                     Sergiu PRODAN</w:t>
      </w:r>
    </w:p>
    <w:p w14:paraId="1A41655A" w14:textId="77777777" w:rsidR="00872856" w:rsidRPr="004866F2" w:rsidRDefault="00872856" w:rsidP="0087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</w:pPr>
      <w:r w:rsidRPr="004866F2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u-RU"/>
          <w14:ligatures w14:val="none"/>
        </w:rPr>
        <w:t xml:space="preserve">                                                                      Ministru</w:t>
      </w:r>
    </w:p>
    <w:p w14:paraId="59D9E5F7" w14:textId="77777777" w:rsidR="00872856" w:rsidRPr="004866F2" w:rsidRDefault="00872856" w:rsidP="008728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</w:p>
    <w:p w14:paraId="17581E62" w14:textId="77777777" w:rsidR="00872856" w:rsidRPr="004866F2" w:rsidRDefault="00872856" w:rsidP="008728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u-RU"/>
          <w14:ligatures w14:val="none"/>
        </w:rPr>
      </w:pPr>
    </w:p>
    <w:p w14:paraId="5FE5B488" w14:textId="77777777" w:rsidR="00872856" w:rsidRPr="004866F2" w:rsidRDefault="00872856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872856" w:rsidRPr="004866F2" w:rsidSect="00266E1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E00"/>
    <w:multiLevelType w:val="hybridMultilevel"/>
    <w:tmpl w:val="6CDA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47F9"/>
    <w:multiLevelType w:val="hybridMultilevel"/>
    <w:tmpl w:val="74CAD904"/>
    <w:lvl w:ilvl="0" w:tplc="EE140C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847E58"/>
    <w:multiLevelType w:val="hybridMultilevel"/>
    <w:tmpl w:val="212C0514"/>
    <w:lvl w:ilvl="0" w:tplc="085887F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92907251">
    <w:abstractNumId w:val="1"/>
  </w:num>
  <w:num w:numId="2" w16cid:durableId="750004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491500">
    <w:abstractNumId w:val="0"/>
  </w:num>
  <w:num w:numId="4" w16cid:durableId="540485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56"/>
    <w:rsid w:val="00004740"/>
    <w:rsid w:val="000C10F9"/>
    <w:rsid w:val="00203E17"/>
    <w:rsid w:val="00266E15"/>
    <w:rsid w:val="003314B6"/>
    <w:rsid w:val="0036346C"/>
    <w:rsid w:val="003F1655"/>
    <w:rsid w:val="00432A67"/>
    <w:rsid w:val="004866F2"/>
    <w:rsid w:val="00607762"/>
    <w:rsid w:val="00632334"/>
    <w:rsid w:val="007200A2"/>
    <w:rsid w:val="00851E8E"/>
    <w:rsid w:val="00863CD9"/>
    <w:rsid w:val="00872856"/>
    <w:rsid w:val="009151B5"/>
    <w:rsid w:val="00A5731F"/>
    <w:rsid w:val="00A7517B"/>
    <w:rsid w:val="00A76763"/>
    <w:rsid w:val="00AE3CCA"/>
    <w:rsid w:val="00B272D4"/>
    <w:rsid w:val="00BB76D4"/>
    <w:rsid w:val="00E029DD"/>
    <w:rsid w:val="00F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31EF"/>
  <w15:chartTrackingRefBased/>
  <w15:docId w15:val="{6C8AB2B0-C17D-4DB7-824B-72BC3B6A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856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6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266E15"/>
    <w:rPr>
      <w:b/>
      <w:bCs/>
    </w:rPr>
  </w:style>
  <w:style w:type="paragraph" w:styleId="a6">
    <w:name w:val="List Paragraph"/>
    <w:basedOn w:val="a"/>
    <w:uiPriority w:val="34"/>
    <w:qFormat/>
    <w:rsid w:val="0060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32</cp:revision>
  <cp:lastPrinted>2023-09-11T05:39:00Z</cp:lastPrinted>
  <dcterms:created xsi:type="dcterms:W3CDTF">2023-09-06T10:58:00Z</dcterms:created>
  <dcterms:modified xsi:type="dcterms:W3CDTF">2023-10-24T05:38:00Z</dcterms:modified>
</cp:coreProperties>
</file>