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08F7" w14:textId="77777777" w:rsidR="003D1D21" w:rsidRDefault="003D1D21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  <w:lang w:val="ro-MD"/>
        </w:rPr>
      </w:pPr>
    </w:p>
    <w:p w14:paraId="31060A94" w14:textId="533CF23E" w:rsidR="008D6564" w:rsidRPr="00B0281A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6"/>
          <w:szCs w:val="26"/>
          <w:lang w:val="ro-MD"/>
        </w:rPr>
      </w:pPr>
      <w:r w:rsidRPr="00B0281A">
        <w:rPr>
          <w:b/>
          <w:sz w:val="26"/>
          <w:szCs w:val="26"/>
          <w:lang w:val="ro-MD"/>
        </w:rPr>
        <w:t>NOTĂ INFORMATIVĂ</w:t>
      </w:r>
    </w:p>
    <w:p w14:paraId="4014943B" w14:textId="1E1AD732" w:rsidR="00F62D67" w:rsidRPr="00B0281A" w:rsidRDefault="008D6564" w:rsidP="00F62D67">
      <w:pPr>
        <w:jc w:val="center"/>
        <w:rPr>
          <w:b/>
          <w:sz w:val="26"/>
          <w:szCs w:val="26"/>
        </w:rPr>
      </w:pPr>
      <w:r w:rsidRPr="00B0281A">
        <w:rPr>
          <w:b/>
          <w:sz w:val="26"/>
          <w:szCs w:val="26"/>
          <w:lang w:val="ro-MD"/>
        </w:rPr>
        <w:t xml:space="preserve">la proiectul de hotărâre </w:t>
      </w:r>
      <w:r w:rsidR="00F62D67" w:rsidRPr="00B0281A">
        <w:rPr>
          <w:b/>
          <w:sz w:val="26"/>
          <w:szCs w:val="26"/>
          <w:lang w:val="ro-MD"/>
        </w:rPr>
        <w:t>”</w:t>
      </w:r>
      <w:r w:rsidR="00F62D67" w:rsidRPr="00B0281A">
        <w:rPr>
          <w:b/>
          <w:sz w:val="26"/>
          <w:szCs w:val="26"/>
        </w:rPr>
        <w:t>Cu privire la alocarea mijloacelor financiare”</w:t>
      </w:r>
    </w:p>
    <w:p w14:paraId="4FD09646" w14:textId="708782AF" w:rsidR="008D6564" w:rsidRPr="00F62D67" w:rsidRDefault="008D6564" w:rsidP="008D6564">
      <w:pPr>
        <w:tabs>
          <w:tab w:val="left" w:pos="884"/>
          <w:tab w:val="left" w:pos="1196"/>
        </w:tabs>
        <w:spacing w:after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8D6564" w:rsidRPr="00B0281A" w14:paraId="18B31631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599CF51" w14:textId="77777777" w:rsidR="008D6564" w:rsidRPr="00B0281A" w:rsidRDefault="008D6564" w:rsidP="008D656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 Denumirea autorului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, după caz, a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participanţilor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la elaborarea proiectului</w:t>
            </w:r>
          </w:p>
        </w:tc>
      </w:tr>
      <w:tr w:rsidR="008D6564" w:rsidRPr="00B0281A" w14:paraId="742BB450" w14:textId="77777777" w:rsidTr="00352C5E">
        <w:tc>
          <w:tcPr>
            <w:tcW w:w="5000" w:type="pct"/>
          </w:tcPr>
          <w:p w14:paraId="29671F62" w14:textId="38F0C06B" w:rsidR="008D6564" w:rsidRPr="00B0281A" w:rsidRDefault="00F62D67" w:rsidP="00F62D67">
            <w:pPr>
              <w:tabs>
                <w:tab w:val="left" w:pos="884"/>
                <w:tab w:val="left" w:pos="1196"/>
              </w:tabs>
              <w:spacing w:after="0"/>
              <w:ind w:firstLine="567"/>
              <w:jc w:val="both"/>
              <w:rPr>
                <w:rFonts w:cs="Times New Roman"/>
                <w:sz w:val="26"/>
                <w:szCs w:val="26"/>
                <w:lang w:val="ro-MD"/>
              </w:rPr>
            </w:pPr>
            <w:r w:rsidRPr="00B0281A">
              <w:rPr>
                <w:rFonts w:eastAsia="Calibri" w:cs="Times New Roman"/>
                <w:sz w:val="26"/>
                <w:szCs w:val="26"/>
                <w:lang w:val="ro-MD"/>
              </w:rPr>
              <w:t xml:space="preserve">Prezentul proiect de hotărâre este elaborat de către </w:t>
            </w:r>
            <w:r w:rsidRPr="00B0281A">
              <w:rPr>
                <w:rFonts w:cs="Times New Roman"/>
                <w:sz w:val="26"/>
                <w:szCs w:val="26"/>
                <w:lang w:val="ro-MD"/>
              </w:rPr>
              <w:t>Ministerul Sănătății.</w:t>
            </w:r>
          </w:p>
        </w:tc>
      </w:tr>
      <w:tr w:rsidR="008D6564" w:rsidRPr="00B0281A" w14:paraId="6AE54DC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BB1465D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2.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Condiţiile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ce au impus elaborarea proiectului de act normativ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finalităţile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urmărite</w:t>
            </w:r>
          </w:p>
        </w:tc>
      </w:tr>
      <w:tr w:rsidR="008D6564" w:rsidRPr="00B0281A" w14:paraId="1FA8C94A" w14:textId="77777777" w:rsidTr="00352C5E">
        <w:tc>
          <w:tcPr>
            <w:tcW w:w="5000" w:type="pct"/>
          </w:tcPr>
          <w:p w14:paraId="1684E078" w14:textId="77777777" w:rsidR="00F62D67" w:rsidRPr="00074135" w:rsidRDefault="00F62D67" w:rsidP="00074135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  <w:lang w:val="ro-MD"/>
              </w:rPr>
            </w:pPr>
            <w:r w:rsidRPr="00074135">
              <w:rPr>
                <w:sz w:val="26"/>
                <w:szCs w:val="26"/>
              </w:rPr>
              <w:t xml:space="preserve">Proiectul a fost elaborat în conformitate cu prevederile art. 19 lit. g) </w:t>
            </w:r>
            <w:proofErr w:type="spellStart"/>
            <w:r w:rsidRPr="00074135">
              <w:rPr>
                <w:sz w:val="26"/>
                <w:szCs w:val="26"/>
              </w:rPr>
              <w:t>şi</w:t>
            </w:r>
            <w:proofErr w:type="spellEnd"/>
            <w:r w:rsidRPr="00074135">
              <w:rPr>
                <w:sz w:val="26"/>
                <w:szCs w:val="26"/>
              </w:rPr>
              <w:t xml:space="preserve"> art. 36 alin.(1) lit. b) din Legea finanțelor publice </w:t>
            </w:r>
            <w:proofErr w:type="spellStart"/>
            <w:r w:rsidRPr="00074135">
              <w:rPr>
                <w:sz w:val="26"/>
                <w:szCs w:val="26"/>
              </w:rPr>
              <w:t>şi</w:t>
            </w:r>
            <w:proofErr w:type="spellEnd"/>
            <w:r w:rsidRPr="00074135">
              <w:rPr>
                <w:sz w:val="26"/>
                <w:szCs w:val="26"/>
              </w:rPr>
              <w:t xml:space="preserve"> responsabilității bugetar-fiscale nr. 181/2014, pct. 6 </w:t>
            </w:r>
            <w:proofErr w:type="spellStart"/>
            <w:r w:rsidRPr="00074135">
              <w:rPr>
                <w:sz w:val="26"/>
                <w:szCs w:val="26"/>
              </w:rPr>
              <w:t>şi</w:t>
            </w:r>
            <w:proofErr w:type="spellEnd"/>
            <w:r w:rsidRPr="00074135">
              <w:rPr>
                <w:sz w:val="26"/>
                <w:szCs w:val="26"/>
              </w:rPr>
              <w:t xml:space="preserve"> pct. 9 din Regulamentul privind gestionarea fondurilor de urgență ale Guvernului, aprobat prin Hotărârea Guvernului nr. 862/2015, precum </w:t>
            </w:r>
            <w:proofErr w:type="spellStart"/>
            <w:r w:rsidRPr="00074135">
              <w:rPr>
                <w:sz w:val="26"/>
                <w:szCs w:val="26"/>
              </w:rPr>
              <w:t>şi</w:t>
            </w:r>
            <w:proofErr w:type="spellEnd"/>
            <w:r w:rsidRPr="00074135">
              <w:rPr>
                <w:sz w:val="26"/>
                <w:szCs w:val="26"/>
              </w:rPr>
              <w:t xml:space="preserve"> în conformitate</w:t>
            </w:r>
            <w:r w:rsidRPr="00074135">
              <w:rPr>
                <w:sz w:val="26"/>
                <w:szCs w:val="26"/>
                <w:lang w:val="ro-MD"/>
              </w:rPr>
              <w:t xml:space="preserve"> cu dispoziția Comisiei pentru Situații Excepționale a Republicii Moldova nr.81 din 13 septembrie 2023.</w:t>
            </w:r>
          </w:p>
          <w:p w14:paraId="49C6B69D" w14:textId="33EC350C" w:rsidR="00074135" w:rsidRPr="00074135" w:rsidRDefault="00074135" w:rsidP="00074135">
            <w:pPr>
              <w:spacing w:after="0"/>
              <w:ind w:firstLine="589"/>
              <w:jc w:val="both"/>
              <w:rPr>
                <w:rFonts w:cs="Times New Roman"/>
                <w:bCs/>
                <w:sz w:val="26"/>
                <w:szCs w:val="26"/>
                <w:lang w:val="ro-MD"/>
              </w:rPr>
            </w:pPr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Ca urmare a calamității naturale însoțită de ploi torențiale, grindină și vânt puternic, din data de 25 iulie a.c. în </w:t>
            </w:r>
            <w:proofErr w:type="spellStart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>or.Edineț</w:t>
            </w:r>
            <w:proofErr w:type="spellEnd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>, au fost deteriorate și descoperite totalmente acoperișurile clădirii administrative</w:t>
            </w:r>
            <w:r>
              <w:rPr>
                <w:rFonts w:cs="Times New Roman"/>
                <w:bCs/>
                <w:sz w:val="26"/>
                <w:szCs w:val="26"/>
                <w:lang w:val="ro-MD"/>
              </w:rPr>
              <w:t xml:space="preserve"> și</w:t>
            </w:r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 garajului Centrului de Sănătate Publică </w:t>
            </w:r>
            <w:proofErr w:type="spellStart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>Edineț</w:t>
            </w:r>
            <w:proofErr w:type="spellEnd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, subdiviziune a Agenției Naționale de Sănătate Publică. </w:t>
            </w:r>
          </w:p>
          <w:p w14:paraId="79E6A083" w14:textId="277B439C" w:rsidR="00074135" w:rsidRPr="00B0281A" w:rsidRDefault="00CC23F9" w:rsidP="00074135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</w:rPr>
            </w:pPr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Astfel, în scopul compensării cheltuielilor </w:t>
            </w:r>
            <w:r w:rsidRPr="00074135">
              <w:rPr>
                <w:rFonts w:cs="Times New Roman"/>
                <w:sz w:val="26"/>
                <w:szCs w:val="26"/>
              </w:rPr>
              <w:t>necesare pentru</w:t>
            </w:r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 înlăturarea </w:t>
            </w:r>
            <w:proofErr w:type="spellStart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>consecinţelor</w:t>
            </w:r>
            <w:proofErr w:type="spellEnd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>calamităţilor</w:t>
            </w:r>
            <w:proofErr w:type="spellEnd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 naturale</w:t>
            </w:r>
            <w:r w:rsid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, </w:t>
            </w:r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ce țin de reparația capitală a acoperișurilor la edificiile Centrului de Sănătate Publică </w:t>
            </w:r>
            <w:proofErr w:type="spellStart"/>
            <w:r w:rsidRPr="00074135">
              <w:rPr>
                <w:rFonts w:cs="Times New Roman"/>
                <w:bCs/>
                <w:sz w:val="26"/>
                <w:szCs w:val="26"/>
                <w:lang w:val="ro-MD"/>
              </w:rPr>
              <w:t>Edineț</w:t>
            </w:r>
            <w:proofErr w:type="spellEnd"/>
            <w:r w:rsid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, </w:t>
            </w:r>
            <w:r w:rsidRPr="00074135">
              <w:rPr>
                <w:sz w:val="26"/>
                <w:szCs w:val="26"/>
              </w:rPr>
              <w:t xml:space="preserve"> </w:t>
            </w:r>
            <w:r w:rsidR="00074135" w:rsidRPr="00074135">
              <w:rPr>
                <w:rFonts w:cs="Times New Roman"/>
                <w:bCs/>
                <w:sz w:val="26"/>
                <w:szCs w:val="26"/>
                <w:lang w:val="ro-MD"/>
              </w:rPr>
              <w:t>subdiviziune a Agenției Naționale de Sănătate Publică</w:t>
            </w:r>
            <w:r w:rsidR="00074135" w:rsidRPr="00074135">
              <w:rPr>
                <w:sz w:val="26"/>
                <w:szCs w:val="26"/>
              </w:rPr>
              <w:t xml:space="preserve"> </w:t>
            </w:r>
            <w:r w:rsidR="00ED501A">
              <w:rPr>
                <w:sz w:val="26"/>
                <w:szCs w:val="26"/>
              </w:rPr>
              <w:t>a fost elaborat proiectul de hotărâre a Guvernului prin care se dispune alocarea mijloacelor financiare din fondul de intervenție a Guvernului în sumă de 2.775,0 mii lei.</w:t>
            </w:r>
          </w:p>
        </w:tc>
      </w:tr>
      <w:tr w:rsidR="008D6564" w:rsidRPr="00B0281A" w14:paraId="6960D13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93ECD90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legislaţiei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naţionale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cu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legislaţia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Uniunii Europene</w:t>
            </w:r>
          </w:p>
        </w:tc>
      </w:tr>
      <w:tr w:rsidR="008D6564" w:rsidRPr="00B0281A" w14:paraId="2013A388" w14:textId="77777777" w:rsidTr="00352C5E">
        <w:tc>
          <w:tcPr>
            <w:tcW w:w="5000" w:type="pct"/>
          </w:tcPr>
          <w:p w14:paraId="42465ABC" w14:textId="588EDE40" w:rsidR="008D6564" w:rsidRPr="00B0281A" w:rsidRDefault="00CC23F9" w:rsidP="00C03A5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Proiectul hotărârii de Guvern nu conține norme privind armonizarea legislației naționale cu legislația </w:t>
            </w:r>
            <w:r w:rsidR="0021071F" w:rsidRPr="00B0281A">
              <w:rPr>
                <w:sz w:val="26"/>
                <w:szCs w:val="26"/>
                <w:lang w:val="ro-MD"/>
              </w:rPr>
              <w:t>naționale cu legislația Uniunii Europene.</w:t>
            </w:r>
          </w:p>
        </w:tc>
      </w:tr>
      <w:tr w:rsidR="008D6564" w:rsidRPr="00B0281A" w14:paraId="2FBB376C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2C756BF4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4. Principalele prevederi ale proiectului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evidenţierea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elementelor noi</w:t>
            </w:r>
          </w:p>
        </w:tc>
      </w:tr>
      <w:tr w:rsidR="008D6564" w:rsidRPr="00B0281A" w14:paraId="7E9C5DCB" w14:textId="77777777" w:rsidTr="00352C5E">
        <w:tc>
          <w:tcPr>
            <w:tcW w:w="5000" w:type="pct"/>
          </w:tcPr>
          <w:p w14:paraId="27CFF2A1" w14:textId="77777777" w:rsidR="008D6564" w:rsidRDefault="00C03A57" w:rsidP="00C03A5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</w:rPr>
            </w:pPr>
            <w:r w:rsidRPr="00B0281A">
              <w:rPr>
                <w:sz w:val="26"/>
                <w:szCs w:val="26"/>
              </w:rPr>
              <w:t xml:space="preserve">Prezentul proiect de hotărâre a Guvernului prevede alocarea din fondul de </w:t>
            </w:r>
            <w:r w:rsidRPr="00074135">
              <w:rPr>
                <w:sz w:val="26"/>
                <w:szCs w:val="26"/>
              </w:rPr>
              <w:t xml:space="preserve">intervenție al Guvernului mijloace financiare în sumă de 2.775,0 mii lei, Ministerului Sănătății pentru acoperirea cheltuielilor de reparații capitale a acoperișurilor la edificiile Centrului de Sănătate Publică </w:t>
            </w:r>
            <w:proofErr w:type="spellStart"/>
            <w:r w:rsidRPr="00074135">
              <w:rPr>
                <w:sz w:val="26"/>
                <w:szCs w:val="26"/>
              </w:rPr>
              <w:t>Edineț</w:t>
            </w:r>
            <w:proofErr w:type="spellEnd"/>
            <w:r w:rsidRPr="00074135">
              <w:rPr>
                <w:sz w:val="26"/>
                <w:szCs w:val="26"/>
              </w:rPr>
              <w:t xml:space="preserve">, </w:t>
            </w:r>
            <w:r w:rsidR="00074135" w:rsidRPr="00074135">
              <w:rPr>
                <w:rFonts w:cs="Times New Roman"/>
                <w:bCs/>
                <w:sz w:val="26"/>
                <w:szCs w:val="26"/>
                <w:lang w:val="ro-MD"/>
              </w:rPr>
              <w:t xml:space="preserve">subdiviziune a Agenției Naționale de Sănătate Publică. </w:t>
            </w:r>
            <w:r w:rsidRPr="00074135">
              <w:rPr>
                <w:sz w:val="26"/>
                <w:szCs w:val="26"/>
              </w:rPr>
              <w:t>ca rezultat al consecințelor calamităților</w:t>
            </w:r>
            <w:r w:rsidRPr="00B0281A">
              <w:rPr>
                <w:sz w:val="26"/>
                <w:szCs w:val="26"/>
              </w:rPr>
              <w:t xml:space="preserve"> naturale din data de 25 iulie 2023.</w:t>
            </w:r>
          </w:p>
          <w:p w14:paraId="3C4A0486" w14:textId="3D7D73C8" w:rsidR="00056B31" w:rsidRPr="00B0281A" w:rsidRDefault="00056B31" w:rsidP="00C03A57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Totodată, se propune  ca proiectul să intre în vigoare la data publicării în Monitorul Oficial al Republicii Moldova, ținând cont de necesitatea asigurării finanțării respectivelor lucrări.</w:t>
            </w:r>
          </w:p>
        </w:tc>
      </w:tr>
      <w:tr w:rsidR="008D6564" w:rsidRPr="00B0281A" w14:paraId="2A410944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4FC74223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5. Fundamentarea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economico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>-financiară</w:t>
            </w:r>
          </w:p>
        </w:tc>
      </w:tr>
      <w:tr w:rsidR="008D6564" w:rsidRPr="00B0281A" w14:paraId="4175A9ED" w14:textId="77777777" w:rsidTr="00352C5E">
        <w:tc>
          <w:tcPr>
            <w:tcW w:w="5000" w:type="pct"/>
          </w:tcPr>
          <w:p w14:paraId="1C0D334C" w14:textId="4B50AAC9" w:rsidR="0028735A" w:rsidRPr="00B0281A" w:rsidRDefault="00C03A57" w:rsidP="0028735A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Implementarea prezentei hotărâri va implica cheltuieli </w:t>
            </w:r>
            <w:r w:rsidR="003E4CF4" w:rsidRPr="00B0281A">
              <w:rPr>
                <w:sz w:val="26"/>
                <w:szCs w:val="26"/>
                <w:lang w:val="ro-MD"/>
              </w:rPr>
              <w:t>financiare din bugetul de stat, din fondul de intervenție al Guvernului, în sumă totală de 2.775,0 mii lei.</w:t>
            </w:r>
          </w:p>
        </w:tc>
      </w:tr>
      <w:tr w:rsidR="008D6564" w:rsidRPr="00B0281A" w14:paraId="00C344E0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A04AF3B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>6. Modul de încorporare a actului în cadrul normativ în vigoare</w:t>
            </w:r>
          </w:p>
        </w:tc>
      </w:tr>
      <w:tr w:rsidR="008D6564" w:rsidRPr="00B0281A" w14:paraId="58FA24F6" w14:textId="77777777" w:rsidTr="00352C5E">
        <w:tc>
          <w:tcPr>
            <w:tcW w:w="5000" w:type="pct"/>
          </w:tcPr>
          <w:p w14:paraId="5E360211" w14:textId="6EFD966D" w:rsidR="008D6564" w:rsidRPr="00B0281A" w:rsidRDefault="003E4CF4" w:rsidP="003E4CF4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</w:rPr>
              <w:t>Prezentul proiect de hotărâre nu necesită modificarea sau elaborarea unor acte normative noi.</w:t>
            </w:r>
          </w:p>
        </w:tc>
      </w:tr>
      <w:tr w:rsidR="008D6564" w:rsidRPr="00B0281A" w14:paraId="42B5BD03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F68CE0F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 xml:space="preserve">7. Avizarea </w:t>
            </w:r>
            <w:proofErr w:type="spellStart"/>
            <w:r w:rsidRPr="00B0281A">
              <w:rPr>
                <w:sz w:val="26"/>
                <w:szCs w:val="26"/>
                <w:lang w:val="ro-MD"/>
              </w:rPr>
              <w:t>şi</w:t>
            </w:r>
            <w:proofErr w:type="spellEnd"/>
            <w:r w:rsidRPr="00B0281A">
              <w:rPr>
                <w:sz w:val="26"/>
                <w:szCs w:val="26"/>
                <w:lang w:val="ro-MD"/>
              </w:rPr>
              <w:t xml:space="preserve"> consultarea publică a proiectului</w:t>
            </w:r>
          </w:p>
        </w:tc>
      </w:tr>
      <w:tr w:rsidR="008D6564" w:rsidRPr="00B0281A" w14:paraId="77FD8356" w14:textId="77777777" w:rsidTr="00352C5E">
        <w:tc>
          <w:tcPr>
            <w:tcW w:w="5000" w:type="pct"/>
          </w:tcPr>
          <w:p w14:paraId="197A728F" w14:textId="5F171881" w:rsidR="003E4CF4" w:rsidRDefault="00B0281A" w:rsidP="00B0281A">
            <w:pPr>
              <w:pStyle w:val="Default"/>
              <w:spacing w:after="60"/>
              <w:ind w:left="22" w:firstLine="567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>Î</w:t>
            </w:r>
            <w:r w:rsidR="003E4CF4" w:rsidRPr="00B0281A">
              <w:rPr>
                <w:sz w:val="26"/>
                <w:szCs w:val="26"/>
                <w:lang w:val="ro-MD"/>
              </w:rPr>
              <w:t xml:space="preserve">n scopul respectării prevederilor Legii nr.239/2008 privind transparența în procesul decizional, proiectul hotărârii Guvernului ”Cu privire la alocarea mijloacelor financiare” </w:t>
            </w:r>
            <w:r w:rsidR="003D1D21">
              <w:rPr>
                <w:sz w:val="26"/>
                <w:szCs w:val="26"/>
                <w:lang w:val="ro-MD"/>
              </w:rPr>
              <w:t>va fi</w:t>
            </w:r>
            <w:r w:rsidR="003E4CF4" w:rsidRPr="00B0281A">
              <w:rPr>
                <w:sz w:val="26"/>
                <w:szCs w:val="26"/>
                <w:lang w:val="ro-MD"/>
              </w:rPr>
              <w:t xml:space="preserve"> plasat pe pagina web oficială a Ministerului Sănătății www.ms.gov.md, în directoriul Transparența decizională</w:t>
            </w:r>
            <w:r w:rsidR="003D1D21">
              <w:rPr>
                <w:sz w:val="26"/>
                <w:szCs w:val="26"/>
                <w:lang w:val="ro-MD"/>
              </w:rPr>
              <w:t>.</w:t>
            </w:r>
          </w:p>
          <w:p w14:paraId="5FC4E35A" w14:textId="77777777" w:rsidR="00074135" w:rsidRDefault="00074135" w:rsidP="00B0281A">
            <w:pPr>
              <w:pStyle w:val="Default"/>
              <w:spacing w:after="60"/>
              <w:ind w:left="22" w:firstLine="567"/>
              <w:jc w:val="both"/>
              <w:rPr>
                <w:color w:val="0563C1" w:themeColor="hyperlink"/>
                <w:sz w:val="26"/>
                <w:szCs w:val="26"/>
                <w:u w:val="single"/>
                <w:lang w:val="ro-MD"/>
              </w:rPr>
            </w:pPr>
          </w:p>
          <w:p w14:paraId="5120F255" w14:textId="6ECC0F41" w:rsidR="0028735A" w:rsidRPr="00B0281A" w:rsidRDefault="0028735A" w:rsidP="00B0281A">
            <w:pPr>
              <w:pStyle w:val="Default"/>
              <w:spacing w:after="60"/>
              <w:ind w:left="22" w:firstLine="567"/>
              <w:jc w:val="both"/>
              <w:rPr>
                <w:color w:val="0563C1" w:themeColor="hyperlink"/>
                <w:sz w:val="26"/>
                <w:szCs w:val="26"/>
                <w:u w:val="single"/>
                <w:lang w:val="ro-MD"/>
              </w:rPr>
            </w:pPr>
          </w:p>
        </w:tc>
      </w:tr>
      <w:tr w:rsidR="008D6564" w:rsidRPr="00B0281A" w14:paraId="68CEEF97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3A47FFD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lastRenderedPageBreak/>
              <w:t>8. Constatările expertizei anticorupție</w:t>
            </w:r>
          </w:p>
        </w:tc>
      </w:tr>
      <w:tr w:rsidR="008D6564" w:rsidRPr="00B0281A" w14:paraId="1E5848B9" w14:textId="77777777" w:rsidTr="00352C5E">
        <w:tc>
          <w:tcPr>
            <w:tcW w:w="5000" w:type="pct"/>
          </w:tcPr>
          <w:p w14:paraId="65CA5629" w14:textId="28D86E02" w:rsidR="00074135" w:rsidRPr="0028735A" w:rsidRDefault="00B0281A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cs="Times New Roman"/>
                <w:sz w:val="26"/>
                <w:szCs w:val="26"/>
              </w:rPr>
            </w:pPr>
            <w:r w:rsidRPr="00B0281A">
              <w:rPr>
                <w:rFonts w:cs="Times New Roman"/>
                <w:sz w:val="26"/>
                <w:szCs w:val="26"/>
              </w:rPr>
              <w:t xml:space="preserve">Proiectul de hotărâre urmează a fi supus expertizei anticorupție, conform art. 35 din Legea nr.100/2017 cu privire la actele normative, iar rezultatele acesteia vor </w:t>
            </w:r>
            <w:r w:rsidR="00074135">
              <w:rPr>
                <w:rFonts w:cs="Times New Roman"/>
                <w:sz w:val="26"/>
                <w:szCs w:val="26"/>
              </w:rPr>
              <w:t xml:space="preserve">fi </w:t>
            </w:r>
            <w:r w:rsidRPr="00B0281A">
              <w:rPr>
                <w:rFonts w:cs="Times New Roman"/>
                <w:sz w:val="26"/>
                <w:szCs w:val="26"/>
              </w:rPr>
              <w:t>incluse în sinteza obiecțiilor și propunerilor la proiect.</w:t>
            </w:r>
          </w:p>
        </w:tc>
      </w:tr>
      <w:tr w:rsidR="008D6564" w:rsidRPr="00B0281A" w14:paraId="363936FD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3BEAB547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>9. Constatările expertizei de compatibilitate</w:t>
            </w:r>
          </w:p>
        </w:tc>
      </w:tr>
      <w:tr w:rsidR="008D6564" w:rsidRPr="00B0281A" w14:paraId="20D42339" w14:textId="77777777" w:rsidTr="00352C5E">
        <w:tc>
          <w:tcPr>
            <w:tcW w:w="5000" w:type="pct"/>
          </w:tcPr>
          <w:p w14:paraId="4BFF6BB7" w14:textId="07BBE256" w:rsidR="00B0281A" w:rsidRPr="00B0281A" w:rsidRDefault="00B0281A" w:rsidP="00074135">
            <w:pPr>
              <w:tabs>
                <w:tab w:val="left" w:pos="884"/>
                <w:tab w:val="left" w:pos="1196"/>
              </w:tabs>
              <w:spacing w:after="0"/>
              <w:ind w:firstLine="567"/>
              <w:jc w:val="both"/>
              <w:rPr>
                <w:rFonts w:cs="Times New Roman"/>
                <w:sz w:val="26"/>
                <w:szCs w:val="26"/>
                <w:lang w:val="ro-MD"/>
              </w:rPr>
            </w:pPr>
            <w:r w:rsidRPr="00B0281A">
              <w:rPr>
                <w:rFonts w:cs="Times New Roman"/>
                <w:sz w:val="26"/>
                <w:szCs w:val="26"/>
              </w:rPr>
              <w:t xml:space="preserve">Proiectul nu conține norme </w:t>
            </w:r>
            <w:r w:rsidRPr="00B0281A">
              <w:rPr>
                <w:rFonts w:cs="Times New Roman"/>
                <w:sz w:val="26"/>
                <w:szCs w:val="26"/>
                <w:lang w:val="ro-MD"/>
              </w:rPr>
              <w:t xml:space="preserve">privind armonizarea legislației naționale cu legislația Uniunii Europene, </w:t>
            </w:r>
            <w:proofErr w:type="spellStart"/>
            <w:r w:rsidRPr="00B0281A">
              <w:rPr>
                <w:rFonts w:cs="Times New Roman"/>
                <w:sz w:val="26"/>
                <w:szCs w:val="26"/>
                <w:lang w:val="ro-MD"/>
              </w:rPr>
              <w:t>exceptîndu</w:t>
            </w:r>
            <w:proofErr w:type="spellEnd"/>
            <w:r w:rsidRPr="00B0281A">
              <w:rPr>
                <w:rFonts w:cs="Times New Roman"/>
                <w:sz w:val="26"/>
                <w:szCs w:val="26"/>
                <w:lang w:val="ro-MD"/>
              </w:rPr>
              <w:t>-se astfel efectuarea expertizei de compatibilitate.</w:t>
            </w:r>
          </w:p>
        </w:tc>
      </w:tr>
      <w:tr w:rsidR="008D6564" w:rsidRPr="00B0281A" w14:paraId="1E6DCF52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05581016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>10. Constatările expertizei juridice</w:t>
            </w:r>
          </w:p>
        </w:tc>
      </w:tr>
      <w:tr w:rsidR="008D6564" w:rsidRPr="00B0281A" w14:paraId="12333650" w14:textId="77777777" w:rsidTr="00352C5E">
        <w:tc>
          <w:tcPr>
            <w:tcW w:w="5000" w:type="pct"/>
          </w:tcPr>
          <w:p w14:paraId="75B74085" w14:textId="00B171F1" w:rsidR="008D6564" w:rsidRPr="00B0281A" w:rsidRDefault="00B0281A" w:rsidP="00074135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</w:rPr>
              <w:t>Proiectul de hotărâre urmează a fi supus expertizei juridice, conform art.37 din Legea nr.100/2017 cu privire la actele normative, iar rezultatele examinării acesteia vor fi reflectate în sinteza obiecțiilor și propunerilor la proiect.</w:t>
            </w:r>
          </w:p>
        </w:tc>
      </w:tr>
      <w:tr w:rsidR="008D6564" w:rsidRPr="00B0281A" w14:paraId="043528CE" w14:textId="77777777" w:rsidTr="00352C5E">
        <w:tc>
          <w:tcPr>
            <w:tcW w:w="5000" w:type="pct"/>
            <w:shd w:val="clear" w:color="auto" w:fill="EDEDED" w:themeFill="accent3" w:themeFillTint="33"/>
          </w:tcPr>
          <w:p w14:paraId="51B7689D" w14:textId="77777777" w:rsidR="008D6564" w:rsidRPr="00B0281A" w:rsidRDefault="008D6564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  <w:lang w:val="ro-MD"/>
              </w:rPr>
              <w:t>11. Constatările altor expertize</w:t>
            </w:r>
          </w:p>
        </w:tc>
      </w:tr>
      <w:tr w:rsidR="008D6564" w:rsidRPr="00B0281A" w14:paraId="53989ADB" w14:textId="77777777" w:rsidTr="00352C5E">
        <w:tc>
          <w:tcPr>
            <w:tcW w:w="5000" w:type="pct"/>
          </w:tcPr>
          <w:p w14:paraId="34333C4A" w14:textId="77777777" w:rsidR="00B0281A" w:rsidRDefault="00B0281A" w:rsidP="00074135">
            <w:pPr>
              <w:tabs>
                <w:tab w:val="left" w:pos="884"/>
                <w:tab w:val="left" w:pos="1196"/>
              </w:tabs>
              <w:spacing w:after="0"/>
              <w:ind w:firstLine="589"/>
              <w:jc w:val="both"/>
              <w:rPr>
                <w:sz w:val="26"/>
                <w:szCs w:val="26"/>
              </w:rPr>
            </w:pPr>
            <w:r w:rsidRPr="00B0281A">
              <w:rPr>
                <w:sz w:val="26"/>
                <w:szCs w:val="26"/>
              </w:rPr>
              <w:t xml:space="preserve">Proiectul nu conține prevederi de reglementare a activității de întreprinzător în sensul Legii nr. 235/2006 cu privire la principiile de bază de reglementare a activității de întreprinzător, astfel decăzând necesitatea examinării acestuia de către Grupul de lucru pentru reglementarea activității de întreprinzător. </w:t>
            </w:r>
          </w:p>
          <w:p w14:paraId="066B0B2E" w14:textId="1200FF59" w:rsidR="008D6564" w:rsidRPr="00B0281A" w:rsidRDefault="00B0281A" w:rsidP="00352C5E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sz w:val="26"/>
                <w:szCs w:val="26"/>
                <w:lang w:val="ro-MD"/>
              </w:rPr>
            </w:pPr>
            <w:r w:rsidRPr="00B0281A">
              <w:rPr>
                <w:sz w:val="26"/>
                <w:szCs w:val="26"/>
              </w:rPr>
              <w:t>Suplimentar, evocăm că proiectul nu cade sub incidența altor expertize necesare a fi efectuate în condițiile Legii nr.100/2017</w:t>
            </w:r>
            <w:r w:rsidR="0028735A">
              <w:rPr>
                <w:sz w:val="26"/>
                <w:szCs w:val="26"/>
              </w:rPr>
              <w:t>.</w:t>
            </w:r>
          </w:p>
        </w:tc>
      </w:tr>
    </w:tbl>
    <w:p w14:paraId="7FE6059B" w14:textId="77777777" w:rsidR="003E4CF4" w:rsidRDefault="003E4CF4" w:rsidP="003E4CF4">
      <w:pPr>
        <w:tabs>
          <w:tab w:val="left" w:pos="884"/>
          <w:tab w:val="left" w:pos="1196"/>
        </w:tabs>
        <w:spacing w:after="0"/>
        <w:jc w:val="center"/>
        <w:rPr>
          <w:b/>
          <w:bCs/>
        </w:rPr>
      </w:pPr>
    </w:p>
    <w:p w14:paraId="4ACE53B1" w14:textId="77777777" w:rsidR="00B0281A" w:rsidRDefault="00B0281A" w:rsidP="003E4CF4">
      <w:pPr>
        <w:tabs>
          <w:tab w:val="left" w:pos="884"/>
          <w:tab w:val="left" w:pos="1196"/>
        </w:tabs>
        <w:spacing w:after="0"/>
        <w:jc w:val="center"/>
        <w:rPr>
          <w:b/>
          <w:bCs/>
        </w:rPr>
      </w:pPr>
    </w:p>
    <w:p w14:paraId="501F3CA2" w14:textId="77777777" w:rsidR="00B0281A" w:rsidRDefault="00B0281A" w:rsidP="003E4CF4">
      <w:pPr>
        <w:tabs>
          <w:tab w:val="left" w:pos="884"/>
          <w:tab w:val="left" w:pos="1196"/>
        </w:tabs>
        <w:spacing w:after="0"/>
        <w:jc w:val="center"/>
        <w:rPr>
          <w:b/>
          <w:bCs/>
        </w:rPr>
      </w:pPr>
    </w:p>
    <w:p w14:paraId="371EE980" w14:textId="77777777" w:rsidR="00B0281A" w:rsidRDefault="00B0281A" w:rsidP="003E4CF4">
      <w:pPr>
        <w:tabs>
          <w:tab w:val="left" w:pos="884"/>
          <w:tab w:val="left" w:pos="1196"/>
        </w:tabs>
        <w:spacing w:after="0"/>
        <w:jc w:val="center"/>
        <w:rPr>
          <w:b/>
          <w:bCs/>
        </w:rPr>
      </w:pPr>
    </w:p>
    <w:p w14:paraId="231D837C" w14:textId="77777777" w:rsidR="00B0281A" w:rsidRDefault="00B0281A" w:rsidP="003E4CF4">
      <w:pPr>
        <w:tabs>
          <w:tab w:val="left" w:pos="884"/>
          <w:tab w:val="left" w:pos="1196"/>
        </w:tabs>
        <w:spacing w:after="0"/>
        <w:jc w:val="center"/>
        <w:rPr>
          <w:b/>
          <w:bCs/>
        </w:rPr>
      </w:pPr>
    </w:p>
    <w:p w14:paraId="701FF1DD" w14:textId="3317BCD8" w:rsidR="00F12C76" w:rsidRPr="00B0281A" w:rsidRDefault="009E03C5" w:rsidP="003E4CF4">
      <w:pPr>
        <w:tabs>
          <w:tab w:val="left" w:pos="884"/>
          <w:tab w:val="left" w:pos="1196"/>
        </w:tabs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Ministru                                                                             Ala NEMERENCO</w:t>
      </w:r>
    </w:p>
    <w:sectPr w:rsidR="00F12C76" w:rsidRPr="00B0281A" w:rsidSect="003E4CF4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7AF8" w14:textId="77777777" w:rsidR="00E50CB1" w:rsidRDefault="00E50CB1" w:rsidP="003E4CF4">
      <w:pPr>
        <w:spacing w:after="0"/>
      </w:pPr>
      <w:r>
        <w:separator/>
      </w:r>
    </w:p>
  </w:endnote>
  <w:endnote w:type="continuationSeparator" w:id="0">
    <w:p w14:paraId="05C3A6DD" w14:textId="77777777" w:rsidR="00E50CB1" w:rsidRDefault="00E50CB1" w:rsidP="003E4C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7140" w14:textId="77777777" w:rsidR="00E50CB1" w:rsidRDefault="00E50CB1" w:rsidP="003E4CF4">
      <w:pPr>
        <w:spacing w:after="0"/>
      </w:pPr>
      <w:r>
        <w:separator/>
      </w:r>
    </w:p>
  </w:footnote>
  <w:footnote w:type="continuationSeparator" w:id="0">
    <w:p w14:paraId="3072FC77" w14:textId="77777777" w:rsidR="00E50CB1" w:rsidRDefault="00E50CB1" w:rsidP="003E4C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1DE"/>
    <w:multiLevelType w:val="hybridMultilevel"/>
    <w:tmpl w:val="9886C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61A1"/>
    <w:multiLevelType w:val="hybridMultilevel"/>
    <w:tmpl w:val="84E6E67A"/>
    <w:lvl w:ilvl="0" w:tplc="9C9EC54C">
      <w:start w:val="1"/>
      <w:numFmt w:val="bullet"/>
      <w:lvlText w:val=""/>
      <w:lvlJc w:val="left"/>
      <w:pPr>
        <w:ind w:left="1309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7361471">
    <w:abstractNumId w:val="2"/>
  </w:num>
  <w:num w:numId="2" w16cid:durableId="2117093509">
    <w:abstractNumId w:val="0"/>
  </w:num>
  <w:num w:numId="3" w16cid:durableId="900138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64"/>
    <w:rsid w:val="00056B31"/>
    <w:rsid w:val="00073EE4"/>
    <w:rsid w:val="00074135"/>
    <w:rsid w:val="000A79C8"/>
    <w:rsid w:val="00177500"/>
    <w:rsid w:val="0019487E"/>
    <w:rsid w:val="001B7217"/>
    <w:rsid w:val="0020794A"/>
    <w:rsid w:val="0021071F"/>
    <w:rsid w:val="00220375"/>
    <w:rsid w:val="0028735A"/>
    <w:rsid w:val="00396488"/>
    <w:rsid w:val="003A4656"/>
    <w:rsid w:val="003D1D21"/>
    <w:rsid w:val="003E4CF4"/>
    <w:rsid w:val="006C0B77"/>
    <w:rsid w:val="007347EC"/>
    <w:rsid w:val="007814A8"/>
    <w:rsid w:val="008242FF"/>
    <w:rsid w:val="00870751"/>
    <w:rsid w:val="008C1250"/>
    <w:rsid w:val="008C6F73"/>
    <w:rsid w:val="008D6564"/>
    <w:rsid w:val="008E457D"/>
    <w:rsid w:val="00922C48"/>
    <w:rsid w:val="00945206"/>
    <w:rsid w:val="00987540"/>
    <w:rsid w:val="009E03C5"/>
    <w:rsid w:val="009F1C49"/>
    <w:rsid w:val="009F2C8C"/>
    <w:rsid w:val="00AE49F0"/>
    <w:rsid w:val="00B0281A"/>
    <w:rsid w:val="00B915B7"/>
    <w:rsid w:val="00C03A57"/>
    <w:rsid w:val="00CC23F9"/>
    <w:rsid w:val="00D9378C"/>
    <w:rsid w:val="00E50CB1"/>
    <w:rsid w:val="00EA59DF"/>
    <w:rsid w:val="00EB21A6"/>
    <w:rsid w:val="00ED501A"/>
    <w:rsid w:val="00EE4070"/>
    <w:rsid w:val="00F12C76"/>
    <w:rsid w:val="00F626D6"/>
    <w:rsid w:val="00F62D67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BE1"/>
  <w15:chartTrackingRefBased/>
  <w15:docId w15:val="{012A9587-663D-4B21-946B-575945B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6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CF4"/>
    <w:rPr>
      <w:color w:val="0563C1" w:themeColor="hyperlink"/>
      <w:u w:val="single"/>
    </w:rPr>
  </w:style>
  <w:style w:type="paragraph" w:customStyle="1" w:styleId="Default">
    <w:name w:val="Default"/>
    <w:rsid w:val="003E4C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4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CF4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4CF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E4CF4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4CF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672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Culic</dc:creator>
  <cp:keywords/>
  <dc:description/>
  <cp:lastModifiedBy>Direcția Politici de  Buget  și  Asigurări  Medicale</cp:lastModifiedBy>
  <cp:revision>9</cp:revision>
  <cp:lastPrinted>2023-09-25T08:50:00Z</cp:lastPrinted>
  <dcterms:created xsi:type="dcterms:W3CDTF">2023-09-18T10:44:00Z</dcterms:created>
  <dcterms:modified xsi:type="dcterms:W3CDTF">2023-09-25T08:51:00Z</dcterms:modified>
</cp:coreProperties>
</file>