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8FB2" w14:textId="77777777" w:rsidR="005A6977" w:rsidRPr="004F2E40" w:rsidRDefault="005A6977" w:rsidP="00D35C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4F2E4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NOTĂ INFORMATIVĂ</w:t>
      </w:r>
    </w:p>
    <w:p w14:paraId="33D8FDC2" w14:textId="777580F4" w:rsidR="00E7785A" w:rsidRDefault="005A6977" w:rsidP="005D26FD">
      <w:pPr>
        <w:pStyle w:val="Heading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4F2E40">
        <w:rPr>
          <w:color w:val="000000" w:themeColor="text1"/>
          <w:sz w:val="28"/>
          <w:szCs w:val="28"/>
          <w:lang w:val="ro-RO"/>
        </w:rPr>
        <w:t xml:space="preserve">la </w:t>
      </w:r>
      <w:r w:rsidR="00DF710D" w:rsidRPr="004F2E40">
        <w:rPr>
          <w:color w:val="000000" w:themeColor="text1"/>
          <w:sz w:val="28"/>
          <w:szCs w:val="28"/>
          <w:lang w:val="ro-RO"/>
        </w:rPr>
        <w:t>proiectul Hotărâ</w:t>
      </w:r>
      <w:r w:rsidR="001622D3" w:rsidRPr="004F2E40">
        <w:rPr>
          <w:color w:val="000000" w:themeColor="text1"/>
          <w:sz w:val="28"/>
          <w:szCs w:val="28"/>
          <w:lang w:val="ro-RO"/>
        </w:rPr>
        <w:t xml:space="preserve">rii Guvernului </w:t>
      </w:r>
      <w:r w:rsidR="000442D0" w:rsidRPr="004F2E40">
        <w:rPr>
          <w:color w:val="000000" w:themeColor="text1"/>
          <w:sz w:val="28"/>
          <w:szCs w:val="28"/>
          <w:lang w:val="ro-RO"/>
        </w:rPr>
        <w:t xml:space="preserve">cu privire la modificarea </w:t>
      </w:r>
      <w:r w:rsidR="005D26FD" w:rsidRPr="005D26FD">
        <w:rPr>
          <w:color w:val="000000" w:themeColor="text1"/>
          <w:sz w:val="28"/>
          <w:szCs w:val="28"/>
          <w:lang w:val="ro-RO"/>
        </w:rPr>
        <w:t xml:space="preserve">Regulamentului privind acordarea compensațiilor bănești anuale personalului de conducere </w:t>
      </w:r>
      <w:proofErr w:type="spellStart"/>
      <w:r w:rsidR="005D26FD" w:rsidRPr="005D26FD">
        <w:rPr>
          <w:color w:val="000000" w:themeColor="text1"/>
          <w:sz w:val="28"/>
          <w:szCs w:val="28"/>
          <w:lang w:val="ro-RO"/>
        </w:rPr>
        <w:t>şi</w:t>
      </w:r>
      <w:proofErr w:type="spellEnd"/>
      <w:r w:rsidR="005D26FD" w:rsidRPr="00F977E3">
        <w:rPr>
          <w:color w:val="000000" w:themeColor="text1"/>
          <w:sz w:val="28"/>
          <w:szCs w:val="28"/>
          <w:lang w:val="ro-RO"/>
        </w:rPr>
        <w:t> </w:t>
      </w:r>
      <w:r w:rsidR="005D26FD" w:rsidRPr="005D26FD">
        <w:rPr>
          <w:color w:val="000000" w:themeColor="text1"/>
          <w:sz w:val="28"/>
          <w:szCs w:val="28"/>
          <w:lang w:val="ro-RO"/>
        </w:rPr>
        <w:t xml:space="preserve">didactic din </w:t>
      </w:r>
      <w:r w:rsidR="000744F1" w:rsidRPr="005D26FD">
        <w:rPr>
          <w:color w:val="000000" w:themeColor="text1"/>
          <w:sz w:val="28"/>
          <w:szCs w:val="28"/>
          <w:lang w:val="ro-RO"/>
        </w:rPr>
        <w:t>instituțiile</w:t>
      </w:r>
      <w:r w:rsidR="005D26FD" w:rsidRPr="005D26FD">
        <w:rPr>
          <w:color w:val="000000" w:themeColor="text1"/>
          <w:sz w:val="28"/>
          <w:szCs w:val="28"/>
          <w:lang w:val="ro-RO"/>
        </w:rPr>
        <w:t xml:space="preserve"> de învățământ general public, aprobat prin Hotărârea Guvernului nr. 969/2018</w:t>
      </w:r>
    </w:p>
    <w:p w14:paraId="5C44B2C2" w14:textId="77777777" w:rsidR="005D26FD" w:rsidRPr="004F2E40" w:rsidRDefault="005D26FD" w:rsidP="005D26FD">
      <w:pPr>
        <w:pStyle w:val="Heading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o-RO"/>
        </w:rPr>
      </w:pPr>
    </w:p>
    <w:tbl>
      <w:tblPr>
        <w:tblStyle w:val="TableGrid"/>
        <w:tblW w:w="4930" w:type="pct"/>
        <w:jc w:val="center"/>
        <w:tblLook w:val="04A0" w:firstRow="1" w:lastRow="0" w:firstColumn="1" w:lastColumn="0" w:noHBand="0" w:noVBand="1"/>
      </w:tblPr>
      <w:tblGrid>
        <w:gridCol w:w="8990"/>
      </w:tblGrid>
      <w:tr w:rsidR="00025894" w:rsidRPr="004F2E40" w14:paraId="5F0A469F" w14:textId="77777777" w:rsidTr="00434067">
        <w:trPr>
          <w:trHeight w:val="20"/>
          <w:jc w:val="center"/>
        </w:trPr>
        <w:tc>
          <w:tcPr>
            <w:tcW w:w="5000" w:type="pct"/>
            <w:shd w:val="clear" w:color="auto" w:fill="DBDBDB" w:themeFill="accent3" w:themeFillTint="66"/>
          </w:tcPr>
          <w:p w14:paraId="0E36954C" w14:textId="77777777" w:rsidR="005A6977" w:rsidRPr="004F2E40" w:rsidRDefault="005A6977" w:rsidP="0029082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Denumirea autorului și, după caz, a participanților la elaborarea proiectului</w:t>
            </w:r>
          </w:p>
        </w:tc>
      </w:tr>
      <w:tr w:rsidR="00025894" w:rsidRPr="004F2E40" w14:paraId="580912EF" w14:textId="77777777" w:rsidTr="00434067">
        <w:trPr>
          <w:trHeight w:val="20"/>
          <w:jc w:val="center"/>
        </w:trPr>
        <w:tc>
          <w:tcPr>
            <w:tcW w:w="5000" w:type="pct"/>
          </w:tcPr>
          <w:p w14:paraId="28441C94" w14:textId="2FD08101" w:rsidR="008D75E6" w:rsidRPr="004F2E40" w:rsidRDefault="0011318E" w:rsidP="002F5234">
            <w:pPr>
              <w:tabs>
                <w:tab w:val="left" w:pos="284"/>
              </w:tabs>
              <w:ind w:right="98" w:firstLine="59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</w:pP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Proiectul </w:t>
            </w:r>
            <w:r w:rsidR="0052736A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Hotărârii Guvernului </w:t>
            </w:r>
            <w:r w:rsidR="000442D0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cu privire la modificarea Hotărâ</w:t>
            </w:r>
            <w:r w:rsidR="00B8301D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rii Guvernului</w:t>
            </w:r>
            <w:r w:rsidR="00C91D28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B8301D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nr. 969/2018 pentru aprobarea Regulamentului privind acordarea compensațiilor bănești anuale personalului </w:t>
            </w:r>
            <w:r w:rsidR="00A52B04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de conducere și </w:t>
            </w:r>
            <w:r w:rsidR="00B8301D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didactic din </w:t>
            </w:r>
            <w:r w:rsidR="000442D0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instituțiile</w:t>
            </w:r>
            <w:r w:rsidR="00B8301D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de învățământ general</w:t>
            </w:r>
            <w:r w:rsidR="0052736A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</w:t>
            </w:r>
            <w:r w:rsidR="008406FD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public</w:t>
            </w:r>
            <w:r w:rsidR="008406FD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</w:t>
            </w:r>
            <w:r w:rsidR="0052736A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a fost elaborat de către Ministerul Educației și Cercetării.</w:t>
            </w:r>
          </w:p>
        </w:tc>
      </w:tr>
      <w:tr w:rsidR="00025894" w:rsidRPr="004F2E40" w14:paraId="77E0283E" w14:textId="77777777" w:rsidTr="00434067">
        <w:trPr>
          <w:trHeight w:val="20"/>
          <w:jc w:val="center"/>
        </w:trPr>
        <w:tc>
          <w:tcPr>
            <w:tcW w:w="5000" w:type="pct"/>
            <w:shd w:val="clear" w:color="auto" w:fill="DBDBDB" w:themeFill="accent3" w:themeFillTint="66"/>
          </w:tcPr>
          <w:p w14:paraId="6F284B5D" w14:textId="77777777" w:rsidR="005A6977" w:rsidRPr="004F2E40" w:rsidRDefault="005A6977" w:rsidP="0029082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Condițiile ce au impus elaborarea proiectului de act normativ și finalitățile urmărite</w:t>
            </w:r>
          </w:p>
        </w:tc>
      </w:tr>
      <w:tr w:rsidR="00025894" w:rsidRPr="004F2E40" w14:paraId="47ED2A83" w14:textId="77777777" w:rsidTr="00434067">
        <w:trPr>
          <w:trHeight w:val="20"/>
          <w:jc w:val="center"/>
        </w:trPr>
        <w:tc>
          <w:tcPr>
            <w:tcW w:w="5000" w:type="pct"/>
          </w:tcPr>
          <w:p w14:paraId="479CD66B" w14:textId="72D236DC" w:rsidR="00504DE3" w:rsidRPr="00603954" w:rsidRDefault="0052736A" w:rsidP="00603954">
            <w:pPr>
              <w:pStyle w:val="Heading4"/>
              <w:shd w:val="clear" w:color="auto" w:fill="FFFFFF"/>
              <w:spacing w:before="0" w:beforeAutospacing="0" w:after="0" w:afterAutospacing="0"/>
              <w:ind w:firstLine="596"/>
              <w:jc w:val="both"/>
              <w:outlineLvl w:val="3"/>
              <w:rPr>
                <w:b w:val="0"/>
                <w:noProof/>
                <w:sz w:val="28"/>
                <w:szCs w:val="28"/>
                <w:lang w:val="ro-RO"/>
              </w:rPr>
            </w:pPr>
            <w:r w:rsidRPr="00603954">
              <w:rPr>
                <w:b w:val="0"/>
                <w:noProof/>
                <w:sz w:val="28"/>
                <w:szCs w:val="28"/>
                <w:lang w:val="ro-RO"/>
              </w:rPr>
              <w:t xml:space="preserve">Proiectul Hotărârii Guvernului </w:t>
            </w:r>
            <w:r w:rsidR="000442D0" w:rsidRPr="00603954">
              <w:rPr>
                <w:b w:val="0"/>
                <w:color w:val="000000" w:themeColor="text1"/>
                <w:sz w:val="28"/>
                <w:szCs w:val="28"/>
                <w:lang w:val="ro-RO"/>
              </w:rPr>
              <w:t xml:space="preserve">cu privire la modificarea </w:t>
            </w:r>
            <w:r w:rsidR="00603954" w:rsidRPr="00603954">
              <w:rPr>
                <w:b w:val="0"/>
                <w:color w:val="000000" w:themeColor="text1"/>
                <w:sz w:val="28"/>
                <w:szCs w:val="28"/>
                <w:lang w:val="ro-RO"/>
              </w:rPr>
              <w:t xml:space="preserve">Regulamentului privind acordarea compensațiilor bănești anuale personalului de conducere </w:t>
            </w:r>
            <w:proofErr w:type="spellStart"/>
            <w:r w:rsidR="00603954" w:rsidRPr="00603954">
              <w:rPr>
                <w:b w:val="0"/>
                <w:color w:val="000000" w:themeColor="text1"/>
                <w:sz w:val="28"/>
                <w:szCs w:val="28"/>
                <w:lang w:val="ro-RO"/>
              </w:rPr>
              <w:t>şi</w:t>
            </w:r>
            <w:proofErr w:type="spellEnd"/>
            <w:r w:rsidR="00603954" w:rsidRPr="00F977E3">
              <w:rPr>
                <w:b w:val="0"/>
                <w:color w:val="000000" w:themeColor="text1"/>
                <w:sz w:val="28"/>
                <w:szCs w:val="28"/>
                <w:lang w:val="ro-RO"/>
              </w:rPr>
              <w:t> </w:t>
            </w:r>
            <w:r w:rsidR="00603954" w:rsidRPr="00603954">
              <w:rPr>
                <w:b w:val="0"/>
                <w:color w:val="000000" w:themeColor="text1"/>
                <w:sz w:val="28"/>
                <w:szCs w:val="28"/>
                <w:lang w:val="ro-RO"/>
              </w:rPr>
              <w:t xml:space="preserve">didactic din </w:t>
            </w:r>
            <w:r w:rsidR="003B6B7A" w:rsidRPr="00603954">
              <w:rPr>
                <w:b w:val="0"/>
                <w:color w:val="000000" w:themeColor="text1"/>
                <w:sz w:val="28"/>
                <w:szCs w:val="28"/>
                <w:lang w:val="ro-RO"/>
              </w:rPr>
              <w:t>instituțiile</w:t>
            </w:r>
            <w:r w:rsidR="00603954" w:rsidRPr="00603954">
              <w:rPr>
                <w:b w:val="0"/>
                <w:color w:val="000000" w:themeColor="text1"/>
                <w:sz w:val="28"/>
                <w:szCs w:val="28"/>
                <w:lang w:val="ro-RO"/>
              </w:rPr>
              <w:t xml:space="preserve"> de învățământ general public, aprobat prin Hotărârea Guvernului nr. 969/2018 </w:t>
            </w:r>
            <w:r w:rsidR="006B114B" w:rsidRPr="00603954">
              <w:rPr>
                <w:b w:val="0"/>
                <w:noProof/>
                <w:sz w:val="28"/>
                <w:szCs w:val="28"/>
                <w:lang w:val="ro-RO"/>
              </w:rPr>
              <w:t xml:space="preserve">a fost elaborat în scopul </w:t>
            </w:r>
            <w:r w:rsidR="00B661E0" w:rsidRPr="00603954">
              <w:rPr>
                <w:b w:val="0"/>
                <w:noProof/>
                <w:sz w:val="28"/>
                <w:szCs w:val="28"/>
                <w:lang w:val="ro-RO"/>
              </w:rPr>
              <w:t xml:space="preserve">completării și </w:t>
            </w:r>
            <w:r w:rsidR="003D6E1B" w:rsidRPr="00603954">
              <w:rPr>
                <w:b w:val="0"/>
                <w:noProof/>
                <w:sz w:val="28"/>
                <w:szCs w:val="28"/>
                <w:lang w:val="ro-RO"/>
              </w:rPr>
              <w:t>modif</w:t>
            </w:r>
            <w:r w:rsidR="00603954">
              <w:rPr>
                <w:b w:val="0"/>
                <w:noProof/>
                <w:sz w:val="28"/>
                <w:szCs w:val="28"/>
                <w:lang w:val="ro-RO"/>
              </w:rPr>
              <w:t>icării unor prevederi din hotărâ</w:t>
            </w:r>
            <w:r w:rsidR="003D6E1B" w:rsidRPr="00603954">
              <w:rPr>
                <w:b w:val="0"/>
                <w:noProof/>
                <w:sz w:val="28"/>
                <w:szCs w:val="28"/>
                <w:lang w:val="ro-RO"/>
              </w:rPr>
              <w:t xml:space="preserve">rea respectivă. </w:t>
            </w:r>
          </w:p>
          <w:p w14:paraId="6B38C7A1" w14:textId="3B928F1F" w:rsidR="0052736A" w:rsidRPr="004F2E40" w:rsidRDefault="00182CCE" w:rsidP="00603954">
            <w:pPr>
              <w:tabs>
                <w:tab w:val="left" w:pos="284"/>
              </w:tabs>
              <w:ind w:right="98" w:firstLine="59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</w:pP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În procesul de implementare a Hotărârii Guvernului nr. 969/2018, s-</w:t>
            </w:r>
            <w:r w:rsidR="006039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a constatat că diferite institu</w:t>
            </w: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ții acordă Compensația beneficiarilor în diferite perioade</w:t>
            </w:r>
            <w:r w:rsidR="006039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de timp</w:t>
            </w: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, de ex.</w:t>
            </w:r>
            <w:r w:rsidR="006039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,</w:t>
            </w: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unele o oferă în primul semestru al anului,  altele în </w:t>
            </w:r>
            <w:r w:rsidR="00156C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al doilea semestru</w:t>
            </w: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. </w:t>
            </w:r>
            <w:r w:rsidR="00504DE3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Pentru a uniformiza </w:t>
            </w: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perioada de acordare </w:t>
            </w:r>
            <w:r w:rsidR="00EE1598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a c</w:t>
            </w:r>
            <w:r w:rsidR="00504DE3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ompensației</w:t>
            </w: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,</w:t>
            </w:r>
            <w:r w:rsidR="00504DE3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se </w:t>
            </w:r>
            <w:r w:rsidR="006039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propune </w:t>
            </w:r>
            <w:r w:rsidR="00504DE3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stabil</w:t>
            </w:r>
            <w:r w:rsidR="006039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irea</w:t>
            </w:r>
            <w:r w:rsidR="00504DE3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perioad</w:t>
            </w:r>
            <w:r w:rsidR="006039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ei</w:t>
            </w:r>
            <w:r w:rsidR="00504DE3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de alocare </w:t>
            </w:r>
            <w:r w:rsidR="002F205F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a compensației </w:t>
            </w:r>
            <w:r w:rsidR="00504DE3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pe parcursul lunii </w:t>
            </w:r>
            <w:r w:rsidR="000A29B1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octom</w:t>
            </w:r>
            <w:r w:rsidR="001F7D52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brie</w:t>
            </w:r>
            <w:bookmarkStart w:id="0" w:name="_GoBack"/>
            <w:bookmarkEnd w:id="0"/>
            <w:r w:rsidR="001F7D52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.</w:t>
            </w:r>
          </w:p>
          <w:p w14:paraId="089C160B" w14:textId="3BFC520E" w:rsidR="009652A4" w:rsidRPr="004F2E40" w:rsidRDefault="00B71199" w:rsidP="00603954">
            <w:pPr>
              <w:tabs>
                <w:tab w:val="left" w:pos="284"/>
                <w:tab w:val="left" w:pos="567"/>
                <w:tab w:val="left" w:pos="709"/>
              </w:tabs>
              <w:ind w:right="98"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Conform Codului ed</w:t>
            </w:r>
            <w:r w:rsidR="000E5209" w:rsidRPr="004F2E4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ucației nr. 152/2014, art. 134,</w:t>
            </w:r>
            <w:r w:rsidRPr="004F2E4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compensațiile bănești anuale pentru cadrele didactice </w:t>
            </w:r>
            <w:r w:rsidR="00F67A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sunt</w:t>
            </w:r>
            <w:r w:rsidRPr="004F2E4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un drept al personalului didactic, o garanție socială, oferită nominal, în scopul dezvoltării personale, asigurând motivarea cadrelor didactice pentru creșterea profesională. Totodată, conform ordinului Ministerului Finanțelor nr. 208/2015 privind Clasificația bugetară compensațiile bănești anuale pentru </w:t>
            </w:r>
            <w:r w:rsidR="00F67A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personalul de conducere și </w:t>
            </w:r>
            <w:r w:rsidRPr="004F2E4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didactic sunt planificate și achitate conform Codului economic 270000 ”Prestații sociale”, codul economic 272500 ”Compensații”, care nu se restituie și nu se reflectă în evidența contabilă a instituției ca datorii ale angajaților (Ordinul MF nr. 216/2015). </w:t>
            </w:r>
          </w:p>
          <w:p w14:paraId="195E0B88" w14:textId="20433EFD" w:rsidR="008406FD" w:rsidRPr="004F2E40" w:rsidRDefault="00722D75" w:rsidP="00F67AD9">
            <w:pPr>
              <w:tabs>
                <w:tab w:val="left" w:pos="284"/>
                <w:tab w:val="left" w:pos="567"/>
                <w:tab w:val="left" w:pos="709"/>
              </w:tabs>
              <w:ind w:right="98"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Astfel</w:t>
            </w:r>
            <w:r w:rsidR="00504DE3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, </w:t>
            </w:r>
            <w:r w:rsidR="00A27B11" w:rsidRPr="004F2E4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scopul implementării politicii de debirocratizare și </w:t>
            </w:r>
            <w:r w:rsidR="00504DE3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asigurării</w:t>
            </w:r>
            <w:r w:rsidR="008841BE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</w:t>
            </w:r>
            <w:r w:rsidR="00504DE3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încrederii</w:t>
            </w:r>
            <w:r w:rsidR="008841BE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în person</w:t>
            </w:r>
            <w:r w:rsidR="00EE1598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alul beneficiar de c</w:t>
            </w:r>
            <w:r w:rsidR="00A27B11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ompensație </w:t>
            </w:r>
            <w:r w:rsidR="008841BE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că aceștea vor utiliza </w:t>
            </w:r>
            <w:r w:rsidR="00DF5D64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mijloacele financiare </w:t>
            </w:r>
            <w:r w:rsidR="008841BE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coresponzător prevederilor </w:t>
            </w:r>
            <w:r w:rsidR="00DF5D64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din HG nr.969/2018</w:t>
            </w:r>
            <w:r w:rsidR="00A27B11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se</w:t>
            </w:r>
            <w:r w:rsidR="00DF5D64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e</w:t>
            </w:r>
            <w:r w:rsidR="008841BE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xcl</w:t>
            </w:r>
            <w:r w:rsidR="00A27B11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ude </w:t>
            </w:r>
            <w:r w:rsidR="00DF5D64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necesitatea de a prezenta</w:t>
            </w:r>
            <w:r w:rsidR="00F67A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,</w:t>
            </w:r>
            <w:r w:rsidR="00DF5D64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</w:t>
            </w:r>
            <w:r w:rsidR="00F67AD9" w:rsidRPr="00F67A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până la 31 decembrie</w:t>
            </w:r>
            <w:r w:rsidR="00F67A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, </w:t>
            </w:r>
            <w:r w:rsidR="00F67AD9" w:rsidRPr="00F67A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dministrației instituției de învățământ </w:t>
            </w:r>
            <w:r w:rsidR="00DF5D64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documente confirmative privind utilizarea compensației</w:t>
            </w:r>
            <w:r w:rsidR="00F67A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</w:t>
            </w:r>
            <w:r w:rsidR="00F67AD9" w:rsidRPr="00F67A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conform destinației.</w:t>
            </w:r>
          </w:p>
        </w:tc>
      </w:tr>
      <w:tr w:rsidR="00E420F7" w:rsidRPr="004F2E40" w14:paraId="4129CCA9" w14:textId="77777777" w:rsidTr="008B3AE9">
        <w:trPr>
          <w:trHeight w:val="638"/>
          <w:jc w:val="center"/>
        </w:trPr>
        <w:tc>
          <w:tcPr>
            <w:tcW w:w="5000" w:type="pct"/>
            <w:shd w:val="clear" w:color="auto" w:fill="D0CECE" w:themeFill="background2" w:themeFillShade="E6"/>
          </w:tcPr>
          <w:p w14:paraId="34306F47" w14:textId="034A3FE2" w:rsidR="00E420F7" w:rsidRPr="004F2E40" w:rsidRDefault="00E420F7" w:rsidP="0029082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o-RO" w:eastAsia="ru-RU"/>
              </w:rPr>
            </w:pPr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Descrierea gradului de compatibilitate pentru proiectele care au ca scop armonizarea </w:t>
            </w:r>
            <w:proofErr w:type="spellStart"/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legislaţiei</w:t>
            </w:r>
            <w:proofErr w:type="spellEnd"/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naţionale</w:t>
            </w:r>
            <w:proofErr w:type="spellEnd"/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cu </w:t>
            </w:r>
            <w:proofErr w:type="spellStart"/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legislaţia</w:t>
            </w:r>
            <w:proofErr w:type="spellEnd"/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Uniunii Europene</w:t>
            </w:r>
          </w:p>
        </w:tc>
      </w:tr>
      <w:tr w:rsidR="00E420F7" w:rsidRPr="004F2E40" w14:paraId="25B64405" w14:textId="77777777" w:rsidTr="00434067">
        <w:trPr>
          <w:trHeight w:val="410"/>
          <w:jc w:val="center"/>
        </w:trPr>
        <w:tc>
          <w:tcPr>
            <w:tcW w:w="5000" w:type="pct"/>
          </w:tcPr>
          <w:p w14:paraId="5CFB09DD" w14:textId="20275950" w:rsidR="00E420F7" w:rsidRPr="004F2E40" w:rsidRDefault="00727E4D" w:rsidP="002F5234">
            <w:pPr>
              <w:tabs>
                <w:tab w:val="left" w:pos="284"/>
              </w:tabs>
              <w:ind w:right="98" w:firstLine="59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</w:pP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lastRenderedPageBreak/>
              <w:t xml:space="preserve">Proiectul Hotărîrii Guvernului </w:t>
            </w:r>
            <w:r w:rsidR="002153F1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cu privire la modificarea Hotărâ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rii Guvernului</w:t>
            </w:r>
            <w:r w:rsidR="00C91D28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nr. 969/2018 pentru aprobarea Regulamentului privind acordarea compensațiilor bănești anuale personalului de conducere și didactic din </w:t>
            </w:r>
            <w:r w:rsidR="003B6B7A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instituțiile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de învățământ general </w:t>
            </w:r>
            <w:r w:rsidR="00FF5412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public 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nu are ca scop armonizarea </w:t>
            </w:r>
            <w:r w:rsidR="003B6B7A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legislației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3B6B7A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naționale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cu </w:t>
            </w:r>
            <w:r w:rsidR="003B6B7A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legislația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Uniunii Europene și nu necesită descrierea gradului de compatibilitate.</w:t>
            </w:r>
          </w:p>
        </w:tc>
      </w:tr>
      <w:tr w:rsidR="00025894" w:rsidRPr="004F2E40" w14:paraId="2D55EE4D" w14:textId="77777777" w:rsidTr="008B3AE9">
        <w:trPr>
          <w:trHeight w:val="322"/>
          <w:jc w:val="center"/>
        </w:trPr>
        <w:tc>
          <w:tcPr>
            <w:tcW w:w="5000" w:type="pct"/>
            <w:shd w:val="clear" w:color="auto" w:fill="DBDBDB" w:themeFill="accent3" w:themeFillTint="66"/>
          </w:tcPr>
          <w:p w14:paraId="7084AFB7" w14:textId="77777777" w:rsidR="005A6977" w:rsidRPr="004F2E40" w:rsidRDefault="005A6977" w:rsidP="0029082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Principalele prevederi ale proiectului și evidențierea elementelor noi</w:t>
            </w:r>
          </w:p>
        </w:tc>
      </w:tr>
      <w:tr w:rsidR="00025894" w:rsidRPr="004F2E40" w14:paraId="4AF6ACDE" w14:textId="77777777" w:rsidTr="00434067">
        <w:trPr>
          <w:trHeight w:val="20"/>
          <w:jc w:val="center"/>
        </w:trPr>
        <w:tc>
          <w:tcPr>
            <w:tcW w:w="5000" w:type="pct"/>
          </w:tcPr>
          <w:p w14:paraId="2BA5C66D" w14:textId="02A63A40" w:rsidR="00376381" w:rsidRPr="004F2E40" w:rsidRDefault="008406FD" w:rsidP="002F5234">
            <w:pPr>
              <w:tabs>
                <w:tab w:val="left" w:pos="284"/>
              </w:tabs>
              <w:ind w:right="98" w:firstLine="5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În scopul </w:t>
            </w:r>
            <w:r w:rsidR="00376381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debirocratizării și implementării eficiente a </w:t>
            </w:r>
            <w:r w:rsidR="00A0632F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Hotărâ</w:t>
            </w:r>
            <w:r w:rsidR="0087017B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</w:t>
            </w:r>
            <w:r w:rsidR="00376381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ii</w:t>
            </w:r>
            <w:r w:rsidR="0087017B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Guvernului nr.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969/2018 pentru aprobarea Regulamentului privind acordarea compensațiilor bănești anuale personalului </w:t>
            </w:r>
            <w:r w:rsidR="00A0632F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de conducere și 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didactic din </w:t>
            </w:r>
            <w:r w:rsidR="00A0632F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instituțiile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de învățământ general </w:t>
            </w:r>
            <w:r w:rsidR="0087017B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public, se </w:t>
            </w:r>
            <w:r w:rsidR="00376381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propun următoarele</w:t>
            </w:r>
            <w:r w:rsidR="002D180E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completări și modificări</w:t>
            </w:r>
            <w:r w:rsidR="00376381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:</w:t>
            </w:r>
          </w:p>
          <w:p w14:paraId="48526175" w14:textId="3743307E" w:rsidR="00376381" w:rsidRPr="004F2E40" w:rsidRDefault="002F205F" w:rsidP="002F5234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stabilirea </w:t>
            </w:r>
            <w:r w:rsidR="00EE1598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lunii octombrie ca </w:t>
            </w:r>
            <w:r w:rsidR="00376381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perioad</w:t>
            </w:r>
            <w:r w:rsidR="00EE1598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ă</w:t>
            </w:r>
            <w:r w:rsidR="00376381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de acordare </w:t>
            </w:r>
            <w:r w:rsidR="00EE1598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a c</w:t>
            </w:r>
            <w:r w:rsidR="00376381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ompensației beneficiarilor</w:t>
            </w: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;</w:t>
            </w:r>
            <w:r w:rsidR="00376381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32D5BB57" w14:textId="77777777" w:rsidR="00C56696" w:rsidRPr="004F2E40" w:rsidRDefault="0087017B" w:rsidP="002F5234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exclude</w:t>
            </w:r>
            <w:r w:rsidR="002F205F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rea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necesit</w:t>
            </w:r>
            <w:r w:rsidR="00EE1598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ății de 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raportare</w:t>
            </w:r>
            <w:r w:rsidR="00EE1598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la finele anului financiar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. </w:t>
            </w:r>
          </w:p>
          <w:p w14:paraId="7E84BD9A" w14:textId="3BD64F4E" w:rsidR="009305D9" w:rsidRDefault="009305D9" w:rsidP="002F5234">
            <w:pPr>
              <w:pStyle w:val="NormalWeb"/>
              <w:shd w:val="clear" w:color="auto" w:fill="FFFFFF"/>
              <w:spacing w:before="0" w:beforeAutospacing="0" w:after="0" w:afterAutospacing="0"/>
              <w:ind w:right="98" w:firstLine="596"/>
              <w:jc w:val="both"/>
              <w:rPr>
                <w:color w:val="000000" w:themeColor="text1"/>
                <w:sz w:val="28"/>
                <w:lang w:val="ro-RO"/>
              </w:rPr>
            </w:pPr>
            <w:r>
              <w:rPr>
                <w:color w:val="000000" w:themeColor="text1"/>
                <w:sz w:val="28"/>
                <w:lang w:val="ro-RO"/>
              </w:rPr>
              <w:t xml:space="preserve">Prin proiectul propus se propune </w:t>
            </w:r>
            <w:r w:rsidRPr="004F2E40">
              <w:rPr>
                <w:color w:val="000000" w:themeColor="text1"/>
                <w:sz w:val="28"/>
                <w:szCs w:val="28"/>
                <w:lang w:val="ro-RO"/>
              </w:rPr>
              <w:t>excluderea necesității de raportare la finele anului financiar</w:t>
            </w:r>
            <w:r w:rsidRPr="004F2E40">
              <w:rPr>
                <w:noProof/>
                <w:sz w:val="28"/>
                <w:szCs w:val="28"/>
                <w:lang w:val="ro-RO"/>
              </w:rPr>
              <w:t xml:space="preserve"> privind utilizarea compensației</w:t>
            </w:r>
            <w:r>
              <w:rPr>
                <w:noProof/>
                <w:sz w:val="28"/>
                <w:szCs w:val="28"/>
                <w:lang w:val="ro-RO"/>
              </w:rPr>
              <w:t xml:space="preserve"> </w:t>
            </w:r>
            <w:r w:rsidRPr="00F67AD9">
              <w:rPr>
                <w:noProof/>
                <w:sz w:val="28"/>
                <w:szCs w:val="28"/>
                <w:lang w:val="ro-RO"/>
              </w:rPr>
              <w:t>conform destinației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, începând cu anul curent. Iar </w:t>
            </w:r>
            <w:r w:rsidRPr="004F2E40">
              <w:rPr>
                <w:noProof/>
                <w:sz w:val="28"/>
                <w:szCs w:val="28"/>
                <w:lang w:val="ro-RO"/>
              </w:rPr>
              <w:t>stabilirea lunii octombrie ca perioadă de acordare a compensației beneficiarilor</w:t>
            </w:r>
            <w:r>
              <w:rPr>
                <w:noProof/>
                <w:sz w:val="28"/>
                <w:szCs w:val="28"/>
                <w:lang w:val="ro-RO"/>
              </w:rPr>
              <w:t xml:space="preserve"> se propune a implementa din 01 ianuarie 2024, deoarece pentru acest an, în multe cazuri, administrațiile publice locale au alocat deja aceste compensații beneficiarilor.</w:t>
            </w:r>
          </w:p>
          <w:p w14:paraId="2AE26984" w14:textId="682B71B0" w:rsidR="009A6651" w:rsidRPr="004F2E40" w:rsidRDefault="007F6CB0" w:rsidP="007F6CB0">
            <w:pPr>
              <w:pStyle w:val="NormalWeb"/>
              <w:shd w:val="clear" w:color="auto" w:fill="FFFFFF"/>
              <w:spacing w:before="0" w:beforeAutospacing="0" w:after="0" w:afterAutospacing="0"/>
              <w:ind w:right="98" w:firstLine="596"/>
              <w:jc w:val="both"/>
              <w:rPr>
                <w:color w:val="000000" w:themeColor="text1"/>
                <w:sz w:val="28"/>
                <w:lang w:val="ro-RO"/>
              </w:rPr>
            </w:pPr>
            <w:r>
              <w:rPr>
                <w:color w:val="000000" w:themeColor="text1"/>
                <w:sz w:val="28"/>
                <w:lang w:val="ro-RO"/>
              </w:rPr>
              <w:t>În context, p</w:t>
            </w:r>
            <w:r w:rsidR="009A6651" w:rsidRPr="004F2E40">
              <w:rPr>
                <w:color w:val="000000" w:themeColor="text1"/>
                <w:sz w:val="28"/>
                <w:lang w:val="ro-RO"/>
              </w:rPr>
              <w:t>rezenta hotărâre se propune a intra în vigoare la data publicării în Monitorul Oficial al Republicii Moldova, cu excepția punctului 1</w:t>
            </w:r>
            <w:r w:rsidR="00A8272D">
              <w:rPr>
                <w:color w:val="000000" w:themeColor="text1"/>
                <w:sz w:val="28"/>
                <w:lang w:val="ro-RO"/>
              </w:rPr>
              <w:t>, lit.</w:t>
            </w:r>
            <w:r w:rsidR="009A6651" w:rsidRPr="004F2E40">
              <w:rPr>
                <w:color w:val="000000" w:themeColor="text1"/>
                <w:sz w:val="28"/>
                <w:lang w:val="ro-RO"/>
              </w:rPr>
              <w:t xml:space="preserve"> a) care se va pune în aplicare din 1 ianuarie 2024.</w:t>
            </w:r>
          </w:p>
        </w:tc>
      </w:tr>
      <w:tr w:rsidR="00025894" w:rsidRPr="004F2E40" w14:paraId="1FA46318" w14:textId="77777777" w:rsidTr="00434067">
        <w:trPr>
          <w:trHeight w:val="20"/>
          <w:jc w:val="center"/>
        </w:trPr>
        <w:tc>
          <w:tcPr>
            <w:tcW w:w="5000" w:type="pct"/>
            <w:shd w:val="clear" w:color="auto" w:fill="DBDBDB" w:themeFill="accent3" w:themeFillTint="66"/>
          </w:tcPr>
          <w:p w14:paraId="74529829" w14:textId="77777777" w:rsidR="005A6977" w:rsidRPr="004F2E40" w:rsidRDefault="005A6977" w:rsidP="0029082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Fundamentarea </w:t>
            </w:r>
            <w:proofErr w:type="spellStart"/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economico</w:t>
            </w:r>
            <w:proofErr w:type="spellEnd"/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-financiară</w:t>
            </w:r>
          </w:p>
        </w:tc>
      </w:tr>
      <w:tr w:rsidR="00025894" w:rsidRPr="004F2E40" w14:paraId="3AD90F34" w14:textId="77777777" w:rsidTr="00434067">
        <w:trPr>
          <w:trHeight w:val="491"/>
          <w:jc w:val="center"/>
        </w:trPr>
        <w:tc>
          <w:tcPr>
            <w:tcW w:w="5000" w:type="pct"/>
          </w:tcPr>
          <w:p w14:paraId="6F4811A0" w14:textId="6031B4B1" w:rsidR="00163772" w:rsidRPr="004F2E40" w:rsidRDefault="008B41E4" w:rsidP="002F5234">
            <w:pPr>
              <w:tabs>
                <w:tab w:val="left" w:pos="284"/>
              </w:tabs>
              <w:ind w:right="98" w:firstLine="59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</w:pP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Modificările propuse nu vor contribui la creșterea sumei necesare pentru achitarea compensației </w:t>
            </w:r>
            <w:r w:rsidR="009D748E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pentru anul</w:t>
            </w: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 fiscal 2024</w:t>
            </w:r>
            <w:r w:rsidR="009D748E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 xml:space="preserve">. Astfel, cheltuielile aferente punerii în aplicare a proiectului hotărârii vor fi acoperite integral din </w:t>
            </w:r>
            <w:r w:rsidR="00D345EC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contul și în limita alocațiilor prevăzute în bugetul de stat</w:t>
            </w:r>
            <w:r w:rsidR="009D748E"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.</w:t>
            </w:r>
          </w:p>
        </w:tc>
      </w:tr>
      <w:tr w:rsidR="00025894" w:rsidRPr="004F2E40" w14:paraId="2535CCFD" w14:textId="77777777" w:rsidTr="00434067">
        <w:trPr>
          <w:trHeight w:val="20"/>
          <w:jc w:val="center"/>
        </w:trPr>
        <w:tc>
          <w:tcPr>
            <w:tcW w:w="5000" w:type="pct"/>
            <w:shd w:val="clear" w:color="auto" w:fill="DBDBDB" w:themeFill="accent3" w:themeFillTint="66"/>
          </w:tcPr>
          <w:p w14:paraId="34290872" w14:textId="77777777" w:rsidR="005A6977" w:rsidRPr="004F2E40" w:rsidRDefault="005A6977" w:rsidP="0029082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Modul de încorporare a actului în cadrul normativ în vigoare</w:t>
            </w:r>
          </w:p>
        </w:tc>
      </w:tr>
      <w:tr w:rsidR="00025894" w:rsidRPr="004F2E40" w14:paraId="27D5E0E4" w14:textId="77777777" w:rsidTr="00434067">
        <w:trPr>
          <w:trHeight w:val="20"/>
          <w:jc w:val="center"/>
        </w:trPr>
        <w:tc>
          <w:tcPr>
            <w:tcW w:w="5000" w:type="pct"/>
          </w:tcPr>
          <w:p w14:paraId="1C05DC01" w14:textId="0824C704" w:rsidR="007F78BF" w:rsidRPr="004F2E40" w:rsidRDefault="00C4368B" w:rsidP="002F5234">
            <w:pPr>
              <w:tabs>
                <w:tab w:val="left" w:pos="284"/>
              </w:tabs>
              <w:ind w:right="98" w:firstLine="59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</w:pPr>
            <w:r w:rsidRPr="004F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u-RU"/>
              </w:rPr>
              <w:t>Pentru implementarea prezentului proiect de Hotărâre a Guvernului cu privire la transmiterea unor bunuri nu va fi necesară modificarea altor acte normative.</w:t>
            </w:r>
          </w:p>
        </w:tc>
      </w:tr>
      <w:tr w:rsidR="00025894" w:rsidRPr="004F2E40" w14:paraId="3F70F036" w14:textId="77777777" w:rsidTr="00434067">
        <w:trPr>
          <w:trHeight w:val="20"/>
          <w:jc w:val="center"/>
        </w:trPr>
        <w:tc>
          <w:tcPr>
            <w:tcW w:w="5000" w:type="pct"/>
            <w:shd w:val="clear" w:color="auto" w:fill="DBDBDB" w:themeFill="accent3" w:themeFillTint="66"/>
          </w:tcPr>
          <w:p w14:paraId="53214C17" w14:textId="77777777" w:rsidR="005A6977" w:rsidRPr="004F2E40" w:rsidRDefault="005A6977" w:rsidP="0029082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Avizarea și c</w:t>
            </w:r>
            <w:r w:rsidR="007F78BF" w:rsidRPr="004F2E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onsultarea publică a proiectului</w:t>
            </w:r>
          </w:p>
        </w:tc>
      </w:tr>
      <w:tr w:rsidR="00025894" w:rsidRPr="00156C35" w14:paraId="4FA4086F" w14:textId="77777777" w:rsidTr="00231B74">
        <w:trPr>
          <w:trHeight w:val="841"/>
          <w:jc w:val="center"/>
        </w:trPr>
        <w:tc>
          <w:tcPr>
            <w:tcW w:w="5000" w:type="pct"/>
          </w:tcPr>
          <w:p w14:paraId="21B6B482" w14:textId="62818C20" w:rsidR="00D71192" w:rsidRPr="004F2E40" w:rsidRDefault="00B71199" w:rsidP="002F5234">
            <w:pPr>
              <w:shd w:val="clear" w:color="auto" w:fill="FFFFFF"/>
              <w:tabs>
                <w:tab w:val="left" w:pos="284"/>
              </w:tabs>
              <w:spacing w:before="120" w:after="120"/>
              <w:ind w:right="98" w:firstLine="59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În scopul respectării prevederilor Legii nr. 239/2008 privind transparența în procesul decizional, </w:t>
            </w:r>
            <w:r w:rsidR="00D71192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anunțul referitor la inițierea procesului de modificare a Hotărârii Guvernului nr. 969/2018 pentru aprobarea Regulament</w:t>
            </w:r>
            <w:r w:rsidR="003B6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ului privind acordarea compensațiilor băneș</w:t>
            </w:r>
            <w:r w:rsidR="00D71192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ti anuale personalului de co</w:t>
            </w:r>
            <w:r w:rsidR="003B6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nducere si didactic din instituțiile de î</w:t>
            </w:r>
            <w:r w:rsidR="00D71192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nv</w:t>
            </w:r>
            <w:r w:rsidR="003B6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ățămâ</w:t>
            </w:r>
            <w:r w:rsidR="00D71192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nt general public 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 fost plasat pe pagina web oficială a Ministerului Educației ș</w:t>
            </w:r>
            <w:r w:rsidR="00D71192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i Cercetării, </w:t>
            </w: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compartimentul Transparență, directoriul Transparență decizională, secțiunea </w:t>
            </w:r>
            <w:hyperlink r:id="rId8" w:history="1">
              <w:r w:rsidR="00D71192" w:rsidRPr="004F2E4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ro-RO"/>
                </w:rPr>
                <w:t>Anunțuri privind inițierea elaborării deciziilor</w:t>
              </w:r>
            </w:hyperlink>
            <w:r w:rsidR="00D71192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6ABC29FF" w14:textId="4AF95B3E" w:rsidR="008160A8" w:rsidRPr="004F2E40" w:rsidRDefault="00D71192" w:rsidP="00290820">
            <w:pPr>
              <w:shd w:val="clear" w:color="auto" w:fill="FFFFFF"/>
              <w:tabs>
                <w:tab w:val="left" w:pos="284"/>
              </w:tabs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Style w:val="Hyperlink"/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https://particip.gov.md/ro/document/stages/anunt-referitor-la-initierea-procesului-de-modificare-a-hotararii-guvernului-nr-9692018-pentru-aprobarea-regulamentului-privind-acordarea-compensatiilor-banesti-anuale-personalului-de-conducere-si-didactic-din-institutiile-de-invatamant-general-public/11048</w:t>
            </w:r>
            <w:r w:rsidR="00B71199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231B74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ab/>
            </w:r>
            <w:r w:rsidR="00231B74"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ab/>
            </w:r>
          </w:p>
        </w:tc>
      </w:tr>
      <w:tr w:rsidR="005F0114" w:rsidRPr="004F2E40" w14:paraId="21DB294B" w14:textId="77777777" w:rsidTr="00434067">
        <w:trPr>
          <w:trHeight w:val="20"/>
          <w:jc w:val="center"/>
        </w:trPr>
        <w:tc>
          <w:tcPr>
            <w:tcW w:w="5000" w:type="pct"/>
            <w:shd w:val="clear" w:color="auto" w:fill="DBDBDB" w:themeFill="accent3" w:themeFillTint="66"/>
          </w:tcPr>
          <w:p w14:paraId="0C472ECD" w14:textId="77777777" w:rsidR="005F0114" w:rsidRPr="004F2E40" w:rsidRDefault="005F0114" w:rsidP="0029082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8. Constatările expertizei anticorupție</w:t>
            </w:r>
          </w:p>
        </w:tc>
      </w:tr>
      <w:tr w:rsidR="005F0114" w:rsidRPr="004F2E40" w14:paraId="7D3424F3" w14:textId="77777777" w:rsidTr="00434067">
        <w:trPr>
          <w:trHeight w:val="377"/>
          <w:jc w:val="center"/>
        </w:trPr>
        <w:tc>
          <w:tcPr>
            <w:tcW w:w="5000" w:type="pct"/>
          </w:tcPr>
          <w:p w14:paraId="6FCBEC46" w14:textId="0ABA1509" w:rsidR="005F0114" w:rsidRPr="004F2E40" w:rsidRDefault="004F2E40" w:rsidP="008E3DA2">
            <w:pPr>
              <w:tabs>
                <w:tab w:val="left" w:pos="284"/>
              </w:tabs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urmează a fi expertizat de CNA </w:t>
            </w:r>
          </w:p>
        </w:tc>
      </w:tr>
      <w:tr w:rsidR="005F0114" w:rsidRPr="004F2E40" w14:paraId="78591D30" w14:textId="77777777" w:rsidTr="00434067">
        <w:trPr>
          <w:trHeight w:val="20"/>
          <w:jc w:val="center"/>
        </w:trPr>
        <w:tc>
          <w:tcPr>
            <w:tcW w:w="5000" w:type="pct"/>
            <w:shd w:val="clear" w:color="auto" w:fill="DBDBDB" w:themeFill="accent3" w:themeFillTint="66"/>
          </w:tcPr>
          <w:p w14:paraId="547A714B" w14:textId="77777777" w:rsidR="005F0114" w:rsidRPr="004F2E40" w:rsidRDefault="005F0114" w:rsidP="0029082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9. Constatările expertizei de compatibilitate</w:t>
            </w:r>
          </w:p>
        </w:tc>
      </w:tr>
      <w:tr w:rsidR="005F0114" w:rsidRPr="004F2E40" w14:paraId="5C92125B" w14:textId="77777777" w:rsidTr="00434067">
        <w:trPr>
          <w:trHeight w:val="373"/>
          <w:jc w:val="center"/>
        </w:trPr>
        <w:tc>
          <w:tcPr>
            <w:tcW w:w="5000" w:type="pct"/>
          </w:tcPr>
          <w:p w14:paraId="0DC1BD91" w14:textId="61667F20" w:rsidR="005F0114" w:rsidRPr="004F2E40" w:rsidRDefault="009264CE" w:rsidP="002F5234">
            <w:pPr>
              <w:tabs>
                <w:tab w:val="left" w:pos="284"/>
              </w:tabs>
              <w:ind w:right="98" w:firstLine="5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Nu necesită efectuarea expertizei de compatibilitate, dat fiind faptul că proiectul de hotărâre nu prezintă relevanță UE.</w:t>
            </w:r>
          </w:p>
        </w:tc>
      </w:tr>
      <w:tr w:rsidR="005F0114" w:rsidRPr="004F2E40" w14:paraId="571F0C7E" w14:textId="77777777" w:rsidTr="00434067">
        <w:trPr>
          <w:trHeight w:val="20"/>
          <w:jc w:val="center"/>
        </w:trPr>
        <w:tc>
          <w:tcPr>
            <w:tcW w:w="5000" w:type="pct"/>
            <w:shd w:val="clear" w:color="auto" w:fill="DBDBDB" w:themeFill="accent3" w:themeFillTint="66"/>
          </w:tcPr>
          <w:p w14:paraId="6AD70D1D" w14:textId="77777777" w:rsidR="005F0114" w:rsidRPr="004F2E40" w:rsidRDefault="005F0114" w:rsidP="0029082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10. Constatările expertizei juridice</w:t>
            </w:r>
          </w:p>
        </w:tc>
      </w:tr>
      <w:tr w:rsidR="005F0114" w:rsidRPr="004F2E40" w14:paraId="7316EECA" w14:textId="77777777" w:rsidTr="0055520C">
        <w:trPr>
          <w:trHeight w:val="415"/>
          <w:jc w:val="center"/>
        </w:trPr>
        <w:tc>
          <w:tcPr>
            <w:tcW w:w="5000" w:type="pct"/>
          </w:tcPr>
          <w:p w14:paraId="5D2F1A75" w14:textId="4EE9AB5B" w:rsidR="005F0114" w:rsidRPr="004F2E40" w:rsidRDefault="004F2E40" w:rsidP="008E3DA2">
            <w:pPr>
              <w:tabs>
                <w:tab w:val="left" w:pos="284"/>
              </w:tabs>
              <w:ind w:firstLine="5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urmează a fi expertizat de Ministerul Justiție</w:t>
            </w:r>
            <w:r w:rsidR="003B6B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5F0114" w:rsidRPr="004F2E40" w14:paraId="42464172" w14:textId="77777777" w:rsidTr="00434067">
        <w:trPr>
          <w:trHeight w:val="20"/>
          <w:jc w:val="center"/>
        </w:trPr>
        <w:tc>
          <w:tcPr>
            <w:tcW w:w="5000" w:type="pct"/>
            <w:shd w:val="clear" w:color="auto" w:fill="DBDBDB" w:themeFill="accent3" w:themeFillTint="66"/>
          </w:tcPr>
          <w:p w14:paraId="51D3B7FD" w14:textId="77777777" w:rsidR="005F0114" w:rsidRPr="004F2E40" w:rsidRDefault="005F0114" w:rsidP="0029082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11. Constatările altor expertize</w:t>
            </w:r>
          </w:p>
        </w:tc>
      </w:tr>
      <w:tr w:rsidR="005F0114" w:rsidRPr="004F2E40" w14:paraId="4E7675B0" w14:textId="77777777" w:rsidTr="00434067">
        <w:trPr>
          <w:trHeight w:val="123"/>
          <w:jc w:val="center"/>
        </w:trPr>
        <w:tc>
          <w:tcPr>
            <w:tcW w:w="5000" w:type="pct"/>
          </w:tcPr>
          <w:p w14:paraId="1C4998C5" w14:textId="00EA732E" w:rsidR="005F0114" w:rsidRPr="004F2E40" w:rsidRDefault="0068000E" w:rsidP="0068000E">
            <w:pPr>
              <w:tabs>
                <w:tab w:val="left" w:pos="284"/>
              </w:tabs>
              <w:ind w:firstLine="5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4F2E40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Proiectul de hotărâre </w:t>
            </w:r>
            <w:r w:rsidRPr="004F2E4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 necesită </w:t>
            </w:r>
            <w:r w:rsidR="00EF6965" w:rsidRPr="004F2E4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Pr="004F2E40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fi supus </w:t>
            </w:r>
            <w:r w:rsidR="00EF6965" w:rsidRPr="004F2E40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altor expertize.</w:t>
            </w:r>
          </w:p>
        </w:tc>
      </w:tr>
    </w:tbl>
    <w:p w14:paraId="4A219A48" w14:textId="3827749A" w:rsidR="008E00D8" w:rsidRPr="004F2E40" w:rsidRDefault="008E00D8" w:rsidP="00D35C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3644AA40" w14:textId="77777777" w:rsidR="00546A2A" w:rsidRPr="004F2E40" w:rsidRDefault="00546A2A" w:rsidP="00D35C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2A56F1FF" w14:textId="77777777" w:rsidR="0055520C" w:rsidRPr="004F2E40" w:rsidRDefault="0055520C" w:rsidP="00D35C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46353C41" w14:textId="4DA5735C" w:rsidR="009D748E" w:rsidRPr="004F2E40" w:rsidRDefault="00025894" w:rsidP="00D35C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4F2E4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M</w:t>
      </w:r>
      <w:r w:rsidR="00F44BB2" w:rsidRPr="004F2E4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inistru</w:t>
      </w:r>
      <w:r w:rsidR="008A562D" w:rsidRPr="004F2E4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="008A562D" w:rsidRPr="004F2E4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="008A562D" w:rsidRPr="004F2E4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="008A562D" w:rsidRPr="004F2E4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="00FE74C3" w:rsidRPr="004F2E4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Dan </w:t>
      </w:r>
      <w:r w:rsidR="0055520C" w:rsidRPr="004F2E4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PERCIUN</w:t>
      </w:r>
    </w:p>
    <w:p w14:paraId="49AEC69D" w14:textId="77777777" w:rsidR="00B40055" w:rsidRPr="004F2E40" w:rsidRDefault="00B40055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5FCE6506" w14:textId="77777777" w:rsidR="00434067" w:rsidRPr="004F2E40" w:rsidRDefault="00434067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48E94EF" w14:textId="77777777" w:rsidR="0055520C" w:rsidRPr="004F2E40" w:rsidRDefault="0055520C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CF471BC" w14:textId="77777777" w:rsidR="0055520C" w:rsidRPr="004F2E40" w:rsidRDefault="0055520C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58F977C" w14:textId="77777777" w:rsidR="0055520C" w:rsidRPr="004F2E40" w:rsidRDefault="0055520C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5C6D5234" w14:textId="77777777" w:rsidR="0055520C" w:rsidRPr="004F2E40" w:rsidRDefault="0055520C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8F78DE6" w14:textId="77777777" w:rsidR="0055520C" w:rsidRPr="004F2E40" w:rsidRDefault="0055520C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5C410EDB" w14:textId="77777777" w:rsidR="00C91D28" w:rsidRPr="004F2E40" w:rsidRDefault="00C91D28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6E3D242" w14:textId="77777777" w:rsidR="00C91D28" w:rsidRPr="004F2E40" w:rsidRDefault="00C91D28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7C0B97CD" w14:textId="77777777" w:rsidR="0055520C" w:rsidRPr="004F2E40" w:rsidRDefault="0055520C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3CB9F36" w14:textId="77777777" w:rsidR="0055520C" w:rsidRPr="004F2E40" w:rsidRDefault="0055520C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15A7D1AE" w14:textId="77777777" w:rsidR="0055520C" w:rsidRPr="004F2E40" w:rsidRDefault="0055520C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223CBBD" w14:textId="77777777" w:rsidR="0055520C" w:rsidRPr="004F2E40" w:rsidRDefault="0055520C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124BEF19" w14:textId="77777777" w:rsidR="0055520C" w:rsidRPr="004F2E40" w:rsidRDefault="0055520C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058D0C25" w14:textId="77777777" w:rsidR="00E31697" w:rsidRPr="004F2E40" w:rsidRDefault="00E31697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0F178A83" w14:textId="77777777" w:rsidR="00E31697" w:rsidRPr="004F2E40" w:rsidRDefault="00E31697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03443C9C" w14:textId="77777777" w:rsidR="00546A2A" w:rsidRPr="004F2E40" w:rsidRDefault="00546A2A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789636A2" w14:textId="6499885B" w:rsidR="00E63660" w:rsidRPr="004F2E40" w:rsidRDefault="00E63660" w:rsidP="00D35C00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  <w:lang w:val="ro-RO"/>
        </w:rPr>
      </w:pPr>
      <w:r w:rsidRPr="004F2E40">
        <w:rPr>
          <w:rFonts w:ascii="Times New Roman" w:hAnsi="Times New Roman" w:cs="Times New Roman"/>
          <w:color w:val="000000" w:themeColor="text1"/>
          <w:szCs w:val="28"/>
          <w:lang w:val="ro-RO"/>
        </w:rPr>
        <w:t>Ex</w:t>
      </w:r>
      <w:r w:rsidR="007E2D0F" w:rsidRPr="004F2E40">
        <w:rPr>
          <w:rFonts w:ascii="Times New Roman" w:hAnsi="Times New Roman" w:cs="Times New Roman"/>
          <w:color w:val="000000" w:themeColor="text1"/>
          <w:szCs w:val="28"/>
          <w:lang w:val="ro-RO"/>
        </w:rPr>
        <w:t>.</w:t>
      </w:r>
      <w:r w:rsidR="00AC1A88" w:rsidRPr="004F2E40">
        <w:rPr>
          <w:rFonts w:ascii="Times New Roman" w:hAnsi="Times New Roman" w:cs="Times New Roman"/>
          <w:color w:val="000000" w:themeColor="text1"/>
          <w:szCs w:val="28"/>
          <w:lang w:val="ro-RO"/>
        </w:rPr>
        <w:t>:</w:t>
      </w:r>
      <w:r w:rsidRPr="004F2E40">
        <w:rPr>
          <w:rFonts w:ascii="Times New Roman" w:hAnsi="Times New Roman" w:cs="Times New Roman"/>
          <w:color w:val="000000" w:themeColor="text1"/>
          <w:szCs w:val="28"/>
          <w:lang w:val="ro-RO"/>
        </w:rPr>
        <w:t xml:space="preserve"> </w:t>
      </w:r>
      <w:proofErr w:type="spellStart"/>
      <w:r w:rsidR="008B6CC2" w:rsidRPr="004F2E40">
        <w:rPr>
          <w:rFonts w:ascii="Times New Roman" w:hAnsi="Times New Roman" w:cs="Times New Roman"/>
          <w:color w:val="000000" w:themeColor="text1"/>
          <w:szCs w:val="28"/>
          <w:lang w:val="ro-RO"/>
        </w:rPr>
        <w:t>A.Pris</w:t>
      </w:r>
      <w:r w:rsidR="00055E41" w:rsidRPr="004F2E40">
        <w:rPr>
          <w:rFonts w:ascii="Times New Roman" w:hAnsi="Times New Roman" w:cs="Times New Roman"/>
          <w:color w:val="000000" w:themeColor="text1"/>
          <w:szCs w:val="28"/>
          <w:lang w:val="ro-RO"/>
        </w:rPr>
        <w:t>ă</w:t>
      </w:r>
      <w:r w:rsidR="008B6CC2" w:rsidRPr="004F2E40">
        <w:rPr>
          <w:rFonts w:ascii="Times New Roman" w:hAnsi="Times New Roman" w:cs="Times New Roman"/>
          <w:color w:val="000000" w:themeColor="text1"/>
          <w:szCs w:val="28"/>
          <w:lang w:val="ro-RO"/>
        </w:rPr>
        <w:t>caru</w:t>
      </w:r>
      <w:proofErr w:type="spellEnd"/>
      <w:r w:rsidR="0099364C" w:rsidRPr="004F2E40">
        <w:rPr>
          <w:rFonts w:ascii="Times New Roman" w:hAnsi="Times New Roman" w:cs="Times New Roman"/>
          <w:color w:val="000000" w:themeColor="text1"/>
          <w:szCs w:val="28"/>
          <w:lang w:val="ro-RO"/>
        </w:rPr>
        <w:t>, t</w:t>
      </w:r>
      <w:r w:rsidRPr="004F2E40">
        <w:rPr>
          <w:rFonts w:ascii="Times New Roman" w:hAnsi="Times New Roman" w:cs="Times New Roman"/>
          <w:color w:val="000000" w:themeColor="text1"/>
          <w:szCs w:val="28"/>
          <w:lang w:val="ro-RO"/>
        </w:rPr>
        <w:t>el. 0 22 </w:t>
      </w:r>
      <w:r w:rsidR="008B6CC2" w:rsidRPr="004F2E40">
        <w:rPr>
          <w:rFonts w:ascii="Times New Roman" w:hAnsi="Times New Roman" w:cs="Times New Roman"/>
          <w:color w:val="000000" w:themeColor="text1"/>
          <w:szCs w:val="28"/>
          <w:lang w:val="ro-RO"/>
        </w:rPr>
        <w:t>232785</w:t>
      </w:r>
      <w:r w:rsidRPr="004F2E40">
        <w:rPr>
          <w:rFonts w:ascii="Times New Roman" w:hAnsi="Times New Roman" w:cs="Times New Roman"/>
          <w:color w:val="000000" w:themeColor="text1"/>
          <w:szCs w:val="28"/>
          <w:lang w:val="ro-RO"/>
        </w:rPr>
        <w:t xml:space="preserve"> </w:t>
      </w:r>
    </w:p>
    <w:sectPr w:rsidR="00E63660" w:rsidRPr="004F2E40" w:rsidSect="005F530F">
      <w:headerReference w:type="default" r:id="rId9"/>
      <w:footerReference w:type="default" r:id="rId10"/>
      <w:pgSz w:w="11906" w:h="16838" w:code="9"/>
      <w:pgMar w:top="1134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7781" w14:textId="77777777" w:rsidR="00304C3F" w:rsidRDefault="00304C3F" w:rsidP="009139A1">
      <w:pPr>
        <w:spacing w:after="0" w:line="240" w:lineRule="auto"/>
      </w:pPr>
      <w:r>
        <w:separator/>
      </w:r>
    </w:p>
  </w:endnote>
  <w:endnote w:type="continuationSeparator" w:id="0">
    <w:p w14:paraId="321D970D" w14:textId="77777777" w:rsidR="00304C3F" w:rsidRDefault="00304C3F" w:rsidP="0091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21FD" w14:textId="77777777" w:rsidR="009139A1" w:rsidRDefault="009139A1">
    <w:pPr>
      <w:pStyle w:val="Footer"/>
      <w:jc w:val="right"/>
    </w:pPr>
  </w:p>
  <w:p w14:paraId="3458B3CA" w14:textId="77777777" w:rsidR="009139A1" w:rsidRDefault="00913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9F207" w14:textId="77777777" w:rsidR="00304C3F" w:rsidRDefault="00304C3F" w:rsidP="009139A1">
      <w:pPr>
        <w:spacing w:after="0" w:line="240" w:lineRule="auto"/>
      </w:pPr>
      <w:r>
        <w:separator/>
      </w:r>
    </w:p>
  </w:footnote>
  <w:footnote w:type="continuationSeparator" w:id="0">
    <w:p w14:paraId="553B2C49" w14:textId="77777777" w:rsidR="00304C3F" w:rsidRDefault="00304C3F" w:rsidP="0091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4836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6A80B" w14:textId="2A249FAC" w:rsidR="005F530F" w:rsidRDefault="005F53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C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8EC732" w14:textId="77777777" w:rsidR="005F530F" w:rsidRDefault="005F5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1" w15:restartNumberingAfterBreak="0">
    <w:nsid w:val="14D3201E"/>
    <w:multiLevelType w:val="hybridMultilevel"/>
    <w:tmpl w:val="A8B4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0BF"/>
    <w:multiLevelType w:val="hybridMultilevel"/>
    <w:tmpl w:val="57A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5E19"/>
    <w:multiLevelType w:val="hybridMultilevel"/>
    <w:tmpl w:val="546872A0"/>
    <w:lvl w:ilvl="0" w:tplc="3A22B4E6">
      <w:start w:val="2"/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3EC54595"/>
    <w:multiLevelType w:val="hybridMultilevel"/>
    <w:tmpl w:val="412E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20E2"/>
    <w:multiLevelType w:val="hybridMultilevel"/>
    <w:tmpl w:val="7456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4DC6"/>
    <w:multiLevelType w:val="hybridMultilevel"/>
    <w:tmpl w:val="BA5864CE"/>
    <w:lvl w:ilvl="0" w:tplc="DB9EF42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7AC07D7"/>
    <w:multiLevelType w:val="multilevel"/>
    <w:tmpl w:val="C176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7"/>
    <w:rsid w:val="00002647"/>
    <w:rsid w:val="000077C3"/>
    <w:rsid w:val="0002060C"/>
    <w:rsid w:val="00021EC8"/>
    <w:rsid w:val="00025894"/>
    <w:rsid w:val="00033721"/>
    <w:rsid w:val="00035FAE"/>
    <w:rsid w:val="000442D0"/>
    <w:rsid w:val="00050127"/>
    <w:rsid w:val="000527D6"/>
    <w:rsid w:val="00055E41"/>
    <w:rsid w:val="00056578"/>
    <w:rsid w:val="00073E94"/>
    <w:rsid w:val="000744F1"/>
    <w:rsid w:val="0007464A"/>
    <w:rsid w:val="00092ED9"/>
    <w:rsid w:val="000A0A76"/>
    <w:rsid w:val="000A29B1"/>
    <w:rsid w:val="000A3872"/>
    <w:rsid w:val="000C36C6"/>
    <w:rsid w:val="000D612E"/>
    <w:rsid w:val="000E1ED0"/>
    <w:rsid w:val="000E5209"/>
    <w:rsid w:val="000E7F0D"/>
    <w:rsid w:val="000F0F3A"/>
    <w:rsid w:val="001011EA"/>
    <w:rsid w:val="00110AAC"/>
    <w:rsid w:val="0011318E"/>
    <w:rsid w:val="0011736A"/>
    <w:rsid w:val="001232D9"/>
    <w:rsid w:val="001275FE"/>
    <w:rsid w:val="00132EEC"/>
    <w:rsid w:val="0013332C"/>
    <w:rsid w:val="00133A5A"/>
    <w:rsid w:val="00136656"/>
    <w:rsid w:val="00156C35"/>
    <w:rsid w:val="001622D3"/>
    <w:rsid w:val="00163772"/>
    <w:rsid w:val="0017060B"/>
    <w:rsid w:val="00182CCE"/>
    <w:rsid w:val="0019026D"/>
    <w:rsid w:val="001A1DB9"/>
    <w:rsid w:val="001A7FD0"/>
    <w:rsid w:val="001B4364"/>
    <w:rsid w:val="001D2277"/>
    <w:rsid w:val="001D4E41"/>
    <w:rsid w:val="001F7D52"/>
    <w:rsid w:val="0020403C"/>
    <w:rsid w:val="002153F1"/>
    <w:rsid w:val="00221FC0"/>
    <w:rsid w:val="00226E3E"/>
    <w:rsid w:val="00231B74"/>
    <w:rsid w:val="002436EC"/>
    <w:rsid w:val="002573D4"/>
    <w:rsid w:val="0026433A"/>
    <w:rsid w:val="002657AF"/>
    <w:rsid w:val="0026751A"/>
    <w:rsid w:val="0028575D"/>
    <w:rsid w:val="00290820"/>
    <w:rsid w:val="002C2478"/>
    <w:rsid w:val="002D180E"/>
    <w:rsid w:val="002F0654"/>
    <w:rsid w:val="002F205F"/>
    <w:rsid w:val="002F5234"/>
    <w:rsid w:val="003039D9"/>
    <w:rsid w:val="00304C3F"/>
    <w:rsid w:val="00310113"/>
    <w:rsid w:val="00310441"/>
    <w:rsid w:val="00312841"/>
    <w:rsid w:val="00316EC6"/>
    <w:rsid w:val="00320339"/>
    <w:rsid w:val="00320604"/>
    <w:rsid w:val="0034421F"/>
    <w:rsid w:val="00345E5E"/>
    <w:rsid w:val="003575BD"/>
    <w:rsid w:val="00357B05"/>
    <w:rsid w:val="00363308"/>
    <w:rsid w:val="00366713"/>
    <w:rsid w:val="00366EDA"/>
    <w:rsid w:val="003729F1"/>
    <w:rsid w:val="0037636D"/>
    <w:rsid w:val="00376381"/>
    <w:rsid w:val="00380EBC"/>
    <w:rsid w:val="003908BD"/>
    <w:rsid w:val="003914EE"/>
    <w:rsid w:val="00397A69"/>
    <w:rsid w:val="003B6B7A"/>
    <w:rsid w:val="003B77C3"/>
    <w:rsid w:val="003D34AA"/>
    <w:rsid w:val="003D431D"/>
    <w:rsid w:val="003D6E1B"/>
    <w:rsid w:val="00401EE2"/>
    <w:rsid w:val="004075EB"/>
    <w:rsid w:val="00411F9F"/>
    <w:rsid w:val="00414277"/>
    <w:rsid w:val="004154EC"/>
    <w:rsid w:val="004168B3"/>
    <w:rsid w:val="00434067"/>
    <w:rsid w:val="00437449"/>
    <w:rsid w:val="004457BE"/>
    <w:rsid w:val="00451A97"/>
    <w:rsid w:val="004543A5"/>
    <w:rsid w:val="0046362C"/>
    <w:rsid w:val="004636D0"/>
    <w:rsid w:val="004676BE"/>
    <w:rsid w:val="004726B7"/>
    <w:rsid w:val="00473E24"/>
    <w:rsid w:val="00476AE3"/>
    <w:rsid w:val="004855E8"/>
    <w:rsid w:val="00490D36"/>
    <w:rsid w:val="00493AC2"/>
    <w:rsid w:val="004B0060"/>
    <w:rsid w:val="004D1B32"/>
    <w:rsid w:val="004E4C93"/>
    <w:rsid w:val="004F131E"/>
    <w:rsid w:val="004F2E40"/>
    <w:rsid w:val="00504DE3"/>
    <w:rsid w:val="005057A9"/>
    <w:rsid w:val="00512467"/>
    <w:rsid w:val="00522383"/>
    <w:rsid w:val="0052527C"/>
    <w:rsid w:val="0052736A"/>
    <w:rsid w:val="00535756"/>
    <w:rsid w:val="00535966"/>
    <w:rsid w:val="005409CC"/>
    <w:rsid w:val="00546A2A"/>
    <w:rsid w:val="0055520C"/>
    <w:rsid w:val="00562191"/>
    <w:rsid w:val="0056548B"/>
    <w:rsid w:val="00566D5E"/>
    <w:rsid w:val="005777F2"/>
    <w:rsid w:val="00580777"/>
    <w:rsid w:val="00583147"/>
    <w:rsid w:val="0059791E"/>
    <w:rsid w:val="005A17AA"/>
    <w:rsid w:val="005A6977"/>
    <w:rsid w:val="005A7FC7"/>
    <w:rsid w:val="005B215D"/>
    <w:rsid w:val="005B3F02"/>
    <w:rsid w:val="005C3D40"/>
    <w:rsid w:val="005D26FD"/>
    <w:rsid w:val="005D2EE8"/>
    <w:rsid w:val="005E6079"/>
    <w:rsid w:val="005F0043"/>
    <w:rsid w:val="005F0114"/>
    <w:rsid w:val="005F530F"/>
    <w:rsid w:val="00601A4C"/>
    <w:rsid w:val="00603954"/>
    <w:rsid w:val="0061106C"/>
    <w:rsid w:val="006163DA"/>
    <w:rsid w:val="00621FC5"/>
    <w:rsid w:val="00636DA1"/>
    <w:rsid w:val="00646F55"/>
    <w:rsid w:val="00664D70"/>
    <w:rsid w:val="006660D6"/>
    <w:rsid w:val="0068000E"/>
    <w:rsid w:val="0068133C"/>
    <w:rsid w:val="00687323"/>
    <w:rsid w:val="00692AB4"/>
    <w:rsid w:val="00695493"/>
    <w:rsid w:val="00695CE2"/>
    <w:rsid w:val="006A6AE5"/>
    <w:rsid w:val="006B110B"/>
    <w:rsid w:val="006B114B"/>
    <w:rsid w:val="006B6FD1"/>
    <w:rsid w:val="006B76C6"/>
    <w:rsid w:val="006C5C54"/>
    <w:rsid w:val="006E7AD5"/>
    <w:rsid w:val="006F3E9F"/>
    <w:rsid w:val="007077E5"/>
    <w:rsid w:val="00712169"/>
    <w:rsid w:val="00715C4E"/>
    <w:rsid w:val="00722D75"/>
    <w:rsid w:val="007265A4"/>
    <w:rsid w:val="00727E4D"/>
    <w:rsid w:val="00750EA6"/>
    <w:rsid w:val="00752D09"/>
    <w:rsid w:val="00760219"/>
    <w:rsid w:val="00760D7B"/>
    <w:rsid w:val="00763D96"/>
    <w:rsid w:val="0079279F"/>
    <w:rsid w:val="007A3372"/>
    <w:rsid w:val="007A49F9"/>
    <w:rsid w:val="007D1514"/>
    <w:rsid w:val="007E2D0F"/>
    <w:rsid w:val="007F2847"/>
    <w:rsid w:val="007F32D8"/>
    <w:rsid w:val="007F6CB0"/>
    <w:rsid w:val="007F78BF"/>
    <w:rsid w:val="0080180D"/>
    <w:rsid w:val="00815551"/>
    <w:rsid w:val="008160A8"/>
    <w:rsid w:val="00830F27"/>
    <w:rsid w:val="00834A40"/>
    <w:rsid w:val="008406FD"/>
    <w:rsid w:val="00855940"/>
    <w:rsid w:val="008660C1"/>
    <w:rsid w:val="00866FAE"/>
    <w:rsid w:val="0087017B"/>
    <w:rsid w:val="00872A6F"/>
    <w:rsid w:val="00874D9B"/>
    <w:rsid w:val="008841BE"/>
    <w:rsid w:val="00884B4C"/>
    <w:rsid w:val="00885F88"/>
    <w:rsid w:val="00892F89"/>
    <w:rsid w:val="00894AD2"/>
    <w:rsid w:val="00895BF0"/>
    <w:rsid w:val="008A1AC4"/>
    <w:rsid w:val="008A4561"/>
    <w:rsid w:val="008A4B05"/>
    <w:rsid w:val="008A5418"/>
    <w:rsid w:val="008A562D"/>
    <w:rsid w:val="008A5902"/>
    <w:rsid w:val="008A6743"/>
    <w:rsid w:val="008B2A84"/>
    <w:rsid w:val="008B2D82"/>
    <w:rsid w:val="008B3AE9"/>
    <w:rsid w:val="008B41E4"/>
    <w:rsid w:val="008B6CC2"/>
    <w:rsid w:val="008C106E"/>
    <w:rsid w:val="008C1F30"/>
    <w:rsid w:val="008D66A9"/>
    <w:rsid w:val="008D75E6"/>
    <w:rsid w:val="008E00D8"/>
    <w:rsid w:val="008E3DA2"/>
    <w:rsid w:val="008E56AB"/>
    <w:rsid w:val="009011AF"/>
    <w:rsid w:val="00901E2B"/>
    <w:rsid w:val="009139A1"/>
    <w:rsid w:val="00926203"/>
    <w:rsid w:val="009264CE"/>
    <w:rsid w:val="009305D9"/>
    <w:rsid w:val="00942F3C"/>
    <w:rsid w:val="0094539B"/>
    <w:rsid w:val="00945DEC"/>
    <w:rsid w:val="00951BFD"/>
    <w:rsid w:val="00953478"/>
    <w:rsid w:val="009545B3"/>
    <w:rsid w:val="00956471"/>
    <w:rsid w:val="00961297"/>
    <w:rsid w:val="00962E6B"/>
    <w:rsid w:val="009652A4"/>
    <w:rsid w:val="009655BF"/>
    <w:rsid w:val="00972644"/>
    <w:rsid w:val="00985306"/>
    <w:rsid w:val="0099364C"/>
    <w:rsid w:val="009A07B5"/>
    <w:rsid w:val="009A6651"/>
    <w:rsid w:val="009B0E8F"/>
    <w:rsid w:val="009B36DE"/>
    <w:rsid w:val="009C4CA8"/>
    <w:rsid w:val="009C7602"/>
    <w:rsid w:val="009D748E"/>
    <w:rsid w:val="009E6152"/>
    <w:rsid w:val="009F16E6"/>
    <w:rsid w:val="009F238F"/>
    <w:rsid w:val="009F271B"/>
    <w:rsid w:val="00A05C58"/>
    <w:rsid w:val="00A0632F"/>
    <w:rsid w:val="00A0637F"/>
    <w:rsid w:val="00A06896"/>
    <w:rsid w:val="00A07FBB"/>
    <w:rsid w:val="00A161C2"/>
    <w:rsid w:val="00A20B67"/>
    <w:rsid w:val="00A2190A"/>
    <w:rsid w:val="00A27B11"/>
    <w:rsid w:val="00A34618"/>
    <w:rsid w:val="00A40967"/>
    <w:rsid w:val="00A43EEC"/>
    <w:rsid w:val="00A46BE9"/>
    <w:rsid w:val="00A52B04"/>
    <w:rsid w:val="00A61877"/>
    <w:rsid w:val="00A620A7"/>
    <w:rsid w:val="00A66131"/>
    <w:rsid w:val="00A6677E"/>
    <w:rsid w:val="00A7202F"/>
    <w:rsid w:val="00A76AC3"/>
    <w:rsid w:val="00A8272D"/>
    <w:rsid w:val="00A83C5A"/>
    <w:rsid w:val="00A85FCE"/>
    <w:rsid w:val="00A86E22"/>
    <w:rsid w:val="00A878E3"/>
    <w:rsid w:val="00A94BEB"/>
    <w:rsid w:val="00A94E35"/>
    <w:rsid w:val="00AB6AE6"/>
    <w:rsid w:val="00AC1A88"/>
    <w:rsid w:val="00AE4657"/>
    <w:rsid w:val="00AF3D2F"/>
    <w:rsid w:val="00AF73E9"/>
    <w:rsid w:val="00B031EB"/>
    <w:rsid w:val="00B0468B"/>
    <w:rsid w:val="00B11BB9"/>
    <w:rsid w:val="00B13054"/>
    <w:rsid w:val="00B164D7"/>
    <w:rsid w:val="00B301FA"/>
    <w:rsid w:val="00B40055"/>
    <w:rsid w:val="00B47CF3"/>
    <w:rsid w:val="00B533B5"/>
    <w:rsid w:val="00B55723"/>
    <w:rsid w:val="00B65F95"/>
    <w:rsid w:val="00B661E0"/>
    <w:rsid w:val="00B71199"/>
    <w:rsid w:val="00B8301D"/>
    <w:rsid w:val="00B83A0C"/>
    <w:rsid w:val="00BA2C89"/>
    <w:rsid w:val="00BB0B72"/>
    <w:rsid w:val="00BB0D73"/>
    <w:rsid w:val="00BB59E6"/>
    <w:rsid w:val="00BC48A4"/>
    <w:rsid w:val="00BD018E"/>
    <w:rsid w:val="00BE41DB"/>
    <w:rsid w:val="00BF5302"/>
    <w:rsid w:val="00C00898"/>
    <w:rsid w:val="00C0560B"/>
    <w:rsid w:val="00C112B1"/>
    <w:rsid w:val="00C15397"/>
    <w:rsid w:val="00C2513B"/>
    <w:rsid w:val="00C34A73"/>
    <w:rsid w:val="00C37AE0"/>
    <w:rsid w:val="00C4368B"/>
    <w:rsid w:val="00C467A5"/>
    <w:rsid w:val="00C46B25"/>
    <w:rsid w:val="00C52558"/>
    <w:rsid w:val="00C56696"/>
    <w:rsid w:val="00C71421"/>
    <w:rsid w:val="00C77F89"/>
    <w:rsid w:val="00C816BF"/>
    <w:rsid w:val="00C828A2"/>
    <w:rsid w:val="00C8790D"/>
    <w:rsid w:val="00C900C2"/>
    <w:rsid w:val="00C911F2"/>
    <w:rsid w:val="00C91D28"/>
    <w:rsid w:val="00C954D8"/>
    <w:rsid w:val="00CC3EFF"/>
    <w:rsid w:val="00CC5248"/>
    <w:rsid w:val="00CD2413"/>
    <w:rsid w:val="00CD796F"/>
    <w:rsid w:val="00CE1AD4"/>
    <w:rsid w:val="00CF35CE"/>
    <w:rsid w:val="00D03B1C"/>
    <w:rsid w:val="00D16FC4"/>
    <w:rsid w:val="00D1773E"/>
    <w:rsid w:val="00D247F6"/>
    <w:rsid w:val="00D341B6"/>
    <w:rsid w:val="00D345EC"/>
    <w:rsid w:val="00D35C00"/>
    <w:rsid w:val="00D36043"/>
    <w:rsid w:val="00D41ABD"/>
    <w:rsid w:val="00D47150"/>
    <w:rsid w:val="00D61D25"/>
    <w:rsid w:val="00D70E75"/>
    <w:rsid w:val="00D71192"/>
    <w:rsid w:val="00D74085"/>
    <w:rsid w:val="00D741F3"/>
    <w:rsid w:val="00DA755E"/>
    <w:rsid w:val="00DB1872"/>
    <w:rsid w:val="00DC6842"/>
    <w:rsid w:val="00DE28B9"/>
    <w:rsid w:val="00DF5563"/>
    <w:rsid w:val="00DF5D64"/>
    <w:rsid w:val="00DF710D"/>
    <w:rsid w:val="00E0089A"/>
    <w:rsid w:val="00E31697"/>
    <w:rsid w:val="00E420F7"/>
    <w:rsid w:val="00E53469"/>
    <w:rsid w:val="00E60755"/>
    <w:rsid w:val="00E6316A"/>
    <w:rsid w:val="00E63660"/>
    <w:rsid w:val="00E7785A"/>
    <w:rsid w:val="00E8255C"/>
    <w:rsid w:val="00EA7EA9"/>
    <w:rsid w:val="00EB77AD"/>
    <w:rsid w:val="00EC557F"/>
    <w:rsid w:val="00EC75B5"/>
    <w:rsid w:val="00ED4592"/>
    <w:rsid w:val="00EE1598"/>
    <w:rsid w:val="00EF6965"/>
    <w:rsid w:val="00F0552C"/>
    <w:rsid w:val="00F13C5F"/>
    <w:rsid w:val="00F16D23"/>
    <w:rsid w:val="00F22B34"/>
    <w:rsid w:val="00F27F6D"/>
    <w:rsid w:val="00F329B9"/>
    <w:rsid w:val="00F43D21"/>
    <w:rsid w:val="00F44BB2"/>
    <w:rsid w:val="00F52621"/>
    <w:rsid w:val="00F5513B"/>
    <w:rsid w:val="00F67AD9"/>
    <w:rsid w:val="00F810B7"/>
    <w:rsid w:val="00F81E31"/>
    <w:rsid w:val="00F85807"/>
    <w:rsid w:val="00FA0274"/>
    <w:rsid w:val="00FA57E6"/>
    <w:rsid w:val="00FB1690"/>
    <w:rsid w:val="00FB33CD"/>
    <w:rsid w:val="00FC7616"/>
    <w:rsid w:val="00FE3643"/>
    <w:rsid w:val="00FE74C3"/>
    <w:rsid w:val="00FF5412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60B1"/>
  <w15:docId w15:val="{C693B965-4D46-411A-B444-EA20E4A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77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A52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77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Абзац списка1,List Paragraph11,Абзац списка2"/>
    <w:basedOn w:val="Normal"/>
    <w:link w:val="ListParagraphChar"/>
    <w:uiPriority w:val="34"/>
    <w:qFormat/>
    <w:rsid w:val="005A6977"/>
    <w:pPr>
      <w:ind w:left="720"/>
      <w:contextualSpacing/>
    </w:pPr>
  </w:style>
  <w:style w:type="paragraph" w:customStyle="1" w:styleId="Default">
    <w:name w:val="Default"/>
    <w:rsid w:val="005A6977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ru-RU"/>
    </w:rPr>
  </w:style>
  <w:style w:type="character" w:customStyle="1" w:styleId="ListParagraphChar">
    <w:name w:val="List Paragraph Char"/>
    <w:aliases w:val="List Paragraph 1 Char,List Paragraph1 Char,Абзац списка1 Char,List Paragraph11 Char,Абзац списка2 Char"/>
    <w:basedOn w:val="DefaultParagraphFont"/>
    <w:link w:val="ListParagraph"/>
    <w:uiPriority w:val="34"/>
    <w:locked/>
    <w:rsid w:val="005A6977"/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F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810B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1421"/>
    <w:pPr>
      <w:widowControl w:val="0"/>
      <w:spacing w:after="0" w:line="240" w:lineRule="auto"/>
      <w:ind w:left="842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71421"/>
    <w:rPr>
      <w:rFonts w:eastAsia="Times New Roman" w:cstheme="minorBidi"/>
      <w:sz w:val="28"/>
      <w:szCs w:val="28"/>
      <w:lang w:val="en-US"/>
    </w:rPr>
  </w:style>
  <w:style w:type="character" w:styleId="Emphasis">
    <w:name w:val="Emphasis"/>
    <w:qFormat/>
    <w:rsid w:val="004676B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52B04"/>
    <w:rPr>
      <w:rFonts w:eastAsia="Times New Roman"/>
      <w:b/>
      <w:bCs/>
      <w:lang w:val="ru-RU" w:eastAsia="ru-RU"/>
    </w:rPr>
  </w:style>
  <w:style w:type="character" w:styleId="Strong">
    <w:name w:val="Strong"/>
    <w:basedOn w:val="DefaultParagraphFont"/>
    <w:uiPriority w:val="22"/>
    <w:qFormat/>
    <w:rsid w:val="00A52B04"/>
    <w:rPr>
      <w:b/>
      <w:bCs/>
    </w:rPr>
  </w:style>
  <w:style w:type="paragraph" w:styleId="NormalWeb">
    <w:name w:val="Normal (Web)"/>
    <w:basedOn w:val="Normal"/>
    <w:uiPriority w:val="99"/>
    <w:unhideWhenUsed/>
    <w:rsid w:val="009E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.gov.md/ro/content/anunturi-privind-initierea-elaborarii-deciziil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BEFE-A09B-455F-B75A-9E5CA5A2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Angela Prisacaru</cp:lastModifiedBy>
  <cp:revision>66</cp:revision>
  <cp:lastPrinted>2022-02-09T16:27:00Z</cp:lastPrinted>
  <dcterms:created xsi:type="dcterms:W3CDTF">2023-08-28T06:55:00Z</dcterms:created>
  <dcterms:modified xsi:type="dcterms:W3CDTF">2023-09-12T05:37:00Z</dcterms:modified>
</cp:coreProperties>
</file>