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FF0" w:rsidRPr="001E7194" w:rsidRDefault="00DF6FF0" w:rsidP="00D83EBE">
      <w:pPr>
        <w:spacing w:after="0"/>
        <w:contextualSpacing/>
        <w:jc w:val="center"/>
        <w:rPr>
          <w:b/>
          <w:color w:val="000000"/>
        </w:rPr>
      </w:pPr>
      <w:r w:rsidRPr="001E7194">
        <w:rPr>
          <w:b/>
          <w:color w:val="000000"/>
        </w:rPr>
        <w:t>Tabelul comparativ</w:t>
      </w:r>
    </w:p>
    <w:p w:rsidR="00D83EBE" w:rsidRPr="001E7194" w:rsidRDefault="00DF6FF0" w:rsidP="00D83EBE">
      <w:pPr>
        <w:spacing w:after="0"/>
        <w:ind w:firstLine="567"/>
        <w:jc w:val="center"/>
        <w:rPr>
          <w:b/>
          <w:bCs/>
        </w:rPr>
      </w:pPr>
      <w:r w:rsidRPr="001E7194">
        <w:rPr>
          <w:b/>
          <w:color w:val="000000"/>
        </w:rPr>
        <w:t xml:space="preserve">la proiectul Hotărârii Guvernului </w:t>
      </w:r>
      <w:r w:rsidR="00D83EBE" w:rsidRPr="001E7194">
        <w:rPr>
          <w:b/>
        </w:rPr>
        <w:t xml:space="preserve">cu privire la </w:t>
      </w:r>
      <w:r w:rsidR="00D83EBE" w:rsidRPr="001E7194">
        <w:rPr>
          <w:b/>
          <w:bCs/>
        </w:rPr>
        <w:t xml:space="preserve">modificarea </w:t>
      </w:r>
      <w:r w:rsidR="00671DE0">
        <w:rPr>
          <w:b/>
          <w:bCs/>
        </w:rPr>
        <w:t>H</w:t>
      </w:r>
      <w:r w:rsidR="00D83EBE" w:rsidRPr="001E7194">
        <w:rPr>
          <w:b/>
          <w:bCs/>
        </w:rPr>
        <w:t>otărârii Guvernului nr. 1234/2018</w:t>
      </w:r>
    </w:p>
    <w:p w:rsidR="00DF6FF0" w:rsidRPr="001E7194" w:rsidRDefault="00D83EBE" w:rsidP="00D83EBE">
      <w:pPr>
        <w:spacing w:after="0"/>
        <w:contextualSpacing/>
        <w:jc w:val="center"/>
        <w:rPr>
          <w:b/>
          <w:color w:val="000000"/>
        </w:rPr>
      </w:pPr>
      <w:r w:rsidRPr="001E7194">
        <w:rPr>
          <w:b/>
          <w:bCs/>
        </w:rPr>
        <w:t>privind condițiile de salarizare a personalului din instituțiile de învățământ care funcționează în regim de autogestiune financiar-economică</w:t>
      </w:r>
    </w:p>
    <w:p w:rsidR="00DF6FF0" w:rsidRPr="001E7194" w:rsidRDefault="00DF6FF0" w:rsidP="00DF6FF0">
      <w:pPr>
        <w:pStyle w:val="NoSpacing"/>
        <w:jc w:val="center"/>
        <w:rPr>
          <w:rFonts w:ascii="Times New Roman" w:hAnsi="Times New Roman" w:cs="Times New Roman"/>
          <w:b/>
          <w:lang w:val="ro-RO"/>
        </w:rPr>
      </w:pPr>
    </w:p>
    <w:tbl>
      <w:tblPr>
        <w:tblStyle w:val="TableGrid"/>
        <w:tblW w:w="5195" w:type="pct"/>
        <w:tblLook w:val="04A0" w:firstRow="1" w:lastRow="0" w:firstColumn="1" w:lastColumn="0" w:noHBand="0" w:noVBand="1"/>
      </w:tblPr>
      <w:tblGrid>
        <w:gridCol w:w="383"/>
        <w:gridCol w:w="3662"/>
        <w:gridCol w:w="4822"/>
        <w:gridCol w:w="4588"/>
      </w:tblGrid>
      <w:tr w:rsidR="00DF6FF0" w:rsidRPr="001E7194" w:rsidTr="007B2408">
        <w:tc>
          <w:tcPr>
            <w:tcW w:w="142" w:type="pct"/>
            <w:shd w:val="clear" w:color="auto" w:fill="BFBFBF" w:themeFill="background1" w:themeFillShade="BF"/>
          </w:tcPr>
          <w:p w:rsidR="00DF6FF0" w:rsidRPr="001E7194" w:rsidRDefault="00DF6FF0" w:rsidP="00DA09D1">
            <w:pPr>
              <w:rPr>
                <w:rFonts w:cs="Times New Roman"/>
                <w:sz w:val="24"/>
                <w:szCs w:val="24"/>
              </w:rPr>
            </w:pPr>
          </w:p>
        </w:tc>
        <w:tc>
          <w:tcPr>
            <w:tcW w:w="1361" w:type="pct"/>
            <w:shd w:val="clear" w:color="auto" w:fill="BFBFBF" w:themeFill="background1" w:themeFillShade="BF"/>
          </w:tcPr>
          <w:p w:rsidR="00DF6FF0" w:rsidRPr="001E7194" w:rsidRDefault="00DF6FF0" w:rsidP="00DA09D1">
            <w:pPr>
              <w:jc w:val="center"/>
              <w:rPr>
                <w:rFonts w:cs="Times New Roman"/>
                <w:b/>
                <w:sz w:val="24"/>
                <w:szCs w:val="24"/>
              </w:rPr>
            </w:pPr>
            <w:r w:rsidRPr="001E7194">
              <w:rPr>
                <w:rFonts w:cs="Times New Roman"/>
                <w:b/>
                <w:sz w:val="24"/>
                <w:szCs w:val="24"/>
              </w:rPr>
              <w:t>Text în vigoare</w:t>
            </w:r>
          </w:p>
        </w:tc>
        <w:tc>
          <w:tcPr>
            <w:tcW w:w="1792" w:type="pct"/>
            <w:shd w:val="clear" w:color="auto" w:fill="BFBFBF" w:themeFill="background1" w:themeFillShade="BF"/>
          </w:tcPr>
          <w:p w:rsidR="00DF6FF0" w:rsidRPr="001E7194" w:rsidRDefault="00DF6FF0" w:rsidP="00DA09D1">
            <w:pPr>
              <w:jc w:val="center"/>
              <w:rPr>
                <w:rFonts w:cs="Times New Roman"/>
                <w:b/>
                <w:sz w:val="24"/>
                <w:szCs w:val="24"/>
              </w:rPr>
            </w:pPr>
            <w:r w:rsidRPr="001E7194">
              <w:rPr>
                <w:rFonts w:cs="Times New Roman"/>
                <w:b/>
                <w:sz w:val="24"/>
                <w:szCs w:val="24"/>
              </w:rPr>
              <w:t>Modificarea propusă</w:t>
            </w:r>
          </w:p>
        </w:tc>
        <w:tc>
          <w:tcPr>
            <w:tcW w:w="1705" w:type="pct"/>
            <w:shd w:val="clear" w:color="auto" w:fill="BFBFBF" w:themeFill="background1" w:themeFillShade="BF"/>
          </w:tcPr>
          <w:p w:rsidR="00DF6FF0" w:rsidRPr="001E7194" w:rsidRDefault="00DF6FF0" w:rsidP="00DA09D1">
            <w:pPr>
              <w:jc w:val="center"/>
              <w:rPr>
                <w:rFonts w:cs="Times New Roman"/>
                <w:b/>
                <w:sz w:val="24"/>
                <w:szCs w:val="24"/>
              </w:rPr>
            </w:pPr>
            <w:r w:rsidRPr="001E7194">
              <w:rPr>
                <w:rFonts w:cs="Times New Roman"/>
                <w:b/>
                <w:sz w:val="24"/>
                <w:szCs w:val="24"/>
              </w:rPr>
              <w:t>Text după modificare</w:t>
            </w:r>
          </w:p>
        </w:tc>
      </w:tr>
      <w:tr w:rsidR="00E55639" w:rsidRPr="001E7194" w:rsidTr="00361431">
        <w:tc>
          <w:tcPr>
            <w:tcW w:w="142" w:type="pct"/>
          </w:tcPr>
          <w:p w:rsidR="00E55639" w:rsidRPr="001E7194" w:rsidRDefault="00E55639" w:rsidP="00E55639">
            <w:pPr>
              <w:rPr>
                <w:rFonts w:cs="Times New Roman"/>
                <w:sz w:val="22"/>
              </w:rPr>
            </w:pPr>
            <w:r w:rsidRPr="001E7194">
              <w:rPr>
                <w:rFonts w:cs="Times New Roman"/>
                <w:sz w:val="22"/>
              </w:rPr>
              <w:t>1.</w:t>
            </w:r>
          </w:p>
        </w:tc>
        <w:tc>
          <w:tcPr>
            <w:tcW w:w="1361" w:type="pct"/>
          </w:tcPr>
          <w:p w:rsidR="00E55639" w:rsidRPr="001E7194" w:rsidRDefault="00E55639" w:rsidP="00E55639">
            <w:pPr>
              <w:ind w:left="-18" w:firstLine="18"/>
              <w:jc w:val="both"/>
              <w:rPr>
                <w:rFonts w:cs="Times New Roman"/>
                <w:sz w:val="22"/>
              </w:rPr>
            </w:pPr>
            <w:r w:rsidRPr="001E7194">
              <w:rPr>
                <w:rFonts w:cs="Times New Roman"/>
                <w:color w:val="000000"/>
                <w:sz w:val="20"/>
                <w:szCs w:val="20"/>
                <w:shd w:val="clear" w:color="auto" w:fill="FFFFFF"/>
              </w:rPr>
              <w:t>14. La determinarea salariului de bază pentru personalul vizat de prezenta hotărâre se aplică valoarea de referință corespunzătoare coeficientului de salarizare 1,00, aprobată anual pentru angajații în legea bugetului de stat pentru anul respectiv angajaților cu funcții similare din sectorul bugetar.</w:t>
            </w:r>
          </w:p>
        </w:tc>
        <w:tc>
          <w:tcPr>
            <w:tcW w:w="1792" w:type="pct"/>
          </w:tcPr>
          <w:p w:rsidR="00E55639" w:rsidRPr="001E7194" w:rsidRDefault="00E55639" w:rsidP="00E55639">
            <w:pPr>
              <w:pStyle w:val="Heading4"/>
              <w:shd w:val="clear" w:color="auto" w:fill="FFFFFF"/>
              <w:tabs>
                <w:tab w:val="left" w:pos="851"/>
                <w:tab w:val="left" w:pos="1170"/>
              </w:tabs>
              <w:spacing w:before="0" w:beforeAutospacing="0" w:after="0" w:afterAutospacing="0"/>
              <w:jc w:val="both"/>
              <w:outlineLvl w:val="3"/>
              <w:rPr>
                <w:rFonts w:eastAsiaTheme="minorHAnsi"/>
                <w:b w:val="0"/>
                <w:bCs w:val="0"/>
                <w:color w:val="000000"/>
                <w:sz w:val="20"/>
                <w:szCs w:val="20"/>
                <w:shd w:val="clear" w:color="auto" w:fill="FFFFFF"/>
                <w:lang w:val="ro-RO" w:eastAsia="en-US"/>
              </w:rPr>
            </w:pPr>
            <w:r w:rsidRPr="001E7194">
              <w:rPr>
                <w:rFonts w:eastAsiaTheme="minorHAnsi"/>
                <w:b w:val="0"/>
                <w:bCs w:val="0"/>
                <w:color w:val="000000"/>
                <w:sz w:val="20"/>
                <w:szCs w:val="20"/>
                <w:shd w:val="clear" w:color="auto" w:fill="FFFFFF"/>
                <w:lang w:val="ro-RO" w:eastAsia="en-US"/>
              </w:rPr>
              <w:t>Punctul 14 va avea următorul cuprins:</w:t>
            </w:r>
          </w:p>
          <w:p w:rsidR="00E55639" w:rsidRPr="001E7194" w:rsidRDefault="00E55639" w:rsidP="00E55639">
            <w:pPr>
              <w:jc w:val="both"/>
              <w:rPr>
                <w:rFonts w:cs="Times New Roman"/>
                <w:color w:val="000000"/>
                <w:sz w:val="20"/>
                <w:szCs w:val="20"/>
                <w:shd w:val="clear" w:color="auto" w:fill="FFFFFF"/>
              </w:rPr>
            </w:pPr>
            <w:r w:rsidRPr="001E7194">
              <w:rPr>
                <w:rFonts w:cs="Times New Roman"/>
                <w:color w:val="000000"/>
                <w:sz w:val="20"/>
                <w:szCs w:val="20"/>
                <w:shd w:val="clear" w:color="auto" w:fill="FFFFFF"/>
              </w:rPr>
              <w:t>„La determinarea salariului de bază pentru personalul din cadrul instituțiilor de învățământ profesional tehnic se aplică valoarea de referință corespunzătoare coeficientului de salarizare 1,00, aprobată anual pentru angajații în legea bugetului de stat pentru anul respectiv angajaților cu funcții similare din sectorul bugetar.”</w:t>
            </w:r>
          </w:p>
        </w:tc>
        <w:tc>
          <w:tcPr>
            <w:tcW w:w="1705" w:type="pct"/>
          </w:tcPr>
          <w:p w:rsidR="00E55639" w:rsidRPr="001E7194" w:rsidRDefault="00E55639" w:rsidP="00E55639">
            <w:pPr>
              <w:jc w:val="both"/>
              <w:rPr>
                <w:rFonts w:cs="Times New Roman"/>
                <w:sz w:val="22"/>
              </w:rPr>
            </w:pPr>
            <w:r w:rsidRPr="001E7194">
              <w:rPr>
                <w:rFonts w:cs="Times New Roman"/>
                <w:color w:val="000000"/>
                <w:sz w:val="20"/>
                <w:szCs w:val="20"/>
                <w:shd w:val="clear" w:color="auto" w:fill="FFFFFF"/>
              </w:rPr>
              <w:t>14. La determinarea salariului de bază pentru personalul din cadrul instituțiilor de învățământ profesional tehnic se aplică valoarea de referință corespunzătoare coeficientului de salarizare 1,00, aprobată anual pentru angajații în legea bugetului de stat pentru anul respectiv angajaților cu funcții similare din sectorul bugetar.</w:t>
            </w:r>
          </w:p>
        </w:tc>
      </w:tr>
      <w:tr w:rsidR="00E55639" w:rsidRPr="001E7194" w:rsidTr="00361431">
        <w:tc>
          <w:tcPr>
            <w:tcW w:w="142" w:type="pct"/>
          </w:tcPr>
          <w:p w:rsidR="00E55639" w:rsidRPr="001E7194" w:rsidRDefault="00E55639" w:rsidP="00DA09D1">
            <w:pPr>
              <w:rPr>
                <w:rFonts w:cs="Times New Roman"/>
                <w:sz w:val="22"/>
              </w:rPr>
            </w:pPr>
          </w:p>
        </w:tc>
        <w:tc>
          <w:tcPr>
            <w:tcW w:w="1361" w:type="pct"/>
          </w:tcPr>
          <w:p w:rsidR="00E55639" w:rsidRPr="001E7194" w:rsidRDefault="00E55639" w:rsidP="00DA09D1">
            <w:pPr>
              <w:ind w:left="-18" w:firstLine="18"/>
              <w:jc w:val="both"/>
              <w:rPr>
                <w:rFonts w:cs="Times New Roman"/>
                <w:color w:val="000000"/>
                <w:sz w:val="20"/>
                <w:szCs w:val="20"/>
                <w:shd w:val="clear" w:color="auto" w:fill="FFFFFF"/>
              </w:rPr>
            </w:pPr>
          </w:p>
        </w:tc>
        <w:tc>
          <w:tcPr>
            <w:tcW w:w="1792" w:type="pct"/>
          </w:tcPr>
          <w:p w:rsidR="00E55639" w:rsidRPr="001E7194" w:rsidRDefault="00E55639" w:rsidP="00E55639">
            <w:pPr>
              <w:pStyle w:val="Heading4"/>
              <w:shd w:val="clear" w:color="auto" w:fill="FFFFFF"/>
              <w:tabs>
                <w:tab w:val="left" w:pos="851"/>
                <w:tab w:val="left" w:pos="1170"/>
              </w:tabs>
              <w:spacing w:before="0" w:beforeAutospacing="0" w:after="0" w:afterAutospacing="0"/>
              <w:jc w:val="both"/>
              <w:outlineLvl w:val="3"/>
              <w:rPr>
                <w:rFonts w:eastAsiaTheme="minorHAnsi"/>
                <w:b w:val="0"/>
                <w:bCs w:val="0"/>
                <w:color w:val="000000"/>
                <w:sz w:val="20"/>
                <w:szCs w:val="20"/>
                <w:shd w:val="clear" w:color="auto" w:fill="FFFFFF"/>
                <w:lang w:val="ro-RO" w:eastAsia="en-US"/>
              </w:rPr>
            </w:pPr>
            <w:r w:rsidRPr="001E7194">
              <w:rPr>
                <w:rFonts w:eastAsiaTheme="minorHAnsi"/>
                <w:b w:val="0"/>
                <w:bCs w:val="0"/>
                <w:color w:val="000000"/>
                <w:sz w:val="20"/>
                <w:szCs w:val="20"/>
                <w:shd w:val="clear" w:color="auto" w:fill="FFFFFF"/>
                <w:lang w:val="ro-RO" w:eastAsia="en-US"/>
              </w:rPr>
              <w:t>Punctul 14</w:t>
            </w:r>
            <w:r w:rsidRPr="001E7194">
              <w:rPr>
                <w:rFonts w:eastAsiaTheme="minorHAnsi"/>
                <w:b w:val="0"/>
                <w:bCs w:val="0"/>
                <w:color w:val="000000"/>
                <w:sz w:val="20"/>
                <w:szCs w:val="20"/>
                <w:shd w:val="clear" w:color="auto" w:fill="FFFFFF"/>
                <w:vertAlign w:val="superscript"/>
                <w:lang w:val="ro-RO" w:eastAsia="en-US"/>
              </w:rPr>
              <w:t>1</w:t>
            </w:r>
            <w:r w:rsidRPr="001E7194">
              <w:rPr>
                <w:rFonts w:eastAsiaTheme="minorHAnsi"/>
                <w:b w:val="0"/>
                <w:bCs w:val="0"/>
                <w:color w:val="000000"/>
                <w:sz w:val="20"/>
                <w:szCs w:val="20"/>
                <w:shd w:val="clear" w:color="auto" w:fill="FFFFFF"/>
                <w:lang w:val="ro-RO" w:eastAsia="en-US"/>
              </w:rPr>
              <w:t xml:space="preserve"> Se completează cu punctul 14</w:t>
            </w:r>
            <w:r w:rsidRPr="001E7194">
              <w:rPr>
                <w:rFonts w:eastAsiaTheme="minorHAnsi"/>
                <w:b w:val="0"/>
                <w:bCs w:val="0"/>
                <w:color w:val="000000"/>
                <w:sz w:val="20"/>
                <w:szCs w:val="20"/>
                <w:shd w:val="clear" w:color="auto" w:fill="FFFFFF"/>
                <w:vertAlign w:val="superscript"/>
                <w:lang w:val="ro-RO" w:eastAsia="en-US"/>
              </w:rPr>
              <w:t>1</w:t>
            </w:r>
            <w:r w:rsidRPr="001E7194">
              <w:rPr>
                <w:rFonts w:eastAsiaTheme="minorHAnsi"/>
                <w:b w:val="0"/>
                <w:bCs w:val="0"/>
                <w:color w:val="000000"/>
                <w:sz w:val="20"/>
                <w:szCs w:val="20"/>
                <w:shd w:val="clear" w:color="auto" w:fill="FFFFFF"/>
                <w:lang w:val="ro-RO" w:eastAsia="en-US"/>
              </w:rPr>
              <w:t xml:space="preserve"> cu următorul cuprins:</w:t>
            </w:r>
          </w:p>
          <w:p w:rsidR="00E55639" w:rsidRPr="001E7194" w:rsidRDefault="00E55639" w:rsidP="00E55639">
            <w:pPr>
              <w:shd w:val="clear" w:color="auto" w:fill="FFFFFF"/>
              <w:jc w:val="both"/>
              <w:rPr>
                <w:rFonts w:cs="Times New Roman"/>
                <w:color w:val="000000"/>
                <w:sz w:val="20"/>
                <w:szCs w:val="20"/>
                <w:shd w:val="clear" w:color="auto" w:fill="FFFFFF"/>
              </w:rPr>
            </w:pPr>
            <w:r w:rsidRPr="001E7194">
              <w:rPr>
                <w:rFonts w:cs="Times New Roman"/>
                <w:color w:val="000000"/>
                <w:sz w:val="20"/>
                <w:szCs w:val="20"/>
                <w:shd w:val="clear" w:color="auto" w:fill="FFFFFF"/>
              </w:rPr>
              <w:t xml:space="preserve">„La determinarea salariului de bază pentru personalul </w:t>
            </w:r>
            <w:r w:rsidRPr="001E7194">
              <w:rPr>
                <w:bCs/>
                <w:color w:val="000000"/>
                <w:sz w:val="20"/>
                <w:szCs w:val="20"/>
                <w:shd w:val="clear" w:color="auto" w:fill="FFFFFF"/>
              </w:rPr>
              <w:t xml:space="preserve">didactic, de cercetare și de conducere </w:t>
            </w:r>
            <w:r w:rsidRPr="001E7194">
              <w:rPr>
                <w:rFonts w:cs="Times New Roman"/>
                <w:color w:val="000000"/>
                <w:sz w:val="20"/>
                <w:szCs w:val="20"/>
                <w:shd w:val="clear" w:color="auto" w:fill="FFFFFF"/>
              </w:rPr>
              <w:t>din cadrul instituțiilor de învățământ superior se aplică valoarea de referință corespunzătoare coeficientului de salarizare 1,00, aprobată anual pentru angajații în legea bugetului de stat pentru anul respectiv angajaților cu funcții similare din sectorul bugetar.</w:t>
            </w:r>
          </w:p>
          <w:p w:rsidR="00E55639" w:rsidRPr="001E7194" w:rsidRDefault="00E55639" w:rsidP="00E55639">
            <w:pPr>
              <w:jc w:val="both"/>
              <w:rPr>
                <w:rFonts w:cs="Times New Roman"/>
                <w:color w:val="000000"/>
                <w:sz w:val="20"/>
                <w:szCs w:val="20"/>
                <w:shd w:val="clear" w:color="auto" w:fill="FFFFFF"/>
              </w:rPr>
            </w:pPr>
            <w:r w:rsidRPr="001E7194">
              <w:rPr>
                <w:rFonts w:cs="Times New Roman"/>
                <w:color w:val="000000"/>
                <w:sz w:val="20"/>
                <w:szCs w:val="20"/>
                <w:shd w:val="clear" w:color="auto" w:fill="FFFFFF"/>
              </w:rPr>
              <w:t xml:space="preserve">Valoarea de referință </w:t>
            </w:r>
            <w:r w:rsidRPr="001E7194">
              <w:rPr>
                <w:color w:val="000000"/>
                <w:sz w:val="20"/>
                <w:szCs w:val="20"/>
                <w:shd w:val="clear" w:color="auto" w:fill="FFFFFF"/>
              </w:rPr>
              <w:t xml:space="preserve">pentru </w:t>
            </w:r>
            <w:r w:rsidRPr="001E7194">
              <w:rPr>
                <w:bCs/>
                <w:color w:val="000000"/>
                <w:sz w:val="20"/>
                <w:szCs w:val="20"/>
                <w:shd w:val="clear" w:color="auto" w:fill="FFFFFF"/>
              </w:rPr>
              <w:t xml:space="preserve">personalul didactic, de cercetare și de conducere </w:t>
            </w:r>
            <w:r w:rsidRPr="001E7194">
              <w:rPr>
                <w:rFonts w:cs="Times New Roman"/>
                <w:color w:val="000000"/>
                <w:sz w:val="20"/>
                <w:szCs w:val="20"/>
                <w:shd w:val="clear" w:color="auto" w:fill="FFFFFF"/>
              </w:rPr>
              <w:t>se aprobă anual, la propunerea rectorilor, în limita mijloacelor financiare disponibile și nu poate fi mai mică decât valoarea de referință aprobată anual pentru angajații din sectorul bugetar în legea bugetului de stat pentru anul respectiv. Mecanismul de majorare a valorii de referință se reglementează prin act administrativ intern al instituției, aprobat în baza deciziilor Senatului și Consiliului pentru dezvoltare strategică instituțională</w:t>
            </w:r>
          </w:p>
          <w:p w:rsidR="00E55639" w:rsidRPr="001E7194" w:rsidRDefault="00E55639" w:rsidP="00E55639">
            <w:pPr>
              <w:pStyle w:val="Heading4"/>
              <w:shd w:val="clear" w:color="auto" w:fill="FFFFFF"/>
              <w:tabs>
                <w:tab w:val="left" w:pos="851"/>
                <w:tab w:val="left" w:pos="1170"/>
              </w:tabs>
              <w:spacing w:before="0" w:beforeAutospacing="0" w:after="0" w:afterAutospacing="0"/>
              <w:jc w:val="both"/>
              <w:outlineLvl w:val="3"/>
              <w:rPr>
                <w:rFonts w:eastAsiaTheme="minorHAnsi"/>
                <w:b w:val="0"/>
                <w:bCs w:val="0"/>
                <w:color w:val="000000"/>
                <w:sz w:val="20"/>
                <w:szCs w:val="20"/>
                <w:shd w:val="clear" w:color="auto" w:fill="FFFFFF"/>
                <w:lang w:val="ro-RO" w:eastAsia="en-US"/>
              </w:rPr>
            </w:pPr>
            <w:r w:rsidRPr="001E7194">
              <w:rPr>
                <w:b w:val="0"/>
                <w:color w:val="000000"/>
                <w:sz w:val="20"/>
                <w:szCs w:val="20"/>
                <w:shd w:val="clear" w:color="auto" w:fill="FFFFFF"/>
                <w:lang w:val="ro-RO"/>
              </w:rPr>
              <w:t>Valoarea de referință poate fi majorată cu condiția ca fondul salarial al instituției să nu depășească 85% din cheltuielile totale ale instituției.”</w:t>
            </w:r>
          </w:p>
        </w:tc>
        <w:tc>
          <w:tcPr>
            <w:tcW w:w="1705" w:type="pct"/>
          </w:tcPr>
          <w:p w:rsidR="00E55639" w:rsidRPr="001E7194" w:rsidRDefault="00E55639" w:rsidP="00E55639">
            <w:pPr>
              <w:shd w:val="clear" w:color="auto" w:fill="FFFFFF"/>
              <w:jc w:val="both"/>
              <w:rPr>
                <w:rFonts w:cs="Times New Roman"/>
                <w:color w:val="000000"/>
                <w:sz w:val="20"/>
                <w:szCs w:val="20"/>
                <w:shd w:val="clear" w:color="auto" w:fill="FFFFFF"/>
              </w:rPr>
            </w:pPr>
            <w:r w:rsidRPr="001E7194">
              <w:rPr>
                <w:rFonts w:cs="Times New Roman"/>
                <w:color w:val="000000"/>
                <w:sz w:val="20"/>
                <w:szCs w:val="20"/>
                <w:shd w:val="clear" w:color="auto" w:fill="FFFFFF"/>
              </w:rPr>
              <w:t>14</w:t>
            </w:r>
            <w:r w:rsidRPr="001E7194">
              <w:rPr>
                <w:rFonts w:cs="Times New Roman"/>
                <w:color w:val="000000"/>
                <w:sz w:val="20"/>
                <w:szCs w:val="20"/>
                <w:shd w:val="clear" w:color="auto" w:fill="FFFFFF"/>
                <w:vertAlign w:val="superscript"/>
              </w:rPr>
              <w:t>1</w:t>
            </w:r>
            <w:r w:rsidRPr="001E7194">
              <w:rPr>
                <w:rFonts w:cs="Times New Roman"/>
                <w:color w:val="000000"/>
                <w:sz w:val="20"/>
                <w:szCs w:val="20"/>
                <w:shd w:val="clear" w:color="auto" w:fill="FFFFFF"/>
              </w:rPr>
              <w:t>. La determinarea salariului de bază pentru personalul din cadrul instituțiilor de învățământ superior se aplică valoarea de referință corespunzătoare coeficientului de salarizare 1,00, aprobată anual pentru angajații în legea bugetului de stat pentru anul respectiv angajaților cu funcții similare din sectorul bugetar.</w:t>
            </w:r>
          </w:p>
          <w:p w:rsidR="00E55639" w:rsidRPr="001E7194" w:rsidRDefault="00E55639" w:rsidP="00E55639">
            <w:pPr>
              <w:jc w:val="both"/>
              <w:rPr>
                <w:rFonts w:cs="Times New Roman"/>
                <w:color w:val="000000"/>
                <w:sz w:val="20"/>
                <w:szCs w:val="20"/>
                <w:shd w:val="clear" w:color="auto" w:fill="FFFFFF"/>
              </w:rPr>
            </w:pPr>
            <w:r w:rsidRPr="001E7194">
              <w:rPr>
                <w:rFonts w:cs="Times New Roman"/>
                <w:color w:val="000000"/>
                <w:sz w:val="20"/>
                <w:szCs w:val="20"/>
                <w:shd w:val="clear" w:color="auto" w:fill="FFFFFF"/>
              </w:rPr>
              <w:t xml:space="preserve">Valoarea de referință </w:t>
            </w:r>
            <w:r w:rsidRPr="001E7194">
              <w:rPr>
                <w:color w:val="000000"/>
                <w:sz w:val="20"/>
                <w:szCs w:val="20"/>
                <w:shd w:val="clear" w:color="auto" w:fill="FFFFFF"/>
              </w:rPr>
              <w:t xml:space="preserve">pentru </w:t>
            </w:r>
            <w:r w:rsidRPr="001E7194">
              <w:rPr>
                <w:bCs/>
                <w:color w:val="000000"/>
                <w:sz w:val="20"/>
                <w:szCs w:val="20"/>
                <w:shd w:val="clear" w:color="auto" w:fill="FFFFFF"/>
              </w:rPr>
              <w:t xml:space="preserve">personalul </w:t>
            </w:r>
            <w:r w:rsidR="00813F58" w:rsidRPr="001E7194">
              <w:rPr>
                <w:rFonts w:cs="Times New Roman"/>
                <w:color w:val="000000"/>
                <w:sz w:val="20"/>
                <w:szCs w:val="20"/>
                <w:shd w:val="clear" w:color="auto" w:fill="FFFFFF"/>
              </w:rPr>
              <w:t>din cadrul instituțiilor de învățământ superior</w:t>
            </w:r>
            <w:r w:rsidRPr="001E7194">
              <w:rPr>
                <w:bCs/>
                <w:color w:val="000000"/>
                <w:sz w:val="20"/>
                <w:szCs w:val="20"/>
                <w:shd w:val="clear" w:color="auto" w:fill="FFFFFF"/>
              </w:rPr>
              <w:t xml:space="preserve"> </w:t>
            </w:r>
            <w:r w:rsidRPr="001E7194">
              <w:rPr>
                <w:rFonts w:cs="Times New Roman"/>
                <w:color w:val="000000"/>
                <w:sz w:val="20"/>
                <w:szCs w:val="20"/>
                <w:shd w:val="clear" w:color="auto" w:fill="FFFFFF"/>
              </w:rPr>
              <w:t xml:space="preserve">se aprobă anual, la propunerea rectorilor, în limita mijloacelor financiare disponibile și nu poate fi mai mică decât valoarea de referință aprobată anual pentru angajații </w:t>
            </w:r>
            <w:r w:rsidR="00437ACD" w:rsidRPr="001E7194">
              <w:rPr>
                <w:rFonts w:cs="Times New Roman"/>
                <w:color w:val="000000"/>
                <w:sz w:val="20"/>
                <w:szCs w:val="20"/>
                <w:shd w:val="clear" w:color="auto" w:fill="FFFFFF"/>
              </w:rPr>
              <w:t>cu funcții similare</w:t>
            </w:r>
            <w:r w:rsidR="00437ACD" w:rsidRPr="001E7194">
              <w:rPr>
                <w:rFonts w:cs="Times New Roman"/>
                <w:color w:val="000000"/>
                <w:sz w:val="20"/>
                <w:szCs w:val="20"/>
                <w:shd w:val="clear" w:color="auto" w:fill="FFFFFF"/>
              </w:rPr>
              <w:t xml:space="preserve"> </w:t>
            </w:r>
            <w:r w:rsidRPr="001E7194">
              <w:rPr>
                <w:rFonts w:cs="Times New Roman"/>
                <w:color w:val="000000"/>
                <w:sz w:val="20"/>
                <w:szCs w:val="20"/>
                <w:shd w:val="clear" w:color="auto" w:fill="FFFFFF"/>
              </w:rPr>
              <w:t>din sectorul bugetar în legea bugetului de stat pentru anul respectiv. Mecanismul de majorare a valorii de referință se reglementează prin act administrativ intern al instituției, aprobat în baza deciziilor S</w:t>
            </w:r>
            <w:bookmarkStart w:id="0" w:name="_GoBack"/>
            <w:bookmarkEnd w:id="0"/>
            <w:r w:rsidRPr="001E7194">
              <w:rPr>
                <w:rFonts w:cs="Times New Roman"/>
                <w:color w:val="000000"/>
                <w:sz w:val="20"/>
                <w:szCs w:val="20"/>
                <w:shd w:val="clear" w:color="auto" w:fill="FFFFFF"/>
              </w:rPr>
              <w:t>enatului și Consiliului pentru dezvoltare strategică instituțională</w:t>
            </w:r>
          </w:p>
          <w:p w:rsidR="00E55639" w:rsidRPr="001E7194" w:rsidRDefault="00E55639" w:rsidP="00E55639">
            <w:pPr>
              <w:shd w:val="clear" w:color="auto" w:fill="FFFFFF"/>
              <w:jc w:val="both"/>
              <w:rPr>
                <w:rFonts w:cs="Times New Roman"/>
                <w:color w:val="000000"/>
                <w:sz w:val="20"/>
                <w:szCs w:val="20"/>
                <w:shd w:val="clear" w:color="auto" w:fill="FFFFFF"/>
              </w:rPr>
            </w:pPr>
            <w:r w:rsidRPr="001E7194">
              <w:rPr>
                <w:bCs/>
                <w:color w:val="000000"/>
                <w:sz w:val="20"/>
                <w:szCs w:val="20"/>
                <w:shd w:val="clear" w:color="auto" w:fill="FFFFFF"/>
              </w:rPr>
              <w:t>Valoarea de referință poate fi majorată cu condiția ca fondul salarial al instituției să nu depășească 85% din cheltuielile totale ale instituției.</w:t>
            </w:r>
          </w:p>
        </w:tc>
      </w:tr>
      <w:tr w:rsidR="00DF6FF0" w:rsidRPr="001E7194" w:rsidTr="00361431">
        <w:tc>
          <w:tcPr>
            <w:tcW w:w="142" w:type="pct"/>
          </w:tcPr>
          <w:p w:rsidR="00DF6FF0" w:rsidRPr="001E7194" w:rsidRDefault="00FD1029" w:rsidP="00DA09D1">
            <w:pPr>
              <w:rPr>
                <w:rFonts w:cs="Times New Roman"/>
                <w:sz w:val="22"/>
              </w:rPr>
            </w:pPr>
            <w:r w:rsidRPr="001E7194">
              <w:rPr>
                <w:rFonts w:cs="Times New Roman"/>
                <w:sz w:val="22"/>
              </w:rPr>
              <w:t>2</w:t>
            </w:r>
            <w:r w:rsidR="00DF6FF0" w:rsidRPr="001E7194">
              <w:rPr>
                <w:rFonts w:cs="Times New Roman"/>
                <w:sz w:val="22"/>
              </w:rPr>
              <w:t>.</w:t>
            </w:r>
          </w:p>
        </w:tc>
        <w:tc>
          <w:tcPr>
            <w:tcW w:w="1361" w:type="pct"/>
          </w:tcPr>
          <w:p w:rsidR="00DF6FF0" w:rsidRPr="001E7194" w:rsidRDefault="0026100F" w:rsidP="00DA09D1">
            <w:pPr>
              <w:jc w:val="both"/>
              <w:rPr>
                <w:rFonts w:cs="Times New Roman"/>
                <w:sz w:val="22"/>
              </w:rPr>
            </w:pPr>
            <w:r w:rsidRPr="001E7194">
              <w:rPr>
                <w:rFonts w:eastAsia="Times New Roman"/>
                <w:sz w:val="20"/>
                <w:szCs w:val="20"/>
                <w:lang w:eastAsia="ru-RU"/>
              </w:rPr>
              <w:t xml:space="preserve">25. Sporul de performanță, sporurile cu caracter specific și premiile unice pentru rectorii/directorii instituțiilor se stabilesc </w:t>
            </w:r>
            <w:r w:rsidRPr="0075660E">
              <w:rPr>
                <w:rFonts w:eastAsia="Times New Roman"/>
                <w:b/>
                <w:sz w:val="20"/>
                <w:szCs w:val="20"/>
                <w:lang w:eastAsia="ru-RU"/>
              </w:rPr>
              <w:t>de către fondator, la inițiativa</w:t>
            </w:r>
            <w:r w:rsidRPr="001E7194">
              <w:rPr>
                <w:rFonts w:eastAsia="Times New Roman"/>
                <w:sz w:val="20"/>
                <w:szCs w:val="20"/>
                <w:lang w:eastAsia="ru-RU"/>
              </w:rPr>
              <w:t xml:space="preserve"> organelor de conducere ale instituțiilor (Senatul și Consiliul pentru dezvoltare strategică instituțională, în cazul instituțiilor de </w:t>
            </w:r>
            <w:r w:rsidRPr="001E7194">
              <w:rPr>
                <w:rFonts w:eastAsia="Times New Roman"/>
                <w:sz w:val="20"/>
                <w:szCs w:val="20"/>
                <w:lang w:eastAsia="ru-RU"/>
              </w:rPr>
              <w:lastRenderedPageBreak/>
              <w:t>învățământ superior, respectiv Consiliul de administrație, în cazul instituțiilor de învățământ profesional tehnic).</w:t>
            </w:r>
          </w:p>
        </w:tc>
        <w:tc>
          <w:tcPr>
            <w:tcW w:w="1792" w:type="pct"/>
          </w:tcPr>
          <w:p w:rsidR="00DF6FF0" w:rsidRPr="001E7194" w:rsidRDefault="00FE0D58" w:rsidP="00FE0D58">
            <w:pPr>
              <w:ind w:right="46"/>
              <w:jc w:val="both"/>
              <w:rPr>
                <w:rFonts w:eastAsia="Times New Roman"/>
                <w:sz w:val="20"/>
                <w:szCs w:val="20"/>
                <w:lang w:eastAsia="ru-RU"/>
              </w:rPr>
            </w:pPr>
            <w:r w:rsidRPr="001E7194">
              <w:rPr>
                <w:rFonts w:eastAsia="Times New Roman"/>
                <w:sz w:val="20"/>
                <w:szCs w:val="20"/>
                <w:lang w:eastAsia="ru-RU"/>
              </w:rPr>
              <w:lastRenderedPageBreak/>
              <w:t>Punctul 25 cuvintele „de către fondator, la inițiativa” se substituie cu cuvintele „în baza criteriilor și obiectivelor aprobate semestrial de către fondator, la propunerea”..</w:t>
            </w:r>
          </w:p>
        </w:tc>
        <w:tc>
          <w:tcPr>
            <w:tcW w:w="1705" w:type="pct"/>
          </w:tcPr>
          <w:p w:rsidR="00DF6FF0" w:rsidRPr="001E7194" w:rsidRDefault="0026100F" w:rsidP="00B25596">
            <w:pPr>
              <w:ind w:right="46"/>
              <w:jc w:val="both"/>
              <w:rPr>
                <w:rFonts w:cs="Times New Roman"/>
                <w:sz w:val="22"/>
              </w:rPr>
            </w:pPr>
            <w:r w:rsidRPr="001E7194">
              <w:rPr>
                <w:rFonts w:eastAsia="Times New Roman"/>
                <w:sz w:val="20"/>
                <w:szCs w:val="20"/>
                <w:lang w:eastAsia="ru-RU"/>
              </w:rPr>
              <w:t xml:space="preserve">25. </w:t>
            </w:r>
            <w:r w:rsidR="00530032" w:rsidRPr="001E7194">
              <w:rPr>
                <w:color w:val="000000"/>
                <w:sz w:val="20"/>
                <w:szCs w:val="20"/>
              </w:rPr>
              <w:t xml:space="preserve">Sporul de performanță, sporurile cu caracter specific și premiile unice pentru rectorii/directorii instituțiilor se </w:t>
            </w:r>
            <w:r w:rsidR="00530032" w:rsidRPr="001E7194">
              <w:rPr>
                <w:bCs/>
                <w:color w:val="000000"/>
                <w:sz w:val="20"/>
                <w:szCs w:val="20"/>
              </w:rPr>
              <w:t xml:space="preserve">stabilesc </w:t>
            </w:r>
            <w:r w:rsidR="00530032" w:rsidRPr="001E7194">
              <w:rPr>
                <w:b/>
                <w:bCs/>
                <w:color w:val="000000"/>
                <w:sz w:val="20"/>
                <w:szCs w:val="20"/>
              </w:rPr>
              <w:t xml:space="preserve">în baza criteriilor și obiectivelor aprobate semestrial de către fondator, </w:t>
            </w:r>
            <w:r w:rsidR="00530032" w:rsidRPr="001E7194">
              <w:rPr>
                <w:b/>
                <w:color w:val="000000"/>
                <w:sz w:val="20"/>
                <w:szCs w:val="20"/>
              </w:rPr>
              <w:t>la propunerea</w:t>
            </w:r>
            <w:r w:rsidR="00530032" w:rsidRPr="001E7194">
              <w:rPr>
                <w:color w:val="000000"/>
                <w:sz w:val="20"/>
                <w:szCs w:val="20"/>
              </w:rPr>
              <w:t xml:space="preserve"> organelor de conducere ale instituțiilor, în urma evaluării interne (Senatul și Consiliul pentru dezvoltare strategică instituțională, în </w:t>
            </w:r>
            <w:r w:rsidR="00530032" w:rsidRPr="001E7194">
              <w:rPr>
                <w:color w:val="000000"/>
                <w:sz w:val="20"/>
                <w:szCs w:val="20"/>
              </w:rPr>
              <w:lastRenderedPageBreak/>
              <w:t>cazul instituțiilor de învățământ superior, respectiv Consiliul de administrație, în cazul instituțiilor de învățământ profesional tehnic</w:t>
            </w:r>
            <w:r w:rsidR="00B25596" w:rsidRPr="001E7194">
              <w:rPr>
                <w:color w:val="000000"/>
                <w:sz w:val="20"/>
                <w:szCs w:val="20"/>
              </w:rPr>
              <w:t>).</w:t>
            </w:r>
          </w:p>
        </w:tc>
      </w:tr>
      <w:tr w:rsidR="0026651F" w:rsidRPr="001E7194" w:rsidTr="00361431">
        <w:tc>
          <w:tcPr>
            <w:tcW w:w="142" w:type="pct"/>
          </w:tcPr>
          <w:p w:rsidR="0026651F" w:rsidRPr="001E7194" w:rsidRDefault="00FD1029" w:rsidP="00DA09D1">
            <w:pPr>
              <w:rPr>
                <w:rFonts w:cs="Times New Roman"/>
                <w:sz w:val="22"/>
              </w:rPr>
            </w:pPr>
            <w:r w:rsidRPr="001E7194">
              <w:rPr>
                <w:rFonts w:cs="Times New Roman"/>
                <w:sz w:val="22"/>
              </w:rPr>
              <w:lastRenderedPageBreak/>
              <w:t>3</w:t>
            </w:r>
            <w:r w:rsidR="00041CD8" w:rsidRPr="001E7194">
              <w:rPr>
                <w:rFonts w:cs="Times New Roman"/>
                <w:sz w:val="22"/>
              </w:rPr>
              <w:t>.</w:t>
            </w:r>
          </w:p>
        </w:tc>
        <w:tc>
          <w:tcPr>
            <w:tcW w:w="1361" w:type="pct"/>
          </w:tcPr>
          <w:p w:rsidR="0026651F" w:rsidRPr="001E7194" w:rsidRDefault="004626CA" w:rsidP="00DA09D1">
            <w:pPr>
              <w:jc w:val="both"/>
              <w:rPr>
                <w:rFonts w:cs="Times New Roman"/>
                <w:sz w:val="22"/>
              </w:rPr>
            </w:pPr>
            <w:r w:rsidRPr="001E7194">
              <w:rPr>
                <w:rFonts w:eastAsia="Times New Roman"/>
                <w:sz w:val="20"/>
                <w:szCs w:val="20"/>
                <w:lang w:eastAsia="ru-RU"/>
              </w:rPr>
              <w:t>36</w:t>
            </w:r>
            <w:r w:rsidRPr="001E7194">
              <w:rPr>
                <w:rFonts w:eastAsia="Times New Roman"/>
                <w:sz w:val="20"/>
                <w:szCs w:val="20"/>
                <w:vertAlign w:val="superscript"/>
                <w:lang w:eastAsia="ru-RU"/>
              </w:rPr>
              <w:t>1</w:t>
            </w:r>
            <w:r w:rsidRPr="001E7194">
              <w:rPr>
                <w:rFonts w:eastAsia="Times New Roman"/>
                <w:sz w:val="20"/>
                <w:szCs w:val="20"/>
                <w:lang w:eastAsia="ru-RU"/>
              </w:rPr>
              <w:t xml:space="preserve">.Personalul instituțiilor de învățământ superior cu autonomie financiară care realizează activități în proiecte </w:t>
            </w:r>
            <w:r w:rsidRPr="001E7194">
              <w:rPr>
                <w:rFonts w:eastAsia="Times New Roman"/>
                <w:b/>
                <w:sz w:val="20"/>
                <w:szCs w:val="20"/>
                <w:lang w:eastAsia="ru-RU"/>
              </w:rPr>
              <w:t>de cercetare și inovare</w:t>
            </w:r>
            <w:r w:rsidRPr="001E7194">
              <w:rPr>
                <w:rFonts w:eastAsia="Times New Roman"/>
                <w:sz w:val="20"/>
                <w:szCs w:val="20"/>
                <w:lang w:eastAsia="ru-RU"/>
              </w:rPr>
              <w:t xml:space="preserve"> finanțate din surse externe este salarizat prin plata cu ora, din contul și în limitele mijloacelor prevăzute pentru retribuirea muncii stabilite în acordurile/contractele de finanțare în conformitate cu normativele de plată prevăzute în tabelul 1</w:t>
            </w:r>
          </w:p>
        </w:tc>
        <w:tc>
          <w:tcPr>
            <w:tcW w:w="1792" w:type="pct"/>
          </w:tcPr>
          <w:p w:rsidR="0026651F" w:rsidRPr="001E7194" w:rsidRDefault="004626CA" w:rsidP="004626CA">
            <w:pPr>
              <w:ind w:right="46"/>
              <w:jc w:val="both"/>
              <w:rPr>
                <w:rFonts w:eastAsia="Times New Roman"/>
                <w:sz w:val="20"/>
                <w:szCs w:val="20"/>
                <w:lang w:eastAsia="ru-RU"/>
              </w:rPr>
            </w:pPr>
            <w:r w:rsidRPr="001E7194">
              <w:rPr>
                <w:rFonts w:eastAsia="Times New Roman"/>
                <w:sz w:val="20"/>
                <w:szCs w:val="20"/>
                <w:lang w:eastAsia="ru-RU"/>
              </w:rPr>
              <w:t>Punctul 36</w:t>
            </w:r>
            <w:r w:rsidRPr="001E7194">
              <w:rPr>
                <w:rFonts w:eastAsia="Times New Roman"/>
                <w:sz w:val="20"/>
                <w:szCs w:val="20"/>
                <w:vertAlign w:val="superscript"/>
                <w:lang w:eastAsia="ru-RU"/>
              </w:rPr>
              <w:t>1</w:t>
            </w:r>
            <w:r w:rsidRPr="001E7194">
              <w:rPr>
                <w:rFonts w:eastAsia="Times New Roman"/>
                <w:sz w:val="20"/>
                <w:szCs w:val="20"/>
                <w:lang w:eastAsia="ru-RU"/>
              </w:rPr>
              <w:t>, cuvintele „de cercetare și inovare” se exclud.</w:t>
            </w:r>
          </w:p>
        </w:tc>
        <w:tc>
          <w:tcPr>
            <w:tcW w:w="1705" w:type="pct"/>
          </w:tcPr>
          <w:p w:rsidR="0026651F" w:rsidRPr="001E7194" w:rsidRDefault="00D34FE4" w:rsidP="004626CA">
            <w:pPr>
              <w:ind w:right="46"/>
              <w:jc w:val="both"/>
              <w:rPr>
                <w:rFonts w:cs="Times New Roman"/>
                <w:sz w:val="22"/>
              </w:rPr>
            </w:pPr>
            <w:r w:rsidRPr="001E7194">
              <w:rPr>
                <w:rFonts w:eastAsia="Times New Roman"/>
                <w:sz w:val="20"/>
                <w:szCs w:val="20"/>
                <w:lang w:eastAsia="ru-RU"/>
              </w:rPr>
              <w:t>36</w:t>
            </w:r>
            <w:r w:rsidRPr="001E7194">
              <w:rPr>
                <w:rFonts w:eastAsia="Times New Roman"/>
                <w:sz w:val="20"/>
                <w:szCs w:val="20"/>
                <w:vertAlign w:val="superscript"/>
                <w:lang w:eastAsia="ru-RU"/>
              </w:rPr>
              <w:t>1</w:t>
            </w:r>
            <w:r w:rsidRPr="001E7194">
              <w:rPr>
                <w:rFonts w:eastAsia="Times New Roman"/>
                <w:sz w:val="20"/>
                <w:szCs w:val="20"/>
                <w:lang w:eastAsia="ru-RU"/>
              </w:rPr>
              <w:t xml:space="preserve">. </w:t>
            </w:r>
            <w:r w:rsidR="004626CA" w:rsidRPr="001E7194">
              <w:rPr>
                <w:rFonts w:eastAsia="Times New Roman"/>
                <w:sz w:val="20"/>
                <w:szCs w:val="20"/>
                <w:lang w:eastAsia="ru-RU"/>
              </w:rPr>
              <w:t>Personalul instituțiilor de învățământ superior cu autonomie financiară care realizează activități în proiecte finanțate din surse externe este salarizat prin plata cu ora, din contul și în limitele mijloacelor prevăzute pentru retribuirea muncii stabilite în acordurile/contractele de finanțare în conformitate cu normativele</w:t>
            </w:r>
          </w:p>
        </w:tc>
      </w:tr>
      <w:tr w:rsidR="006125B9" w:rsidRPr="001E7194" w:rsidTr="00361431">
        <w:tc>
          <w:tcPr>
            <w:tcW w:w="142" w:type="pct"/>
          </w:tcPr>
          <w:p w:rsidR="006125B9" w:rsidRPr="001E7194" w:rsidRDefault="00FD1029" w:rsidP="00DA09D1">
            <w:pPr>
              <w:rPr>
                <w:rFonts w:cs="Times New Roman"/>
                <w:sz w:val="22"/>
              </w:rPr>
            </w:pPr>
            <w:r w:rsidRPr="001E7194">
              <w:rPr>
                <w:rFonts w:cs="Times New Roman"/>
                <w:sz w:val="22"/>
              </w:rPr>
              <w:t>4</w:t>
            </w:r>
            <w:r w:rsidR="00D91DDF" w:rsidRPr="001E7194">
              <w:rPr>
                <w:rFonts w:cs="Times New Roman"/>
                <w:sz w:val="22"/>
              </w:rPr>
              <w:t>.</w:t>
            </w:r>
          </w:p>
        </w:tc>
        <w:tc>
          <w:tcPr>
            <w:tcW w:w="1361" w:type="pct"/>
          </w:tcPr>
          <w:p w:rsidR="006125B9" w:rsidRPr="001E7194" w:rsidRDefault="00D34FE4" w:rsidP="00DA09D1">
            <w:pPr>
              <w:jc w:val="both"/>
              <w:rPr>
                <w:rFonts w:cs="Times New Roman"/>
                <w:sz w:val="22"/>
              </w:rPr>
            </w:pPr>
            <w:r w:rsidRPr="001E7194">
              <w:rPr>
                <w:rFonts w:eastAsia="Times New Roman"/>
                <w:sz w:val="20"/>
                <w:szCs w:val="20"/>
                <w:lang w:eastAsia="ru-RU"/>
              </w:rPr>
              <w:t xml:space="preserve">37. În scopul planificării anuale a cheltuielilor bugetului de stat aferente serviciilor educaționale pentru realizarea comenzii de stat de pregătire a cadrelor de specialitate, cheltuielile de personal se determină reieșind din partea fixă a salariului, a sporului pentru performanță, a sporului cu caracter specific pentru lucrul curativ în învățământul medical și farmaceutic, a sporului de compensare pentru munca prestată în condiții nefavorabile, a sporului pentru orele de muncă prestate în afara duratei normale a timpului de muncă sau în zilele de sărbătoare nelucrătoare </w:t>
            </w:r>
            <w:proofErr w:type="spellStart"/>
            <w:r w:rsidRPr="001E7194">
              <w:rPr>
                <w:rFonts w:eastAsia="Times New Roman"/>
                <w:sz w:val="20"/>
                <w:szCs w:val="20"/>
                <w:lang w:eastAsia="ru-RU"/>
              </w:rPr>
              <w:t>şi</w:t>
            </w:r>
            <w:proofErr w:type="spellEnd"/>
            <w:r w:rsidRPr="001E7194">
              <w:rPr>
                <w:rFonts w:eastAsia="Times New Roman"/>
                <w:sz w:val="20"/>
                <w:szCs w:val="20"/>
                <w:lang w:eastAsia="ru-RU"/>
              </w:rPr>
              <w:t>/sau în zilele de repaus și a sporului pentru munca de noapte, în conformitate cu prezenta hotărâre.</w:t>
            </w:r>
          </w:p>
        </w:tc>
        <w:tc>
          <w:tcPr>
            <w:tcW w:w="1792" w:type="pct"/>
          </w:tcPr>
          <w:p w:rsidR="006125B9" w:rsidRPr="001E7194" w:rsidRDefault="00D34FE4" w:rsidP="00DA09D1">
            <w:pPr>
              <w:ind w:right="46"/>
              <w:jc w:val="both"/>
              <w:rPr>
                <w:rFonts w:eastAsia="Times New Roman"/>
                <w:sz w:val="20"/>
                <w:szCs w:val="20"/>
                <w:lang w:eastAsia="ru-RU"/>
              </w:rPr>
            </w:pPr>
            <w:r w:rsidRPr="001E7194">
              <w:rPr>
                <w:rFonts w:eastAsia="Times New Roman"/>
                <w:sz w:val="20"/>
                <w:szCs w:val="20"/>
                <w:lang w:eastAsia="ru-RU"/>
              </w:rPr>
              <w:t>Punctul 37, după cuvântul „salariului,” se completează cu cuvintele „calculat cu valoarea de referință corespunzătoare coeficientului de salarizare 1,00, aprobată anual pentru angajații în legea bugetului de stat pentru anul respectiv angajaților cu funcții similare din sectorul bugetar”</w:t>
            </w:r>
          </w:p>
        </w:tc>
        <w:tc>
          <w:tcPr>
            <w:tcW w:w="1705" w:type="pct"/>
          </w:tcPr>
          <w:p w:rsidR="006125B9" w:rsidRPr="001E7194" w:rsidRDefault="00D34FE4" w:rsidP="00DA09D1">
            <w:pPr>
              <w:ind w:right="46"/>
              <w:jc w:val="both"/>
              <w:rPr>
                <w:rFonts w:cs="Times New Roman"/>
                <w:sz w:val="22"/>
              </w:rPr>
            </w:pPr>
            <w:r w:rsidRPr="001E7194">
              <w:rPr>
                <w:rFonts w:eastAsia="Times New Roman"/>
                <w:sz w:val="20"/>
                <w:szCs w:val="20"/>
                <w:lang w:eastAsia="ru-RU"/>
              </w:rPr>
              <w:t>37. În scopul planificării anuale a cheltuielilor bugetului de stat aferente serviciilor educaționale pentru realizarea comenzii de stat de pregătire a cadrelor de specialitate, cheltuielile de personal se determină reieșind din partea fixă a salariului,</w:t>
            </w:r>
            <w:r w:rsidRPr="001E7194">
              <w:rPr>
                <w:rFonts w:cs="Times New Roman"/>
                <w:sz w:val="20"/>
                <w:szCs w:val="20"/>
                <w:shd w:val="clear" w:color="auto" w:fill="FFFFFF"/>
              </w:rPr>
              <w:t xml:space="preserve"> </w:t>
            </w:r>
            <w:r w:rsidRPr="001E7194">
              <w:rPr>
                <w:rFonts w:cs="Times New Roman"/>
                <w:b/>
                <w:sz w:val="20"/>
                <w:szCs w:val="20"/>
                <w:shd w:val="clear" w:color="auto" w:fill="FFFFFF"/>
              </w:rPr>
              <w:t>calculat cu valoarea de referință corespunzătoare coeficientului de salarizare 1,00, aprobată anual pentru angajații în legea bugetului de stat pentru anul respectiv angajaților cu funcții similare din sectorul bugetar,</w:t>
            </w:r>
            <w:r w:rsidRPr="001E7194">
              <w:rPr>
                <w:rFonts w:eastAsia="Times New Roman"/>
                <w:b/>
                <w:sz w:val="20"/>
                <w:szCs w:val="20"/>
                <w:lang w:eastAsia="ru-RU"/>
              </w:rPr>
              <w:t xml:space="preserve"> </w:t>
            </w:r>
            <w:r w:rsidRPr="001E7194">
              <w:rPr>
                <w:rFonts w:eastAsia="Times New Roman"/>
                <w:sz w:val="20"/>
                <w:szCs w:val="20"/>
                <w:lang w:eastAsia="ru-RU"/>
              </w:rPr>
              <w:t xml:space="preserve">a sporului pentru performanță, a sporului cu caracter specific pentru lucrul curativ în învățământul medical și farmaceutic, a sporului de compensare pentru munca prestată în condiții nefavorabile, a sporului pentru orele de muncă prestate în afara duratei normale a timpului de muncă sau în zilele de sărbătoare nelucrătoare </w:t>
            </w:r>
            <w:proofErr w:type="spellStart"/>
            <w:r w:rsidRPr="001E7194">
              <w:rPr>
                <w:rFonts w:eastAsia="Times New Roman"/>
                <w:sz w:val="20"/>
                <w:szCs w:val="20"/>
                <w:lang w:eastAsia="ru-RU"/>
              </w:rPr>
              <w:t>şi</w:t>
            </w:r>
            <w:proofErr w:type="spellEnd"/>
            <w:r w:rsidRPr="001E7194">
              <w:rPr>
                <w:rFonts w:eastAsia="Times New Roman"/>
                <w:sz w:val="20"/>
                <w:szCs w:val="20"/>
                <w:lang w:eastAsia="ru-RU"/>
              </w:rPr>
              <w:t>/sau în zilele de repaus și a sporului pentru munca de noapte, în conformitate cu prezenta hotărâre.</w:t>
            </w:r>
          </w:p>
        </w:tc>
      </w:tr>
      <w:tr w:rsidR="00041CD8" w:rsidRPr="001E7194" w:rsidTr="00361431">
        <w:tc>
          <w:tcPr>
            <w:tcW w:w="142" w:type="pct"/>
          </w:tcPr>
          <w:p w:rsidR="00041CD8" w:rsidRPr="001E7194" w:rsidRDefault="00FD1029" w:rsidP="00DA09D1">
            <w:pPr>
              <w:rPr>
                <w:rFonts w:cs="Times New Roman"/>
                <w:sz w:val="22"/>
              </w:rPr>
            </w:pPr>
            <w:r w:rsidRPr="001E7194">
              <w:rPr>
                <w:rFonts w:cs="Times New Roman"/>
                <w:sz w:val="22"/>
              </w:rPr>
              <w:t>5</w:t>
            </w:r>
            <w:r w:rsidR="007B296D" w:rsidRPr="001E7194">
              <w:rPr>
                <w:rFonts w:cs="Times New Roman"/>
                <w:sz w:val="22"/>
              </w:rPr>
              <w:t>.</w:t>
            </w:r>
          </w:p>
        </w:tc>
        <w:tc>
          <w:tcPr>
            <w:tcW w:w="1361" w:type="pct"/>
          </w:tcPr>
          <w:p w:rsidR="006D6CE5" w:rsidRPr="001E7194" w:rsidRDefault="006D6CE5" w:rsidP="006D6CE5">
            <w:pPr>
              <w:pStyle w:val="NormalWeb"/>
              <w:shd w:val="clear" w:color="auto" w:fill="FFFFFF"/>
              <w:spacing w:before="0" w:beforeAutospacing="0" w:after="0" w:afterAutospacing="0"/>
              <w:jc w:val="both"/>
              <w:rPr>
                <w:rFonts w:cstheme="minorBidi"/>
                <w:sz w:val="20"/>
                <w:szCs w:val="20"/>
                <w:lang w:val="ro-RO" w:eastAsia="ru-RU"/>
              </w:rPr>
            </w:pPr>
            <w:r w:rsidRPr="001E7194">
              <w:rPr>
                <w:rFonts w:cstheme="minorBidi"/>
                <w:sz w:val="20"/>
                <w:szCs w:val="20"/>
                <w:lang w:val="ro-RO" w:eastAsia="ru-RU"/>
              </w:rPr>
              <w:t>38. Asigurarea menținerii salariilor personalului din instituții:</w:t>
            </w:r>
          </w:p>
          <w:p w:rsidR="00041CD8" w:rsidRPr="001E7194" w:rsidRDefault="006D6CE5" w:rsidP="006D6CE5">
            <w:pPr>
              <w:jc w:val="both"/>
              <w:rPr>
                <w:rFonts w:cs="Times New Roman"/>
                <w:sz w:val="22"/>
              </w:rPr>
            </w:pPr>
            <w:r w:rsidRPr="001E7194">
              <w:rPr>
                <w:sz w:val="20"/>
                <w:szCs w:val="20"/>
                <w:lang w:eastAsia="ru-RU"/>
              </w:rPr>
              <w:t xml:space="preserve">2) în cazul în care, pentru unii salariați din instituții, prin aplicarea prezentei hotărâri, salariul lunar calculat începând cu 1 decembrie 2018, pentru o funcție cu durata normală a timpului de muncă, este mai mare decât salariul mediu lunar calculat anterior intrării în vigoare a prezentei hotărâri și mai mic decât </w:t>
            </w:r>
            <w:r w:rsidRPr="001E7194">
              <w:rPr>
                <w:b/>
                <w:sz w:val="20"/>
                <w:szCs w:val="20"/>
                <w:lang w:eastAsia="ru-RU"/>
              </w:rPr>
              <w:t>4000 de lei</w:t>
            </w:r>
            <w:r w:rsidRPr="001E7194">
              <w:rPr>
                <w:sz w:val="20"/>
                <w:szCs w:val="20"/>
                <w:lang w:eastAsia="ru-RU"/>
              </w:rPr>
              <w:t xml:space="preserve">, aceștia vor beneficia de plăți compensatorii. Plata compensatorie se determină ca diferență dintre </w:t>
            </w:r>
            <w:r w:rsidRPr="001E7194">
              <w:rPr>
                <w:b/>
                <w:sz w:val="20"/>
                <w:szCs w:val="20"/>
                <w:lang w:eastAsia="ru-RU"/>
              </w:rPr>
              <w:t>4000 de lei</w:t>
            </w:r>
            <w:r w:rsidRPr="001E7194">
              <w:rPr>
                <w:sz w:val="20"/>
                <w:szCs w:val="20"/>
                <w:lang w:eastAsia="ru-RU"/>
              </w:rPr>
              <w:t xml:space="preserve"> și salariul lunar calculat în condițiile </w:t>
            </w:r>
            <w:r w:rsidRPr="001E7194">
              <w:rPr>
                <w:sz w:val="20"/>
                <w:szCs w:val="20"/>
                <w:lang w:eastAsia="ru-RU"/>
              </w:rPr>
              <w:lastRenderedPageBreak/>
              <w:t>prezentei hotărâri și se recalculează proporțional timpului efectiv lucrat;</w:t>
            </w:r>
          </w:p>
        </w:tc>
        <w:tc>
          <w:tcPr>
            <w:tcW w:w="1792" w:type="pct"/>
          </w:tcPr>
          <w:p w:rsidR="00041CD8" w:rsidRPr="001E7194" w:rsidRDefault="006E4954" w:rsidP="00DA09D1">
            <w:pPr>
              <w:ind w:right="46"/>
              <w:jc w:val="both"/>
              <w:rPr>
                <w:rFonts w:eastAsia="Times New Roman"/>
                <w:sz w:val="20"/>
                <w:szCs w:val="20"/>
                <w:lang w:eastAsia="ru-RU"/>
              </w:rPr>
            </w:pPr>
            <w:r w:rsidRPr="001E7194">
              <w:rPr>
                <w:rFonts w:eastAsia="Times New Roman"/>
                <w:sz w:val="20"/>
                <w:szCs w:val="20"/>
                <w:lang w:eastAsia="ru-RU"/>
              </w:rPr>
              <w:lastRenderedPageBreak/>
              <w:t>Punctul 38,</w:t>
            </w:r>
            <w:r w:rsidR="006D6CE5" w:rsidRPr="001E7194">
              <w:rPr>
                <w:rFonts w:eastAsia="Times New Roman"/>
                <w:sz w:val="20"/>
                <w:szCs w:val="20"/>
                <w:lang w:eastAsia="ru-RU"/>
              </w:rPr>
              <w:t xml:space="preserve"> la subpunctul 2),</w:t>
            </w:r>
            <w:r w:rsidRPr="001E7194">
              <w:rPr>
                <w:rFonts w:eastAsia="Times New Roman"/>
                <w:sz w:val="20"/>
                <w:szCs w:val="20"/>
                <w:lang w:eastAsia="ru-RU"/>
              </w:rPr>
              <w:t xml:space="preserve"> cifrele și cuvintele „4000 de lei” se substituie cu cuvintele „cuantumul salariului minim pe țară aprobat prin Hotărâre de Guvern”.</w:t>
            </w:r>
          </w:p>
        </w:tc>
        <w:tc>
          <w:tcPr>
            <w:tcW w:w="1705" w:type="pct"/>
          </w:tcPr>
          <w:p w:rsidR="006E566A" w:rsidRPr="001E7194" w:rsidRDefault="006E566A" w:rsidP="006E566A">
            <w:pPr>
              <w:shd w:val="clear" w:color="auto" w:fill="FFFFFF"/>
              <w:jc w:val="both"/>
              <w:rPr>
                <w:rFonts w:eastAsia="Times New Roman"/>
                <w:sz w:val="20"/>
                <w:szCs w:val="20"/>
                <w:lang w:eastAsia="ru-RU"/>
              </w:rPr>
            </w:pPr>
            <w:r w:rsidRPr="001E7194">
              <w:rPr>
                <w:rFonts w:eastAsia="Times New Roman"/>
                <w:sz w:val="20"/>
                <w:szCs w:val="20"/>
                <w:lang w:eastAsia="ru-RU"/>
              </w:rPr>
              <w:t>38. Asigurarea menținerii salariilor personalului din instituții:</w:t>
            </w:r>
          </w:p>
          <w:p w:rsidR="00041CD8" w:rsidRPr="001E7194" w:rsidRDefault="006E566A" w:rsidP="006E566A">
            <w:pPr>
              <w:ind w:right="46"/>
              <w:jc w:val="both"/>
              <w:rPr>
                <w:rFonts w:cs="Times New Roman"/>
                <w:sz w:val="22"/>
              </w:rPr>
            </w:pPr>
            <w:r w:rsidRPr="001E7194">
              <w:rPr>
                <w:rFonts w:eastAsia="Times New Roman"/>
                <w:sz w:val="20"/>
                <w:szCs w:val="20"/>
                <w:lang w:eastAsia="ru-RU"/>
              </w:rPr>
              <w:t xml:space="preserve">(2) în cazul în care, pentru unii salariați din instituții, prin aplicarea prezentei hotărâri, salariul lunar calculat începând cu 1 decembrie 2018, pentru o funcție cu durata normală a timpului de muncă, este mai mare decât salariul mediu lunar calculat anterior intrării în vigoare a prezentei hotărâri și mai mic decât </w:t>
            </w:r>
            <w:r w:rsidRPr="001E7194">
              <w:rPr>
                <w:rFonts w:eastAsia="Times New Roman"/>
                <w:b/>
                <w:sz w:val="20"/>
                <w:szCs w:val="20"/>
                <w:lang w:eastAsia="ru-RU"/>
              </w:rPr>
              <w:t>cuantumul salariului minim pe țară aprobat prin Hotărâre de Guvern</w:t>
            </w:r>
            <w:r w:rsidRPr="001E7194">
              <w:rPr>
                <w:rFonts w:eastAsia="Times New Roman"/>
                <w:sz w:val="20"/>
                <w:szCs w:val="20"/>
                <w:lang w:eastAsia="ru-RU"/>
              </w:rPr>
              <w:t xml:space="preserve">, aceștia vor beneficia de plăți compensatorii. Plata compensatorie se determină ca diferență dintre </w:t>
            </w:r>
            <w:r w:rsidRPr="001E7194">
              <w:rPr>
                <w:rFonts w:eastAsia="Times New Roman"/>
                <w:b/>
                <w:sz w:val="20"/>
                <w:szCs w:val="20"/>
                <w:lang w:eastAsia="ru-RU"/>
              </w:rPr>
              <w:t>cuantumul salariului minim</w:t>
            </w:r>
            <w:r w:rsidRPr="001E7194">
              <w:rPr>
                <w:rFonts w:eastAsia="Times New Roman"/>
                <w:sz w:val="20"/>
                <w:szCs w:val="20"/>
                <w:lang w:eastAsia="ru-RU"/>
              </w:rPr>
              <w:t xml:space="preserve"> </w:t>
            </w:r>
            <w:r w:rsidRPr="001E7194">
              <w:rPr>
                <w:rFonts w:eastAsia="Times New Roman"/>
                <w:b/>
                <w:sz w:val="20"/>
                <w:szCs w:val="20"/>
                <w:lang w:eastAsia="ru-RU"/>
              </w:rPr>
              <w:t>pe țară aprobat prin Hotărâre de Guvern</w:t>
            </w:r>
            <w:r w:rsidRPr="001E7194">
              <w:rPr>
                <w:rFonts w:eastAsia="Times New Roman"/>
                <w:sz w:val="20"/>
                <w:szCs w:val="20"/>
                <w:lang w:eastAsia="ru-RU"/>
              </w:rPr>
              <w:t xml:space="preserve"> și salariul lunar </w:t>
            </w:r>
            <w:r w:rsidRPr="001E7194">
              <w:rPr>
                <w:rFonts w:eastAsia="Times New Roman"/>
                <w:sz w:val="20"/>
                <w:szCs w:val="20"/>
                <w:lang w:eastAsia="ru-RU"/>
              </w:rPr>
              <w:lastRenderedPageBreak/>
              <w:t>calculat în condițiile prezentei hotărâri și se recalculează proporțional timpului efectiv lucrat;</w:t>
            </w:r>
          </w:p>
        </w:tc>
      </w:tr>
      <w:tr w:rsidR="006279C8" w:rsidRPr="001E7194" w:rsidTr="00361431">
        <w:tc>
          <w:tcPr>
            <w:tcW w:w="142" w:type="pct"/>
          </w:tcPr>
          <w:p w:rsidR="006279C8" w:rsidRPr="001E7194" w:rsidRDefault="00FD1029" w:rsidP="006279C8">
            <w:pPr>
              <w:rPr>
                <w:rFonts w:cs="Times New Roman"/>
                <w:sz w:val="22"/>
              </w:rPr>
            </w:pPr>
            <w:r w:rsidRPr="001E7194">
              <w:rPr>
                <w:rFonts w:cs="Times New Roman"/>
                <w:sz w:val="22"/>
              </w:rPr>
              <w:lastRenderedPageBreak/>
              <w:t>6</w:t>
            </w:r>
            <w:r w:rsidR="006279C8" w:rsidRPr="001E7194">
              <w:rPr>
                <w:rFonts w:cs="Times New Roman"/>
                <w:sz w:val="22"/>
              </w:rPr>
              <w:t>.</w:t>
            </w:r>
          </w:p>
        </w:tc>
        <w:tc>
          <w:tcPr>
            <w:tcW w:w="1361" w:type="pct"/>
          </w:tcPr>
          <w:p w:rsidR="006279C8" w:rsidRPr="001E7194" w:rsidRDefault="006279C8" w:rsidP="006279C8">
            <w:pPr>
              <w:pStyle w:val="NormalWeb"/>
              <w:shd w:val="clear" w:color="auto" w:fill="FFFFFF"/>
              <w:spacing w:before="0" w:beforeAutospacing="0" w:after="0" w:afterAutospacing="0"/>
              <w:jc w:val="both"/>
              <w:rPr>
                <w:rFonts w:cstheme="minorBidi"/>
                <w:b/>
                <w:sz w:val="20"/>
                <w:szCs w:val="20"/>
                <w:lang w:val="ro-RO" w:eastAsia="ru-RU"/>
              </w:rPr>
            </w:pPr>
            <w:r w:rsidRPr="001E7194">
              <w:rPr>
                <w:rFonts w:cstheme="minorBidi"/>
                <w:b/>
                <w:sz w:val="20"/>
                <w:szCs w:val="20"/>
                <w:lang w:val="ro-RO" w:eastAsia="ru-RU"/>
              </w:rPr>
              <w:t>Tabelul nr. 1, NOTE:</w:t>
            </w:r>
          </w:p>
          <w:p w:rsidR="006279C8" w:rsidRPr="001E7194" w:rsidRDefault="006279C8" w:rsidP="006279C8">
            <w:pPr>
              <w:pStyle w:val="NormalWeb"/>
              <w:shd w:val="clear" w:color="auto" w:fill="FFFFFF"/>
              <w:spacing w:before="0" w:beforeAutospacing="0" w:after="0" w:afterAutospacing="0"/>
              <w:jc w:val="both"/>
              <w:rPr>
                <w:rFonts w:cstheme="minorBidi"/>
                <w:sz w:val="20"/>
                <w:szCs w:val="20"/>
                <w:lang w:val="ro-RO" w:eastAsia="ru-RU"/>
              </w:rPr>
            </w:pPr>
            <w:r w:rsidRPr="001E7194">
              <w:rPr>
                <w:rFonts w:cstheme="minorBidi"/>
                <w:sz w:val="20"/>
                <w:szCs w:val="20"/>
                <w:lang w:val="ro-RO" w:eastAsia="ru-RU"/>
              </w:rPr>
              <w:t xml:space="preserve">1. Categoria instituției de </w:t>
            </w:r>
            <w:r w:rsidR="00B32AC0" w:rsidRPr="001E7194">
              <w:rPr>
                <w:rFonts w:cstheme="minorBidi"/>
                <w:sz w:val="20"/>
                <w:szCs w:val="20"/>
                <w:lang w:val="ro-RO" w:eastAsia="ru-RU"/>
              </w:rPr>
              <w:t>învățământ</w:t>
            </w:r>
            <w:r w:rsidRPr="001E7194">
              <w:rPr>
                <w:rFonts w:cstheme="minorBidi"/>
                <w:sz w:val="20"/>
                <w:szCs w:val="20"/>
                <w:lang w:val="ro-RO" w:eastAsia="ru-RU"/>
              </w:rPr>
              <w:t xml:space="preserve"> superior se stabilește de către fondator după cum urmează:</w:t>
            </w:r>
          </w:p>
          <w:p w:rsidR="006279C8" w:rsidRPr="001E7194" w:rsidRDefault="006279C8" w:rsidP="006279C8">
            <w:pPr>
              <w:pStyle w:val="NormalWeb"/>
              <w:shd w:val="clear" w:color="auto" w:fill="FFFFFF"/>
              <w:spacing w:before="0" w:beforeAutospacing="0" w:after="0" w:afterAutospacing="0"/>
              <w:ind w:firstLine="540"/>
              <w:jc w:val="both"/>
              <w:rPr>
                <w:rFonts w:cstheme="minorBidi"/>
                <w:sz w:val="20"/>
                <w:szCs w:val="20"/>
                <w:lang w:val="ro-RO" w:eastAsia="ru-RU"/>
              </w:rPr>
            </w:pPr>
            <w:r w:rsidRPr="001E7194">
              <w:rPr>
                <w:rFonts w:cstheme="minorBidi"/>
                <w:sz w:val="20"/>
                <w:szCs w:val="20"/>
                <w:lang w:val="ro-RO" w:eastAsia="ru-RU"/>
              </w:rPr>
              <w:t xml:space="preserve">1) la categoria I se raportează instituțiile de </w:t>
            </w:r>
            <w:r w:rsidR="00B32AC0" w:rsidRPr="001E7194">
              <w:rPr>
                <w:rFonts w:cstheme="minorBidi"/>
                <w:sz w:val="20"/>
                <w:szCs w:val="20"/>
                <w:lang w:val="ro-RO" w:eastAsia="ru-RU"/>
              </w:rPr>
              <w:t>învățământ</w:t>
            </w:r>
            <w:r w:rsidRPr="001E7194">
              <w:rPr>
                <w:rFonts w:cstheme="minorBidi"/>
                <w:sz w:val="20"/>
                <w:szCs w:val="20"/>
                <w:lang w:val="ro-RO" w:eastAsia="ru-RU"/>
              </w:rPr>
              <w:t xml:space="preserve"> superior care au un efectiv de studenți (ciclul I, ciclul II și ciclul III de studii), </w:t>
            </w:r>
            <w:proofErr w:type="spellStart"/>
            <w:r w:rsidRPr="001E7194">
              <w:rPr>
                <w:rFonts w:cstheme="minorBidi"/>
                <w:sz w:val="20"/>
                <w:szCs w:val="20"/>
                <w:lang w:val="ro-RO" w:eastAsia="ru-RU"/>
              </w:rPr>
              <w:t>postdoctoranzi</w:t>
            </w:r>
            <w:proofErr w:type="spellEnd"/>
            <w:r w:rsidRPr="001E7194">
              <w:rPr>
                <w:rFonts w:cstheme="minorBidi"/>
                <w:sz w:val="20"/>
                <w:szCs w:val="20"/>
                <w:lang w:val="ro-RO" w:eastAsia="ru-RU"/>
              </w:rPr>
              <w:t xml:space="preserve">, rezidenți, medici secundari clinici, cursanți (auditori) de peste </w:t>
            </w:r>
            <w:r w:rsidRPr="001E7194">
              <w:rPr>
                <w:rFonts w:cstheme="minorBidi"/>
                <w:b/>
                <w:sz w:val="20"/>
                <w:szCs w:val="20"/>
                <w:lang w:val="ro-RO" w:eastAsia="ru-RU"/>
              </w:rPr>
              <w:t>9000</w:t>
            </w:r>
            <w:r w:rsidRPr="001E7194">
              <w:rPr>
                <w:rFonts w:cstheme="minorBidi"/>
                <w:sz w:val="20"/>
                <w:szCs w:val="20"/>
                <w:lang w:val="ro-RO" w:eastAsia="ru-RU"/>
              </w:rPr>
              <w:t xml:space="preserve"> de persoane și dispun de unități de cercetare științifică;</w:t>
            </w:r>
          </w:p>
          <w:p w:rsidR="006279C8" w:rsidRPr="001E7194" w:rsidRDefault="006279C8" w:rsidP="006279C8">
            <w:pPr>
              <w:pStyle w:val="NormalWeb"/>
              <w:shd w:val="clear" w:color="auto" w:fill="FFFFFF"/>
              <w:spacing w:before="0" w:beforeAutospacing="0" w:after="0" w:afterAutospacing="0"/>
              <w:ind w:firstLine="540"/>
              <w:jc w:val="both"/>
              <w:rPr>
                <w:rFonts w:cstheme="minorBidi"/>
                <w:sz w:val="20"/>
                <w:szCs w:val="20"/>
                <w:lang w:val="ro-RO" w:eastAsia="ru-RU"/>
              </w:rPr>
            </w:pPr>
            <w:r w:rsidRPr="001E7194">
              <w:rPr>
                <w:rFonts w:cstheme="minorBidi"/>
                <w:sz w:val="20"/>
                <w:szCs w:val="20"/>
                <w:lang w:val="ro-RO" w:eastAsia="ru-RU"/>
              </w:rPr>
              <w:t xml:space="preserve">2) la categoria II se raportează instituțiile de învățământ superior care au un efectiv de studenți (ciclul I, ciclul II și ciclul III de studii), </w:t>
            </w:r>
            <w:proofErr w:type="spellStart"/>
            <w:r w:rsidRPr="001E7194">
              <w:rPr>
                <w:rFonts w:cstheme="minorBidi"/>
                <w:sz w:val="20"/>
                <w:szCs w:val="20"/>
                <w:lang w:val="ro-RO" w:eastAsia="ru-RU"/>
              </w:rPr>
              <w:t>postdoctoranzi</w:t>
            </w:r>
            <w:proofErr w:type="spellEnd"/>
            <w:r w:rsidRPr="001E7194">
              <w:rPr>
                <w:rFonts w:cstheme="minorBidi"/>
                <w:sz w:val="20"/>
                <w:szCs w:val="20"/>
                <w:lang w:val="ro-RO" w:eastAsia="ru-RU"/>
              </w:rPr>
              <w:t xml:space="preserve">, rezidenți, medici secundari clinici, cursanți (auditori) de la </w:t>
            </w:r>
            <w:r w:rsidRPr="001E7194">
              <w:rPr>
                <w:rFonts w:cstheme="minorBidi"/>
                <w:b/>
                <w:sz w:val="20"/>
                <w:szCs w:val="20"/>
                <w:lang w:val="ro-RO" w:eastAsia="ru-RU"/>
              </w:rPr>
              <w:t>3000</w:t>
            </w:r>
            <w:r w:rsidRPr="001E7194">
              <w:rPr>
                <w:rFonts w:cstheme="minorBidi"/>
                <w:sz w:val="20"/>
                <w:szCs w:val="20"/>
                <w:lang w:val="ro-RO" w:eastAsia="ru-RU"/>
              </w:rPr>
              <w:t xml:space="preserve"> până la </w:t>
            </w:r>
            <w:r w:rsidRPr="001E7194">
              <w:rPr>
                <w:rFonts w:cstheme="minorBidi"/>
                <w:b/>
                <w:sz w:val="20"/>
                <w:szCs w:val="20"/>
                <w:lang w:val="ro-RO" w:eastAsia="ru-RU"/>
              </w:rPr>
              <w:t xml:space="preserve">9000 </w:t>
            </w:r>
            <w:r w:rsidRPr="001E7194">
              <w:rPr>
                <w:rFonts w:cstheme="minorBidi"/>
                <w:sz w:val="20"/>
                <w:szCs w:val="20"/>
                <w:lang w:val="ro-RO" w:eastAsia="ru-RU"/>
              </w:rPr>
              <w:t>de persoane și care au atins performanțe în domeniul cercetărilor științifice;</w:t>
            </w:r>
          </w:p>
          <w:p w:rsidR="006279C8" w:rsidRPr="001E7194" w:rsidRDefault="006279C8" w:rsidP="006279C8">
            <w:pPr>
              <w:jc w:val="both"/>
              <w:rPr>
                <w:rFonts w:cs="Times New Roman"/>
                <w:sz w:val="22"/>
              </w:rPr>
            </w:pPr>
            <w:r w:rsidRPr="001E7194">
              <w:rPr>
                <w:sz w:val="20"/>
                <w:szCs w:val="20"/>
                <w:lang w:eastAsia="ru-RU"/>
              </w:rPr>
              <w:t xml:space="preserve">3) la categoria III se raportează celelalte instituții de </w:t>
            </w:r>
            <w:r w:rsidR="00B32AC0" w:rsidRPr="001E7194">
              <w:rPr>
                <w:sz w:val="20"/>
                <w:szCs w:val="20"/>
                <w:lang w:eastAsia="ru-RU"/>
              </w:rPr>
              <w:t>învățământ</w:t>
            </w:r>
            <w:r w:rsidRPr="001E7194">
              <w:rPr>
                <w:sz w:val="20"/>
                <w:szCs w:val="20"/>
                <w:lang w:eastAsia="ru-RU"/>
              </w:rPr>
              <w:t xml:space="preserve"> superior, care au un efectiv de studenți (ciclul I, ciclul II și ciclul III de studii), </w:t>
            </w:r>
            <w:proofErr w:type="spellStart"/>
            <w:r w:rsidRPr="001E7194">
              <w:rPr>
                <w:sz w:val="20"/>
                <w:szCs w:val="20"/>
                <w:lang w:eastAsia="ru-RU"/>
              </w:rPr>
              <w:t>postdoctoranzi</w:t>
            </w:r>
            <w:proofErr w:type="spellEnd"/>
            <w:r w:rsidRPr="001E7194">
              <w:rPr>
                <w:sz w:val="20"/>
                <w:szCs w:val="20"/>
                <w:lang w:eastAsia="ru-RU"/>
              </w:rPr>
              <w:t xml:space="preserve">, rezidenți, medici secundari clinici, cursanți (auditori) de </w:t>
            </w:r>
            <w:r w:rsidR="00B32AC0" w:rsidRPr="001E7194">
              <w:rPr>
                <w:sz w:val="20"/>
                <w:szCs w:val="20"/>
                <w:lang w:eastAsia="ru-RU"/>
              </w:rPr>
              <w:t>până</w:t>
            </w:r>
            <w:r w:rsidRPr="001E7194">
              <w:rPr>
                <w:sz w:val="20"/>
                <w:szCs w:val="20"/>
                <w:lang w:eastAsia="ru-RU"/>
              </w:rPr>
              <w:t xml:space="preserve"> la </w:t>
            </w:r>
            <w:r w:rsidRPr="001E7194">
              <w:rPr>
                <w:b/>
                <w:sz w:val="20"/>
                <w:szCs w:val="20"/>
                <w:lang w:eastAsia="ru-RU"/>
              </w:rPr>
              <w:t>3000</w:t>
            </w:r>
            <w:r w:rsidRPr="001E7194">
              <w:rPr>
                <w:sz w:val="20"/>
                <w:szCs w:val="20"/>
                <w:lang w:eastAsia="ru-RU"/>
              </w:rPr>
              <w:t xml:space="preserve"> de persoane.</w:t>
            </w:r>
          </w:p>
        </w:tc>
        <w:tc>
          <w:tcPr>
            <w:tcW w:w="1792" w:type="pct"/>
          </w:tcPr>
          <w:p w:rsidR="006279C8" w:rsidRPr="001E7194" w:rsidRDefault="006279C8" w:rsidP="006279C8">
            <w:pPr>
              <w:ind w:right="46"/>
              <w:jc w:val="both"/>
              <w:rPr>
                <w:sz w:val="20"/>
                <w:szCs w:val="20"/>
                <w:lang w:eastAsia="ru-RU"/>
              </w:rPr>
            </w:pPr>
            <w:r w:rsidRPr="001E7194">
              <w:rPr>
                <w:sz w:val="20"/>
                <w:szCs w:val="20"/>
                <w:lang w:eastAsia="ru-RU"/>
              </w:rPr>
              <w:t>Tabelul 1, Note, la punctul 1. cifrele „9000” se substituie cu cifrele „6000”, cifrele „3000” se substituie cu cifrele „2000”</w:t>
            </w:r>
          </w:p>
        </w:tc>
        <w:tc>
          <w:tcPr>
            <w:tcW w:w="1705" w:type="pct"/>
          </w:tcPr>
          <w:p w:rsidR="006279C8" w:rsidRPr="001E7194" w:rsidRDefault="006279C8" w:rsidP="006279C8">
            <w:pPr>
              <w:rPr>
                <w:rFonts w:eastAsia="Times New Roman"/>
                <w:b/>
                <w:sz w:val="20"/>
                <w:szCs w:val="20"/>
                <w:lang w:eastAsia="ru-RU"/>
              </w:rPr>
            </w:pPr>
            <w:r w:rsidRPr="001E7194">
              <w:rPr>
                <w:rFonts w:eastAsia="Times New Roman"/>
                <w:b/>
                <w:sz w:val="20"/>
                <w:szCs w:val="20"/>
                <w:lang w:eastAsia="ru-RU"/>
              </w:rPr>
              <w:t>Tabelul nr. 1, NOTE:</w:t>
            </w:r>
          </w:p>
          <w:p w:rsidR="006279C8" w:rsidRPr="001E7194" w:rsidRDefault="006279C8" w:rsidP="006279C8">
            <w:pPr>
              <w:pStyle w:val="Body"/>
              <w:shd w:val="clear" w:color="auto" w:fill="FFFFFF"/>
              <w:ind w:left="18" w:hanging="18"/>
              <w:jc w:val="both"/>
              <w:rPr>
                <w:rFonts w:ascii="Times New Roman" w:eastAsia="Times New Roman" w:hAnsi="Times New Roman" w:cs="Times New Roman"/>
                <w:color w:val="auto"/>
                <w:sz w:val="20"/>
                <w:szCs w:val="20"/>
                <w:bdr w:val="none" w:sz="0" w:space="0" w:color="auto"/>
                <w:lang w:eastAsia="ru-RU"/>
              </w:rPr>
            </w:pPr>
            <w:r w:rsidRPr="001E7194">
              <w:rPr>
                <w:rFonts w:ascii="Times New Roman" w:eastAsia="Times New Roman" w:hAnsi="Times New Roman" w:cs="Times New Roman"/>
                <w:color w:val="auto"/>
                <w:sz w:val="20"/>
                <w:szCs w:val="20"/>
                <w:bdr w:val="none" w:sz="0" w:space="0" w:color="auto"/>
                <w:lang w:eastAsia="ru-RU"/>
              </w:rPr>
              <w:t>1. Categoria instituției de învățământ superior se stabilește de către fondator după cum urmează:</w:t>
            </w:r>
          </w:p>
          <w:p w:rsidR="006279C8" w:rsidRPr="001E7194" w:rsidRDefault="006279C8" w:rsidP="006279C8">
            <w:pPr>
              <w:pStyle w:val="Body"/>
              <w:shd w:val="clear" w:color="auto" w:fill="FFFFFF"/>
              <w:ind w:left="18" w:hanging="18"/>
              <w:jc w:val="both"/>
              <w:rPr>
                <w:rFonts w:ascii="Times New Roman" w:eastAsia="Times New Roman" w:hAnsi="Times New Roman" w:cs="Times New Roman"/>
                <w:color w:val="auto"/>
                <w:sz w:val="20"/>
                <w:szCs w:val="20"/>
                <w:bdr w:val="none" w:sz="0" w:space="0" w:color="auto"/>
                <w:lang w:eastAsia="ru-RU"/>
              </w:rPr>
            </w:pPr>
            <w:r w:rsidRPr="001E7194">
              <w:rPr>
                <w:rFonts w:ascii="Times New Roman" w:eastAsia="Times New Roman" w:hAnsi="Times New Roman" w:cs="Times New Roman"/>
                <w:color w:val="auto"/>
                <w:sz w:val="20"/>
                <w:szCs w:val="20"/>
                <w:bdr w:val="none" w:sz="0" w:space="0" w:color="auto"/>
                <w:lang w:eastAsia="ru-RU"/>
              </w:rPr>
              <w:t xml:space="preserve">1) la categoria I se raportează instituțiile de învățământ superior care au un efectiv de studenți (ciclul I, ciclul II și ciclul III de studii), </w:t>
            </w:r>
            <w:proofErr w:type="spellStart"/>
            <w:r w:rsidRPr="001E7194">
              <w:rPr>
                <w:rFonts w:ascii="Times New Roman" w:eastAsia="Times New Roman" w:hAnsi="Times New Roman" w:cs="Times New Roman"/>
                <w:color w:val="auto"/>
                <w:sz w:val="20"/>
                <w:szCs w:val="20"/>
                <w:bdr w:val="none" w:sz="0" w:space="0" w:color="auto"/>
                <w:lang w:eastAsia="ru-RU"/>
              </w:rPr>
              <w:t>postdoctoranzi</w:t>
            </w:r>
            <w:proofErr w:type="spellEnd"/>
            <w:r w:rsidRPr="001E7194">
              <w:rPr>
                <w:rFonts w:ascii="Times New Roman" w:eastAsia="Times New Roman" w:hAnsi="Times New Roman" w:cs="Times New Roman"/>
                <w:color w:val="auto"/>
                <w:sz w:val="20"/>
                <w:szCs w:val="20"/>
                <w:bdr w:val="none" w:sz="0" w:space="0" w:color="auto"/>
                <w:lang w:eastAsia="ru-RU"/>
              </w:rPr>
              <w:t xml:space="preserve">, rezidenți, medici secundari clinici, cursanți (auditori) de peste </w:t>
            </w:r>
            <w:r w:rsidRPr="001E7194">
              <w:rPr>
                <w:rFonts w:ascii="Times New Roman" w:eastAsia="Times New Roman" w:hAnsi="Times New Roman" w:cs="Times New Roman"/>
                <w:b/>
                <w:color w:val="auto"/>
                <w:sz w:val="20"/>
                <w:szCs w:val="20"/>
                <w:bdr w:val="none" w:sz="0" w:space="0" w:color="auto"/>
                <w:lang w:eastAsia="ru-RU"/>
              </w:rPr>
              <w:t>6000</w:t>
            </w:r>
            <w:r w:rsidRPr="001E7194">
              <w:rPr>
                <w:rFonts w:ascii="Times New Roman" w:eastAsia="Times New Roman" w:hAnsi="Times New Roman" w:cs="Times New Roman"/>
                <w:color w:val="auto"/>
                <w:sz w:val="20"/>
                <w:szCs w:val="20"/>
                <w:bdr w:val="none" w:sz="0" w:space="0" w:color="auto"/>
                <w:lang w:eastAsia="ru-RU"/>
              </w:rPr>
              <w:t xml:space="preserve"> de persoane.;</w:t>
            </w:r>
          </w:p>
          <w:p w:rsidR="006279C8" w:rsidRPr="001E7194" w:rsidRDefault="006279C8" w:rsidP="006279C8">
            <w:pPr>
              <w:pStyle w:val="Body"/>
              <w:shd w:val="clear" w:color="auto" w:fill="FFFFFF"/>
              <w:ind w:left="18" w:hanging="18"/>
              <w:jc w:val="both"/>
              <w:rPr>
                <w:rFonts w:ascii="Times New Roman" w:eastAsia="Times New Roman" w:hAnsi="Times New Roman" w:cs="Times New Roman"/>
                <w:color w:val="auto"/>
                <w:sz w:val="20"/>
                <w:szCs w:val="20"/>
                <w:bdr w:val="none" w:sz="0" w:space="0" w:color="auto"/>
                <w:lang w:eastAsia="ru-RU"/>
              </w:rPr>
            </w:pPr>
            <w:r w:rsidRPr="001E7194">
              <w:rPr>
                <w:rFonts w:ascii="Times New Roman" w:eastAsia="Times New Roman" w:hAnsi="Times New Roman" w:cs="Times New Roman"/>
                <w:color w:val="auto"/>
                <w:sz w:val="20"/>
                <w:szCs w:val="20"/>
                <w:bdr w:val="none" w:sz="0" w:space="0" w:color="auto"/>
                <w:lang w:eastAsia="ru-RU"/>
              </w:rPr>
              <w:t xml:space="preserve">2) la categoria II se raportează instituțiile de învățământ superior care au un efectiv de studenți (ciclul I, ciclul II și ciclul III de studii), </w:t>
            </w:r>
            <w:proofErr w:type="spellStart"/>
            <w:r w:rsidRPr="001E7194">
              <w:rPr>
                <w:rFonts w:ascii="Times New Roman" w:eastAsia="Times New Roman" w:hAnsi="Times New Roman" w:cs="Times New Roman"/>
                <w:color w:val="auto"/>
                <w:sz w:val="20"/>
                <w:szCs w:val="20"/>
                <w:bdr w:val="none" w:sz="0" w:space="0" w:color="auto"/>
                <w:lang w:eastAsia="ru-RU"/>
              </w:rPr>
              <w:t>postdoctoranzi</w:t>
            </w:r>
            <w:proofErr w:type="spellEnd"/>
            <w:r w:rsidRPr="001E7194">
              <w:rPr>
                <w:rFonts w:ascii="Times New Roman" w:eastAsia="Times New Roman" w:hAnsi="Times New Roman" w:cs="Times New Roman"/>
                <w:color w:val="auto"/>
                <w:sz w:val="20"/>
                <w:szCs w:val="20"/>
                <w:bdr w:val="none" w:sz="0" w:space="0" w:color="auto"/>
                <w:lang w:eastAsia="ru-RU"/>
              </w:rPr>
              <w:t xml:space="preserve">, rezidenți, medici secundari clinici, cursanți (auditori) de la </w:t>
            </w:r>
            <w:r w:rsidRPr="001E7194">
              <w:rPr>
                <w:rFonts w:ascii="Times New Roman" w:eastAsia="Times New Roman" w:hAnsi="Times New Roman" w:cs="Times New Roman"/>
                <w:b/>
                <w:color w:val="auto"/>
                <w:sz w:val="20"/>
                <w:szCs w:val="20"/>
                <w:bdr w:val="none" w:sz="0" w:space="0" w:color="auto"/>
                <w:lang w:eastAsia="ru-RU"/>
              </w:rPr>
              <w:t>2000</w:t>
            </w:r>
            <w:r w:rsidRPr="001E7194">
              <w:rPr>
                <w:rFonts w:ascii="Times New Roman" w:eastAsia="Times New Roman" w:hAnsi="Times New Roman" w:cs="Times New Roman"/>
                <w:color w:val="auto"/>
                <w:sz w:val="20"/>
                <w:szCs w:val="20"/>
                <w:bdr w:val="none" w:sz="0" w:space="0" w:color="auto"/>
                <w:lang w:eastAsia="ru-RU"/>
              </w:rPr>
              <w:t xml:space="preserve"> până la </w:t>
            </w:r>
            <w:r w:rsidRPr="001E7194">
              <w:rPr>
                <w:rFonts w:ascii="Times New Roman" w:eastAsia="Times New Roman" w:hAnsi="Times New Roman" w:cs="Times New Roman"/>
                <w:b/>
                <w:color w:val="auto"/>
                <w:sz w:val="20"/>
                <w:szCs w:val="20"/>
                <w:bdr w:val="none" w:sz="0" w:space="0" w:color="auto"/>
                <w:lang w:eastAsia="ru-RU"/>
              </w:rPr>
              <w:t>6000</w:t>
            </w:r>
            <w:r w:rsidRPr="001E7194">
              <w:rPr>
                <w:rFonts w:ascii="Times New Roman" w:eastAsia="Times New Roman" w:hAnsi="Times New Roman" w:cs="Times New Roman"/>
                <w:color w:val="auto"/>
                <w:sz w:val="20"/>
                <w:szCs w:val="20"/>
                <w:bdr w:val="none" w:sz="0" w:space="0" w:color="auto"/>
                <w:lang w:eastAsia="ru-RU"/>
              </w:rPr>
              <w:t xml:space="preserve"> de persoane.</w:t>
            </w:r>
          </w:p>
          <w:p w:rsidR="006279C8" w:rsidRPr="001E7194" w:rsidRDefault="006279C8" w:rsidP="006279C8">
            <w:pPr>
              <w:rPr>
                <w:rFonts w:eastAsia="Times New Roman"/>
                <w:b/>
                <w:sz w:val="20"/>
                <w:szCs w:val="20"/>
                <w:lang w:eastAsia="ru-RU"/>
              </w:rPr>
            </w:pPr>
            <w:r w:rsidRPr="001E7194">
              <w:rPr>
                <w:rFonts w:eastAsia="Times New Roman"/>
                <w:sz w:val="20"/>
                <w:szCs w:val="20"/>
                <w:lang w:eastAsia="ru-RU"/>
              </w:rPr>
              <w:t xml:space="preserve">3) la categoria III se raportează instituțiile de învățământ superior care au un efectiv de studenți (ciclul I, ciclul II și ciclul III de studii), </w:t>
            </w:r>
            <w:proofErr w:type="spellStart"/>
            <w:r w:rsidRPr="001E7194">
              <w:rPr>
                <w:rFonts w:eastAsia="Times New Roman"/>
                <w:sz w:val="20"/>
                <w:szCs w:val="20"/>
                <w:lang w:eastAsia="ru-RU"/>
              </w:rPr>
              <w:t>postdoctoranzi</w:t>
            </w:r>
            <w:proofErr w:type="spellEnd"/>
            <w:r w:rsidRPr="001E7194">
              <w:rPr>
                <w:rFonts w:eastAsia="Times New Roman"/>
                <w:sz w:val="20"/>
                <w:szCs w:val="20"/>
                <w:lang w:eastAsia="ru-RU"/>
              </w:rPr>
              <w:t xml:space="preserve">, rezidenți, medici secundari clinici, cursanți (auditori) de până la </w:t>
            </w:r>
            <w:r w:rsidRPr="001E7194">
              <w:rPr>
                <w:rFonts w:eastAsia="Times New Roman"/>
                <w:b/>
                <w:sz w:val="20"/>
                <w:szCs w:val="20"/>
                <w:lang w:eastAsia="ru-RU"/>
              </w:rPr>
              <w:t>2000</w:t>
            </w:r>
            <w:r w:rsidRPr="001E7194">
              <w:rPr>
                <w:rFonts w:eastAsia="Times New Roman"/>
                <w:sz w:val="20"/>
                <w:szCs w:val="20"/>
                <w:lang w:eastAsia="ru-RU"/>
              </w:rPr>
              <w:t xml:space="preserve"> de persoane.</w:t>
            </w:r>
          </w:p>
        </w:tc>
      </w:tr>
      <w:tr w:rsidR="00B23D4D" w:rsidRPr="001E7194" w:rsidTr="00361431">
        <w:tc>
          <w:tcPr>
            <w:tcW w:w="142" w:type="pct"/>
          </w:tcPr>
          <w:p w:rsidR="00B23D4D" w:rsidRPr="001E7194" w:rsidRDefault="00FD1029" w:rsidP="00B23D4D">
            <w:pPr>
              <w:rPr>
                <w:rFonts w:cs="Times New Roman"/>
                <w:sz w:val="22"/>
              </w:rPr>
            </w:pPr>
            <w:r w:rsidRPr="001E7194">
              <w:rPr>
                <w:rFonts w:cs="Times New Roman"/>
                <w:sz w:val="22"/>
              </w:rPr>
              <w:t>7</w:t>
            </w:r>
            <w:r w:rsidR="00B23D4D" w:rsidRPr="001E7194">
              <w:rPr>
                <w:rFonts w:cs="Times New Roman"/>
                <w:sz w:val="22"/>
              </w:rPr>
              <w:t>.</w:t>
            </w:r>
          </w:p>
        </w:tc>
        <w:tc>
          <w:tcPr>
            <w:tcW w:w="1361" w:type="pct"/>
          </w:tcPr>
          <w:p w:rsidR="00B23D4D" w:rsidRPr="001E7194" w:rsidRDefault="00B23D4D" w:rsidP="00B23D4D">
            <w:pPr>
              <w:jc w:val="both"/>
              <w:rPr>
                <w:rFonts w:cs="Times New Roman"/>
                <w:sz w:val="22"/>
              </w:rPr>
            </w:pPr>
            <w:r w:rsidRPr="001E7194">
              <w:rPr>
                <w:sz w:val="20"/>
                <w:szCs w:val="20"/>
                <w:lang w:eastAsia="ru-RU"/>
              </w:rPr>
              <w:t xml:space="preserve">4. Pentru conducerea grupelor de elevi, cadrelor didactice, inclusiv dirigintelui, li se majorează clasa de salarizare cu </w:t>
            </w:r>
            <w:r w:rsidRPr="001E7194">
              <w:rPr>
                <w:b/>
                <w:sz w:val="20"/>
                <w:szCs w:val="20"/>
                <w:lang w:eastAsia="ru-RU"/>
              </w:rPr>
              <w:t>o clasă</w:t>
            </w:r>
            <w:r w:rsidRPr="001E7194">
              <w:rPr>
                <w:sz w:val="20"/>
                <w:szCs w:val="20"/>
                <w:lang w:eastAsia="ru-RU"/>
              </w:rPr>
              <w:t xml:space="preserve"> succesivă față de cea corespunzătoare funcției de bază.</w:t>
            </w:r>
          </w:p>
        </w:tc>
        <w:tc>
          <w:tcPr>
            <w:tcW w:w="1792" w:type="pct"/>
          </w:tcPr>
          <w:p w:rsidR="00B23D4D" w:rsidRPr="001E7194" w:rsidRDefault="00B23D4D" w:rsidP="00B23D4D">
            <w:pPr>
              <w:ind w:right="46"/>
              <w:jc w:val="both"/>
              <w:rPr>
                <w:rFonts w:eastAsia="Times New Roman"/>
                <w:sz w:val="20"/>
                <w:szCs w:val="20"/>
                <w:lang w:eastAsia="ru-RU"/>
              </w:rPr>
            </w:pPr>
            <w:r w:rsidRPr="001E7194">
              <w:rPr>
                <w:rFonts w:eastAsia="Times New Roman"/>
                <w:sz w:val="20"/>
                <w:szCs w:val="20"/>
                <w:lang w:eastAsia="ru-RU"/>
              </w:rPr>
              <w:t>Tabelul 2, Note, la punctul 4, cuvintele „o clasă” se substituie cu cuvintele „patru clase”</w:t>
            </w:r>
          </w:p>
        </w:tc>
        <w:tc>
          <w:tcPr>
            <w:tcW w:w="1705" w:type="pct"/>
          </w:tcPr>
          <w:p w:rsidR="00B23D4D" w:rsidRPr="001E7194" w:rsidRDefault="00B23D4D" w:rsidP="00B23D4D">
            <w:pPr>
              <w:jc w:val="both"/>
              <w:rPr>
                <w:rFonts w:eastAsia="Times New Roman"/>
                <w:sz w:val="20"/>
                <w:szCs w:val="20"/>
                <w:lang w:eastAsia="ru-RU"/>
              </w:rPr>
            </w:pPr>
            <w:r w:rsidRPr="001E7194">
              <w:rPr>
                <w:rFonts w:eastAsia="Times New Roman"/>
                <w:sz w:val="20"/>
                <w:szCs w:val="20"/>
                <w:lang w:eastAsia="ru-RU"/>
              </w:rPr>
              <w:t>4. Pentru conducerea grupelor de elevi, cadrelor didactice, inclusiv dirigintelui, li se majorează clasa de salarizare cu</w:t>
            </w:r>
            <w:r w:rsidRPr="001E7194">
              <w:rPr>
                <w:rFonts w:eastAsia="Times New Roman"/>
                <w:b/>
                <w:sz w:val="20"/>
                <w:szCs w:val="20"/>
                <w:lang w:eastAsia="ru-RU"/>
              </w:rPr>
              <w:t xml:space="preserve"> patru</w:t>
            </w:r>
            <w:r w:rsidRPr="001E7194">
              <w:rPr>
                <w:rFonts w:eastAsia="Times New Roman"/>
                <w:sz w:val="20"/>
                <w:szCs w:val="20"/>
                <w:lang w:eastAsia="ru-RU"/>
              </w:rPr>
              <w:t xml:space="preserve"> </w:t>
            </w:r>
            <w:r w:rsidRPr="001E7194">
              <w:rPr>
                <w:rFonts w:eastAsia="Times New Roman"/>
                <w:b/>
                <w:sz w:val="20"/>
                <w:szCs w:val="20"/>
                <w:lang w:eastAsia="ru-RU"/>
              </w:rPr>
              <w:t>clase</w:t>
            </w:r>
            <w:r w:rsidRPr="001E7194">
              <w:rPr>
                <w:rFonts w:eastAsia="Times New Roman"/>
                <w:sz w:val="20"/>
                <w:szCs w:val="20"/>
                <w:lang w:eastAsia="ru-RU"/>
              </w:rPr>
              <w:t xml:space="preserve"> succesive față de cea corespunzătoare funcției de bază.</w:t>
            </w:r>
          </w:p>
        </w:tc>
      </w:tr>
      <w:tr w:rsidR="00B23D4D" w:rsidRPr="001E7194" w:rsidTr="00361431">
        <w:tc>
          <w:tcPr>
            <w:tcW w:w="142" w:type="pct"/>
          </w:tcPr>
          <w:p w:rsidR="00B23D4D" w:rsidRPr="001E7194" w:rsidRDefault="00B23D4D" w:rsidP="00B23D4D">
            <w:pPr>
              <w:rPr>
                <w:rFonts w:cs="Times New Roman"/>
                <w:sz w:val="22"/>
              </w:rPr>
            </w:pPr>
          </w:p>
        </w:tc>
        <w:tc>
          <w:tcPr>
            <w:tcW w:w="1361" w:type="pct"/>
          </w:tcPr>
          <w:p w:rsidR="00B23D4D" w:rsidRPr="001E7194" w:rsidRDefault="00B23D4D" w:rsidP="00B23D4D">
            <w:pPr>
              <w:jc w:val="both"/>
              <w:rPr>
                <w:rFonts w:cs="Times New Roman"/>
                <w:sz w:val="22"/>
              </w:rPr>
            </w:pPr>
          </w:p>
        </w:tc>
        <w:tc>
          <w:tcPr>
            <w:tcW w:w="1792" w:type="pct"/>
          </w:tcPr>
          <w:p w:rsidR="00B23D4D" w:rsidRPr="001E7194" w:rsidRDefault="00B23D4D" w:rsidP="00B23D4D">
            <w:pPr>
              <w:ind w:right="46"/>
              <w:jc w:val="both"/>
              <w:rPr>
                <w:rFonts w:cs="Times New Roman"/>
                <w:color w:val="000000"/>
                <w:sz w:val="22"/>
              </w:rPr>
            </w:pPr>
          </w:p>
        </w:tc>
        <w:tc>
          <w:tcPr>
            <w:tcW w:w="1705" w:type="pct"/>
          </w:tcPr>
          <w:p w:rsidR="00B23D4D" w:rsidRPr="001E7194" w:rsidRDefault="00B23D4D" w:rsidP="00B23D4D">
            <w:pPr>
              <w:ind w:right="46"/>
              <w:jc w:val="both"/>
              <w:rPr>
                <w:rFonts w:cs="Times New Roman"/>
                <w:sz w:val="22"/>
              </w:rPr>
            </w:pPr>
          </w:p>
        </w:tc>
      </w:tr>
    </w:tbl>
    <w:p w:rsidR="00DF6FF0" w:rsidRPr="001E7194" w:rsidRDefault="00DF6FF0"/>
    <w:p w:rsidR="00B23D4D" w:rsidRPr="001E7194" w:rsidRDefault="00B23D4D"/>
    <w:p w:rsidR="00B23D4D" w:rsidRPr="001E7194" w:rsidRDefault="00B23D4D" w:rsidP="00B23D4D">
      <w:pPr>
        <w:jc w:val="center"/>
        <w:rPr>
          <w:b/>
        </w:rPr>
      </w:pPr>
      <w:r w:rsidRPr="001E7194">
        <w:rPr>
          <w:b/>
        </w:rPr>
        <w:t>Ministru                                                        Dan PERCIUN</w:t>
      </w:r>
    </w:p>
    <w:sectPr w:rsidR="00B23D4D" w:rsidRPr="001E7194" w:rsidSect="00D34FE4">
      <w:pgSz w:w="15840" w:h="12240" w:orient="landscape"/>
      <w:pgMar w:top="90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4652B"/>
    <w:multiLevelType w:val="hybridMultilevel"/>
    <w:tmpl w:val="5CC6A874"/>
    <w:lvl w:ilvl="0" w:tplc="DBACF2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84774A"/>
    <w:multiLevelType w:val="hybridMultilevel"/>
    <w:tmpl w:val="37DEC82E"/>
    <w:lvl w:ilvl="0" w:tplc="3702B914">
      <w:start w:val="1"/>
      <w:numFmt w:val="decimal"/>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FF0"/>
    <w:rsid w:val="00000B48"/>
    <w:rsid w:val="00013283"/>
    <w:rsid w:val="00041CD8"/>
    <w:rsid w:val="000751EC"/>
    <w:rsid w:val="00166CFE"/>
    <w:rsid w:val="001E7194"/>
    <w:rsid w:val="00203550"/>
    <w:rsid w:val="00232D8C"/>
    <w:rsid w:val="0026100F"/>
    <w:rsid w:val="0026651F"/>
    <w:rsid w:val="00361431"/>
    <w:rsid w:val="00401121"/>
    <w:rsid w:val="00416CD8"/>
    <w:rsid w:val="00437ACD"/>
    <w:rsid w:val="004626CA"/>
    <w:rsid w:val="00492821"/>
    <w:rsid w:val="00530032"/>
    <w:rsid w:val="0053722D"/>
    <w:rsid w:val="005D76C0"/>
    <w:rsid w:val="006125B9"/>
    <w:rsid w:val="006279C8"/>
    <w:rsid w:val="00671DE0"/>
    <w:rsid w:val="006D6CE5"/>
    <w:rsid w:val="006E4954"/>
    <w:rsid w:val="006E566A"/>
    <w:rsid w:val="00737AA4"/>
    <w:rsid w:val="0075660E"/>
    <w:rsid w:val="007B2408"/>
    <w:rsid w:val="007B296D"/>
    <w:rsid w:val="00813F58"/>
    <w:rsid w:val="00B23D4D"/>
    <w:rsid w:val="00B25596"/>
    <w:rsid w:val="00B32AC0"/>
    <w:rsid w:val="00D34FE4"/>
    <w:rsid w:val="00D83EBE"/>
    <w:rsid w:val="00D91DDF"/>
    <w:rsid w:val="00DF6FF0"/>
    <w:rsid w:val="00E32B1E"/>
    <w:rsid w:val="00E55639"/>
    <w:rsid w:val="00E80DE8"/>
    <w:rsid w:val="00FD1029"/>
    <w:rsid w:val="00FE0D58"/>
    <w:rsid w:val="00FE3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E9DEE-554D-4168-982A-6EB54A05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FF0"/>
    <w:pPr>
      <w:spacing w:line="240" w:lineRule="auto"/>
    </w:pPr>
    <w:rPr>
      <w:rFonts w:ascii="Times New Roman" w:hAnsi="Times New Roman"/>
      <w:sz w:val="28"/>
      <w:lang w:val="ro-RO"/>
    </w:rPr>
  </w:style>
  <w:style w:type="paragraph" w:styleId="Heading4">
    <w:name w:val="heading 4"/>
    <w:basedOn w:val="Normal"/>
    <w:link w:val="Heading4Char"/>
    <w:uiPriority w:val="9"/>
    <w:qFormat/>
    <w:rsid w:val="0026651F"/>
    <w:pPr>
      <w:spacing w:before="100" w:beforeAutospacing="1" w:after="100" w:afterAutospacing="1"/>
      <w:outlineLvl w:val="3"/>
    </w:pPr>
    <w:rPr>
      <w:rFonts w:eastAsia="Times New Roman" w:cs="Times New Roman"/>
      <w:b/>
      <w:bCs/>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6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DF6FF0"/>
    <w:pPr>
      <w:spacing w:after="0" w:line="240" w:lineRule="auto"/>
    </w:pPr>
  </w:style>
  <w:style w:type="character" w:customStyle="1" w:styleId="NoSpacingChar">
    <w:name w:val="No Spacing Char"/>
    <w:link w:val="NoSpacing"/>
    <w:uiPriority w:val="99"/>
    <w:locked/>
    <w:rsid w:val="00DF6FF0"/>
  </w:style>
  <w:style w:type="paragraph" w:customStyle="1" w:styleId="CharChar">
    <w:name w:val="Char Char Знак Знак"/>
    <w:basedOn w:val="Normal"/>
    <w:rsid w:val="00DF6FF0"/>
    <w:pPr>
      <w:spacing w:line="240" w:lineRule="exact"/>
    </w:pPr>
    <w:rPr>
      <w:rFonts w:ascii="Verdana" w:eastAsia="Times New Roman" w:hAnsi="Verdana" w:cs="Times New Roman"/>
      <w:sz w:val="20"/>
      <w:szCs w:val="20"/>
      <w:lang w:val="en-US"/>
    </w:rPr>
  </w:style>
  <w:style w:type="character" w:customStyle="1" w:styleId="Heading4Char">
    <w:name w:val="Heading 4 Char"/>
    <w:basedOn w:val="DefaultParagraphFont"/>
    <w:link w:val="Heading4"/>
    <w:uiPriority w:val="9"/>
    <w:rsid w:val="0026651F"/>
    <w:rPr>
      <w:rFonts w:ascii="Times New Roman" w:eastAsia="Times New Roman" w:hAnsi="Times New Roman" w:cs="Times New Roman"/>
      <w:b/>
      <w:bCs/>
      <w:sz w:val="24"/>
      <w:szCs w:val="24"/>
      <w:lang w:val="ru-RU" w:eastAsia="ru-RU"/>
    </w:rPr>
  </w:style>
  <w:style w:type="paragraph" w:styleId="ListParagraph">
    <w:name w:val="List Paragraph"/>
    <w:basedOn w:val="Normal"/>
    <w:uiPriority w:val="34"/>
    <w:qFormat/>
    <w:rsid w:val="0026100F"/>
    <w:pPr>
      <w:spacing w:after="0"/>
      <w:ind w:left="720"/>
      <w:contextualSpacing/>
    </w:pPr>
    <w:rPr>
      <w:rFonts w:eastAsia="Times New Roman" w:cs="Mangal"/>
      <w:sz w:val="24"/>
      <w:szCs w:val="21"/>
      <w:lang w:val="ru-RU" w:eastAsia="ru-RU" w:bidi="ne-NP"/>
    </w:rPr>
  </w:style>
  <w:style w:type="paragraph" w:styleId="NormalWeb">
    <w:name w:val="Normal (Web)"/>
    <w:basedOn w:val="Normal"/>
    <w:uiPriority w:val="99"/>
    <w:unhideWhenUsed/>
    <w:rsid w:val="00000B48"/>
    <w:pPr>
      <w:spacing w:before="100" w:beforeAutospacing="1" w:after="100" w:afterAutospacing="1"/>
    </w:pPr>
    <w:rPr>
      <w:rFonts w:eastAsia="Times New Roman" w:cs="Times New Roman"/>
      <w:sz w:val="24"/>
      <w:szCs w:val="24"/>
      <w:lang w:val="en-US"/>
    </w:rPr>
  </w:style>
  <w:style w:type="paragraph" w:customStyle="1" w:styleId="Body">
    <w:name w:val="Body"/>
    <w:rsid w:val="006279C8"/>
    <w:pPr>
      <w:pBdr>
        <w:top w:val="nil"/>
        <w:left w:val="nil"/>
        <w:bottom w:val="nil"/>
        <w:right w:val="nil"/>
        <w:between w:val="nil"/>
        <w:bar w:val="nil"/>
      </w:pBdr>
    </w:pPr>
    <w:rPr>
      <w:rFonts w:ascii="Calibri" w:eastAsia="Arial Unicode MS" w:hAnsi="Calibri" w:cs="Arial Unicode MS"/>
      <w:color w:val="000000"/>
      <w:u w:color="000000"/>
      <w:bdr w:val="nil"/>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1685</Words>
  <Characters>9608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Sobari</dc:creator>
  <cp:keywords/>
  <dc:description/>
  <cp:lastModifiedBy>Ion Sobari</cp:lastModifiedBy>
  <cp:revision>17</cp:revision>
  <dcterms:created xsi:type="dcterms:W3CDTF">2023-09-04T11:11:00Z</dcterms:created>
  <dcterms:modified xsi:type="dcterms:W3CDTF">2023-09-06T12:27:00Z</dcterms:modified>
</cp:coreProperties>
</file>