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4B6" w:rsidRPr="00FA588F" w:rsidRDefault="009104B6" w:rsidP="009104B6">
      <w:pPr>
        <w:ind w:firstLine="567"/>
        <w:jc w:val="right"/>
        <w:rPr>
          <w:rFonts w:cs="Times New Roman"/>
          <w:b/>
          <w:i/>
          <w:lang w:val="ro-RO" w:bidi="ar-SA"/>
        </w:rPr>
      </w:pPr>
      <w:r w:rsidRPr="00FA588F">
        <w:rPr>
          <w:rFonts w:cs="Times New Roman"/>
          <w:b/>
          <w:i/>
          <w:lang w:val="ro-RO" w:bidi="ar-SA"/>
        </w:rPr>
        <w:t>Proiect</w:t>
      </w:r>
    </w:p>
    <w:p w:rsidR="009104B6" w:rsidRPr="00FA588F" w:rsidRDefault="009104B6" w:rsidP="009104B6">
      <w:pPr>
        <w:tabs>
          <w:tab w:val="left" w:pos="6779"/>
        </w:tabs>
        <w:ind w:firstLine="567"/>
        <w:jc w:val="center"/>
        <w:rPr>
          <w:rFonts w:cs="Times New Roman"/>
          <w:b/>
          <w:lang w:val="ro-RO" w:bidi="ar-SA"/>
        </w:rPr>
      </w:pPr>
      <w:r w:rsidRPr="00FA588F">
        <w:rPr>
          <w:rFonts w:cs="Times New Roman"/>
          <w:b/>
          <w:lang w:val="ro-RO" w:bidi="ar-SA"/>
        </w:rPr>
        <w:t>GUVERNUL REPUBLICII MOLDOVA</w:t>
      </w:r>
    </w:p>
    <w:p w:rsidR="009104B6" w:rsidRPr="00FA588F" w:rsidRDefault="009104B6" w:rsidP="009104B6">
      <w:pPr>
        <w:ind w:firstLine="567"/>
        <w:jc w:val="center"/>
        <w:rPr>
          <w:rFonts w:cs="Times New Roman"/>
          <w:lang w:val="ro-RO" w:bidi="ar-SA"/>
        </w:rPr>
      </w:pPr>
    </w:p>
    <w:p w:rsidR="009104B6" w:rsidRPr="00FA588F" w:rsidRDefault="009104B6" w:rsidP="009104B6">
      <w:pPr>
        <w:tabs>
          <w:tab w:val="left" w:pos="4215"/>
        </w:tabs>
        <w:ind w:firstLine="567"/>
        <w:jc w:val="center"/>
        <w:rPr>
          <w:rFonts w:cs="Times New Roman"/>
          <w:b/>
          <w:lang w:val="ro-RO" w:bidi="ar-SA"/>
        </w:rPr>
      </w:pPr>
      <w:r w:rsidRPr="00FA588F">
        <w:rPr>
          <w:rFonts w:cs="Times New Roman"/>
          <w:b/>
          <w:lang w:val="ro-RO" w:bidi="ar-SA"/>
        </w:rPr>
        <w:t>H O T Ă R Â R E nr. ______</w:t>
      </w:r>
    </w:p>
    <w:p w:rsidR="009104B6" w:rsidRPr="00FA588F" w:rsidRDefault="009104B6" w:rsidP="009104B6">
      <w:pPr>
        <w:tabs>
          <w:tab w:val="left" w:pos="4215"/>
          <w:tab w:val="left" w:pos="8027"/>
        </w:tabs>
        <w:ind w:firstLine="567"/>
        <w:jc w:val="center"/>
        <w:rPr>
          <w:rFonts w:cs="Times New Roman"/>
          <w:b/>
          <w:lang w:val="ro-RO" w:bidi="ar-SA"/>
        </w:rPr>
      </w:pPr>
      <w:r w:rsidRPr="00FA588F">
        <w:rPr>
          <w:rFonts w:cs="Times New Roman"/>
          <w:b/>
          <w:lang w:val="ro-RO" w:bidi="ar-SA"/>
        </w:rPr>
        <w:t>din ____  ________________ 202</w:t>
      </w:r>
      <w:r w:rsidR="005C7041" w:rsidRPr="00FA588F">
        <w:rPr>
          <w:rFonts w:cs="Times New Roman"/>
          <w:b/>
          <w:lang w:val="ro-RO" w:bidi="ar-SA"/>
        </w:rPr>
        <w:t>3</w:t>
      </w:r>
    </w:p>
    <w:p w:rsidR="009104B6" w:rsidRPr="00FA588F" w:rsidRDefault="009104B6" w:rsidP="009104B6">
      <w:pPr>
        <w:tabs>
          <w:tab w:val="left" w:pos="540"/>
          <w:tab w:val="left" w:pos="4215"/>
          <w:tab w:val="left" w:pos="8027"/>
        </w:tabs>
        <w:ind w:firstLine="567"/>
        <w:rPr>
          <w:rFonts w:cs="Times New Roman"/>
          <w:b/>
          <w:lang w:val="ro-RO" w:bidi="ar-SA"/>
        </w:rPr>
      </w:pPr>
    </w:p>
    <w:p w:rsidR="009104B6" w:rsidRPr="00FA588F" w:rsidRDefault="009104B6" w:rsidP="007F11BA">
      <w:pPr>
        <w:tabs>
          <w:tab w:val="left" w:pos="540"/>
          <w:tab w:val="left" w:pos="4215"/>
          <w:tab w:val="left" w:pos="8027"/>
        </w:tabs>
        <w:ind w:firstLine="567"/>
        <w:rPr>
          <w:rFonts w:cs="Times New Roman"/>
          <w:b/>
          <w:lang w:val="ro-RO" w:bidi="ar-SA"/>
        </w:rPr>
      </w:pPr>
    </w:p>
    <w:p w:rsidR="0089601F" w:rsidRPr="00FA588F" w:rsidRDefault="009104B6" w:rsidP="007F11BA">
      <w:pPr>
        <w:ind w:firstLine="567"/>
        <w:jc w:val="center"/>
        <w:rPr>
          <w:b/>
          <w:bCs/>
          <w:lang w:val="ro-RO"/>
        </w:rPr>
      </w:pPr>
      <w:r w:rsidRPr="00FA588F">
        <w:rPr>
          <w:b/>
          <w:lang w:val="ro-RO"/>
        </w:rPr>
        <w:t xml:space="preserve">cu privire la </w:t>
      </w:r>
      <w:r w:rsidR="00E33BEF" w:rsidRPr="00FA588F">
        <w:rPr>
          <w:b/>
          <w:bCs/>
          <w:lang w:val="ro-RO"/>
        </w:rPr>
        <w:t xml:space="preserve">modificarea </w:t>
      </w:r>
      <w:r w:rsidR="0008082C">
        <w:rPr>
          <w:b/>
          <w:bCs/>
          <w:lang w:val="ro-RO"/>
        </w:rPr>
        <w:t>H</w:t>
      </w:r>
      <w:r w:rsidR="003E616C" w:rsidRPr="00FA588F">
        <w:rPr>
          <w:b/>
          <w:bCs/>
          <w:lang w:val="ro-RO"/>
        </w:rPr>
        <w:t xml:space="preserve">otărârii </w:t>
      </w:r>
      <w:r w:rsidR="00E33BEF" w:rsidRPr="00FA588F">
        <w:rPr>
          <w:b/>
          <w:bCs/>
          <w:lang w:val="ro-RO"/>
        </w:rPr>
        <w:t>Guvernului</w:t>
      </w:r>
      <w:r w:rsidR="0089601F" w:rsidRPr="00FA588F">
        <w:rPr>
          <w:b/>
          <w:bCs/>
          <w:lang w:val="ro-RO"/>
        </w:rPr>
        <w:t xml:space="preserve"> </w:t>
      </w:r>
      <w:r w:rsidR="00E33BEF" w:rsidRPr="00FA588F">
        <w:rPr>
          <w:b/>
          <w:bCs/>
          <w:lang w:val="ro-RO"/>
        </w:rPr>
        <w:t>nr. 1234/2018</w:t>
      </w:r>
    </w:p>
    <w:p w:rsidR="00E33BEF" w:rsidRPr="00FA588F" w:rsidRDefault="00E33BEF" w:rsidP="007F11BA">
      <w:pPr>
        <w:ind w:firstLine="567"/>
        <w:jc w:val="center"/>
        <w:rPr>
          <w:b/>
          <w:bCs/>
          <w:lang w:val="ro-RO"/>
        </w:rPr>
      </w:pPr>
      <w:r w:rsidRPr="00FA588F">
        <w:rPr>
          <w:b/>
          <w:bCs/>
          <w:lang w:val="ro-RO"/>
        </w:rPr>
        <w:t>privind condițiile</w:t>
      </w:r>
      <w:r w:rsidR="0089601F" w:rsidRPr="00FA588F">
        <w:rPr>
          <w:b/>
          <w:bCs/>
          <w:lang w:val="ro-RO"/>
        </w:rPr>
        <w:t xml:space="preserve"> </w:t>
      </w:r>
      <w:r w:rsidRPr="00FA588F">
        <w:rPr>
          <w:b/>
          <w:bCs/>
          <w:lang w:val="ro-RO"/>
        </w:rPr>
        <w:t>de salarizare</w:t>
      </w:r>
      <w:r w:rsidR="00C8218B" w:rsidRPr="00FA588F">
        <w:rPr>
          <w:b/>
          <w:bCs/>
          <w:lang w:val="ro-RO"/>
        </w:rPr>
        <w:t xml:space="preserve"> </w:t>
      </w:r>
      <w:r w:rsidRPr="00FA588F">
        <w:rPr>
          <w:b/>
          <w:bCs/>
          <w:lang w:val="ro-RO"/>
        </w:rPr>
        <w:t>a personalului din instituțiile de învățământ care</w:t>
      </w:r>
      <w:r w:rsidR="0008082C">
        <w:rPr>
          <w:b/>
          <w:bCs/>
          <w:lang w:val="ro-RO"/>
        </w:rPr>
        <w:t xml:space="preserve"> </w:t>
      </w:r>
      <w:r w:rsidRPr="00FA588F">
        <w:rPr>
          <w:b/>
          <w:bCs/>
          <w:lang w:val="ro-RO"/>
        </w:rPr>
        <w:t>funcționează în regim</w:t>
      </w:r>
      <w:r w:rsidR="0089601F" w:rsidRPr="00FA588F">
        <w:rPr>
          <w:b/>
          <w:bCs/>
          <w:lang w:val="ro-RO"/>
        </w:rPr>
        <w:t xml:space="preserve"> </w:t>
      </w:r>
      <w:r w:rsidRPr="00FA588F">
        <w:rPr>
          <w:b/>
          <w:bCs/>
          <w:lang w:val="ro-RO"/>
        </w:rPr>
        <w:t>de autogestiune financiar-economică</w:t>
      </w:r>
    </w:p>
    <w:p w:rsidR="002924D9" w:rsidRPr="00FA588F" w:rsidRDefault="002924D9" w:rsidP="007F11BA">
      <w:pPr>
        <w:ind w:firstLine="567"/>
        <w:jc w:val="both"/>
        <w:rPr>
          <w:b/>
          <w:bCs/>
          <w:lang w:val="ro-RO"/>
        </w:rPr>
      </w:pPr>
    </w:p>
    <w:p w:rsidR="009104B6" w:rsidRPr="00FA588F" w:rsidRDefault="009104B6" w:rsidP="00E275B4">
      <w:pPr>
        <w:ind w:firstLine="567"/>
        <w:rPr>
          <w:rFonts w:cs="Times New Roman"/>
          <w:lang w:val="ro-RO" w:bidi="ar-SA"/>
        </w:rPr>
      </w:pPr>
    </w:p>
    <w:p w:rsidR="0089601F" w:rsidRPr="00FA588F" w:rsidRDefault="0089601F" w:rsidP="007F11BA">
      <w:pPr>
        <w:ind w:firstLine="567"/>
        <w:contextualSpacing/>
        <w:jc w:val="both"/>
        <w:rPr>
          <w:lang w:val="ro-RO"/>
        </w:rPr>
      </w:pPr>
      <w:r w:rsidRPr="00FA588F">
        <w:rPr>
          <w:lang w:val="ro-RO"/>
        </w:rPr>
        <w:t>În temeiul art. 139 lit. i), art. 145 alin (5) din Codul educației al Republicii Moldova nr.152/2014 (Monitorul Oficial al Republicii Moldova, 2014, nr. 319-324, art. 634), cu modificările ulterioare, Guvernul HOTĂRĂŞTE:</w:t>
      </w:r>
    </w:p>
    <w:p w:rsidR="0089601F" w:rsidRPr="00FA588F" w:rsidRDefault="0089601F" w:rsidP="007F11BA">
      <w:pPr>
        <w:ind w:firstLine="709"/>
        <w:jc w:val="both"/>
        <w:rPr>
          <w:lang w:val="ro-RO" w:eastAsia="ro-RO"/>
        </w:rPr>
      </w:pPr>
    </w:p>
    <w:p w:rsidR="00BE3BE8" w:rsidRPr="00FA588F" w:rsidRDefault="0089601F" w:rsidP="007F11BA">
      <w:pPr>
        <w:pStyle w:val="ListParagraph"/>
        <w:numPr>
          <w:ilvl w:val="0"/>
          <w:numId w:val="9"/>
        </w:numPr>
        <w:tabs>
          <w:tab w:val="left" w:pos="851"/>
        </w:tabs>
        <w:ind w:left="0" w:firstLine="567"/>
        <w:jc w:val="both"/>
        <w:rPr>
          <w:rFonts w:cs="Times New Roman"/>
          <w:lang w:val="ro-RO" w:bidi="ar-SA"/>
        </w:rPr>
      </w:pPr>
      <w:r w:rsidRPr="00FA588F">
        <w:rPr>
          <w:lang w:val="ro-RO" w:eastAsia="ro-RO"/>
        </w:rPr>
        <w:t xml:space="preserve">Anexa la </w:t>
      </w:r>
      <w:hyperlink r:id="rId6" w:history="1">
        <w:r w:rsidRPr="00FA588F">
          <w:rPr>
            <w:lang w:val="ro-RO" w:eastAsia="ro-RO"/>
          </w:rPr>
          <w:t>Hotărârea Guvernului nr.1234/2018</w:t>
        </w:r>
      </w:hyperlink>
      <w:r w:rsidRPr="00FA588F">
        <w:rPr>
          <w:lang w:val="ro-RO" w:eastAsia="ro-RO"/>
        </w:rPr>
        <w:t xml:space="preserve"> privind condițiile de salarizare a personalului din </w:t>
      </w:r>
      <w:r w:rsidR="000129A2" w:rsidRPr="00FA588F">
        <w:rPr>
          <w:lang w:val="ro-RO" w:eastAsia="ro-RO"/>
        </w:rPr>
        <w:t>instituțiile</w:t>
      </w:r>
      <w:r w:rsidRPr="00FA588F">
        <w:rPr>
          <w:lang w:val="ro-RO" w:eastAsia="ro-RO"/>
        </w:rPr>
        <w:t xml:space="preserve"> de </w:t>
      </w:r>
      <w:r w:rsidR="000129A2" w:rsidRPr="00FA588F">
        <w:rPr>
          <w:lang w:val="ro-RO" w:eastAsia="ro-RO"/>
        </w:rPr>
        <w:t>învățământ</w:t>
      </w:r>
      <w:r w:rsidRPr="00FA588F">
        <w:rPr>
          <w:lang w:val="ro-RO" w:eastAsia="ro-RO"/>
        </w:rPr>
        <w:t xml:space="preserve"> care funcționează în regim de autogestiune financiar-economică (Monitorul Oficial al Republicii Moldova, 2018, nr.480-485, art.1311), cu modificările ulterioare, se modifică după cum urmează:</w:t>
      </w:r>
    </w:p>
    <w:p w:rsidR="00BE3BE8" w:rsidRPr="00FA588F" w:rsidRDefault="00BE3BE8" w:rsidP="007F11BA">
      <w:pPr>
        <w:pStyle w:val="ListParagraph"/>
        <w:ind w:left="360"/>
        <w:jc w:val="both"/>
        <w:rPr>
          <w:rFonts w:cs="Times New Roman"/>
          <w:szCs w:val="24"/>
          <w:lang w:val="ro-RO" w:bidi="ar-SA"/>
        </w:rPr>
      </w:pPr>
    </w:p>
    <w:p w:rsidR="000D60F4" w:rsidRDefault="000D60F4" w:rsidP="000D60F4">
      <w:pPr>
        <w:pStyle w:val="Heading4"/>
        <w:numPr>
          <w:ilvl w:val="0"/>
          <w:numId w:val="7"/>
        </w:numPr>
        <w:shd w:val="clear" w:color="auto" w:fill="FFFFFF"/>
        <w:tabs>
          <w:tab w:val="left" w:pos="851"/>
          <w:tab w:val="left" w:pos="1170"/>
        </w:tabs>
        <w:spacing w:before="0" w:beforeAutospacing="0" w:after="0" w:afterAutospacing="0"/>
        <w:ind w:left="0" w:firstLine="810"/>
        <w:jc w:val="both"/>
        <w:rPr>
          <w:rFonts w:cs="Mangal"/>
          <w:b w:val="0"/>
          <w:bCs w:val="0"/>
          <w:szCs w:val="21"/>
          <w:lang w:val="ro-RO" w:eastAsia="ro-RO" w:bidi="ne-NP"/>
        </w:rPr>
      </w:pPr>
      <w:r w:rsidRPr="00FA588F">
        <w:rPr>
          <w:rFonts w:cs="Mangal"/>
          <w:b w:val="0"/>
          <w:bCs w:val="0"/>
          <w:szCs w:val="21"/>
          <w:lang w:val="ro-RO" w:eastAsia="ro-RO" w:bidi="ne-NP"/>
        </w:rPr>
        <w:t>Punctul 14 va avea următorul cuprins:</w:t>
      </w:r>
    </w:p>
    <w:p w:rsidR="000D60F4" w:rsidRDefault="000D60F4" w:rsidP="000D60F4">
      <w:pPr>
        <w:shd w:val="clear" w:color="auto" w:fill="FFFFFF"/>
        <w:ind w:firstLine="720"/>
        <w:jc w:val="both"/>
        <w:rPr>
          <w:szCs w:val="21"/>
          <w:lang w:val="ro-RO" w:eastAsia="ro-RO"/>
        </w:rPr>
      </w:pPr>
      <w:r w:rsidRPr="001E7A24">
        <w:rPr>
          <w:szCs w:val="21"/>
          <w:lang w:val="ro-RO" w:eastAsia="ro-RO"/>
        </w:rPr>
        <w:t>„</w:t>
      </w:r>
      <w:r w:rsidRPr="00030613">
        <w:rPr>
          <w:szCs w:val="21"/>
          <w:lang w:val="ro-RO" w:eastAsia="ro-RO"/>
        </w:rPr>
        <w:t>La determinarea salariului de bază pentru personalul din cadrul instituțiilor de învățământ profesional tehnic se aplică valoarea de referință corespunzătoare coeficientului de salarizare 1,00, aprobată anual pentru angajații în legea bugetului de stat pentru anul respectiv angajaților cu funcții similare din sectorul bugetar</w:t>
      </w:r>
      <w:r w:rsidRPr="008406DC">
        <w:rPr>
          <w:szCs w:val="21"/>
          <w:lang w:val="ro-RO" w:eastAsia="ro-RO"/>
        </w:rPr>
        <w:t>.</w:t>
      </w:r>
      <w:r w:rsidRPr="001E7A24">
        <w:rPr>
          <w:szCs w:val="21"/>
          <w:lang w:val="ro-RO" w:eastAsia="ro-RO"/>
        </w:rPr>
        <w:t>”</w:t>
      </w:r>
    </w:p>
    <w:p w:rsidR="000D60F4" w:rsidRPr="000D60F4" w:rsidRDefault="000D60F4" w:rsidP="000D60F4">
      <w:pPr>
        <w:shd w:val="clear" w:color="auto" w:fill="FFFFFF"/>
        <w:ind w:firstLine="720"/>
        <w:jc w:val="both"/>
        <w:rPr>
          <w:szCs w:val="21"/>
          <w:lang w:val="ro-RO" w:eastAsia="ro-RO"/>
        </w:rPr>
      </w:pPr>
    </w:p>
    <w:p w:rsidR="000D60F4" w:rsidRDefault="000D60F4" w:rsidP="007F11BA">
      <w:pPr>
        <w:pStyle w:val="Heading4"/>
        <w:numPr>
          <w:ilvl w:val="0"/>
          <w:numId w:val="7"/>
        </w:numPr>
        <w:shd w:val="clear" w:color="auto" w:fill="FFFFFF"/>
        <w:tabs>
          <w:tab w:val="left" w:pos="851"/>
          <w:tab w:val="left" w:pos="1170"/>
        </w:tabs>
        <w:spacing w:before="0" w:beforeAutospacing="0" w:after="0" w:afterAutospacing="0"/>
        <w:ind w:left="0" w:firstLine="810"/>
        <w:jc w:val="both"/>
        <w:rPr>
          <w:rFonts w:cs="Mangal"/>
          <w:b w:val="0"/>
          <w:bCs w:val="0"/>
          <w:szCs w:val="21"/>
          <w:lang w:val="ro-RO" w:eastAsia="ro-RO" w:bidi="ne-NP"/>
        </w:rPr>
      </w:pPr>
      <w:r w:rsidRPr="001E7A24">
        <w:rPr>
          <w:rFonts w:cs="Mangal"/>
          <w:b w:val="0"/>
          <w:bCs w:val="0"/>
          <w:szCs w:val="21"/>
          <w:lang w:val="ro-RO" w:eastAsia="ro-RO" w:bidi="ne-NP"/>
        </w:rPr>
        <w:t>Se completează cu punctul 14</w:t>
      </w:r>
      <w:r>
        <w:rPr>
          <w:rFonts w:cs="Mangal"/>
          <w:b w:val="0"/>
          <w:bCs w:val="0"/>
          <w:szCs w:val="21"/>
          <w:vertAlign w:val="superscript"/>
          <w:lang w:val="ro-RO" w:eastAsia="ro-RO" w:bidi="ne-NP"/>
        </w:rPr>
        <w:t>1</w:t>
      </w:r>
      <w:r w:rsidRPr="001E7A24">
        <w:rPr>
          <w:rFonts w:cs="Mangal"/>
          <w:b w:val="0"/>
          <w:bCs w:val="0"/>
          <w:szCs w:val="21"/>
          <w:lang w:val="ro-RO" w:eastAsia="ro-RO" w:bidi="ne-NP"/>
        </w:rPr>
        <w:t xml:space="preserve"> cu următorul cuprins</w:t>
      </w:r>
      <w:r>
        <w:rPr>
          <w:rFonts w:cs="Mangal"/>
          <w:b w:val="0"/>
          <w:bCs w:val="0"/>
          <w:szCs w:val="21"/>
          <w:lang w:val="ro-RO" w:eastAsia="ro-RO" w:bidi="ne-NP"/>
        </w:rPr>
        <w:t>:</w:t>
      </w:r>
    </w:p>
    <w:p w:rsidR="008406DC" w:rsidRPr="00FA588F" w:rsidRDefault="000D60F4" w:rsidP="008406DC">
      <w:pPr>
        <w:shd w:val="clear" w:color="auto" w:fill="FFFFFF"/>
        <w:ind w:firstLine="720"/>
        <w:jc w:val="both"/>
        <w:rPr>
          <w:szCs w:val="21"/>
          <w:lang w:val="ro-RO" w:eastAsia="ro-RO"/>
        </w:rPr>
      </w:pPr>
      <w:r w:rsidRPr="00FA588F">
        <w:rPr>
          <w:szCs w:val="21"/>
          <w:lang w:val="ro-RO" w:eastAsia="ro-RO"/>
        </w:rPr>
        <w:t xml:space="preserve"> </w:t>
      </w:r>
      <w:r w:rsidR="005C7041" w:rsidRPr="00FA588F">
        <w:rPr>
          <w:szCs w:val="21"/>
          <w:lang w:val="ro-RO" w:eastAsia="ro-RO"/>
        </w:rPr>
        <w:t>„</w:t>
      </w:r>
      <w:r w:rsidR="008406DC" w:rsidRPr="00FA588F">
        <w:rPr>
          <w:szCs w:val="21"/>
          <w:lang w:val="ro-RO" w:eastAsia="ro-RO"/>
        </w:rPr>
        <w:t>La determinarea salariului de bază pentru personalul din cadrul instituțiilor de învățământ superior se aplică valoarea de referință corespunzătoare coeficientului de salarizare 1,00, aprobată anual pentru angajații în legea bugetului de stat pentru anul respectiv angajaților cu funcții similare din sectorul bugetar.</w:t>
      </w:r>
    </w:p>
    <w:p w:rsidR="008406DC" w:rsidRPr="00FA588F" w:rsidRDefault="008406DC" w:rsidP="008406DC">
      <w:pPr>
        <w:jc w:val="both"/>
        <w:rPr>
          <w:szCs w:val="21"/>
          <w:lang w:val="ro-RO" w:eastAsia="ro-RO"/>
        </w:rPr>
      </w:pPr>
      <w:r w:rsidRPr="00FA588F">
        <w:rPr>
          <w:szCs w:val="21"/>
          <w:lang w:val="ro-RO" w:eastAsia="ro-RO"/>
        </w:rPr>
        <w:t xml:space="preserve">Valoarea de referință pentru personalul </w:t>
      </w:r>
      <w:r w:rsidR="00C26275" w:rsidRPr="00FA588F">
        <w:rPr>
          <w:szCs w:val="21"/>
          <w:lang w:val="ro-RO" w:eastAsia="ro-RO"/>
        </w:rPr>
        <w:t xml:space="preserve">din cadrul instituțiilor de învățământ superior </w:t>
      </w:r>
      <w:r w:rsidRPr="00FA588F">
        <w:rPr>
          <w:szCs w:val="21"/>
          <w:lang w:val="ro-RO" w:eastAsia="ro-RO"/>
        </w:rPr>
        <w:t xml:space="preserve">se aprobă anual, la propunerea rectorilor, în limita mijloacelor financiare disponibile și nu poate fi mai mică decât valoarea de referință aprobată anual pentru angajații </w:t>
      </w:r>
      <w:r w:rsidR="007D636E" w:rsidRPr="007D636E">
        <w:rPr>
          <w:szCs w:val="21"/>
          <w:lang w:val="ro-RO" w:eastAsia="ro-RO"/>
        </w:rPr>
        <w:t>cu funcții similare</w:t>
      </w:r>
      <w:r w:rsidR="007D636E" w:rsidRPr="00FA588F">
        <w:rPr>
          <w:szCs w:val="21"/>
          <w:lang w:val="ro-RO" w:eastAsia="ro-RO"/>
        </w:rPr>
        <w:t xml:space="preserve"> </w:t>
      </w:r>
      <w:r w:rsidRPr="00FA588F">
        <w:rPr>
          <w:szCs w:val="21"/>
          <w:lang w:val="ro-RO" w:eastAsia="ro-RO"/>
        </w:rPr>
        <w:t>din sectorul bugetar în legea bugetului de stat pentru anul respectiv. Mecanismul de majorare a valorii de referință se reglementează prin act administrativ intern al instituției, aprobat în baza deciziilor Senatului și Consiliului pentru dezvoltare strategică instituțională</w:t>
      </w:r>
    </w:p>
    <w:p w:rsidR="005C7041" w:rsidRPr="00FA588F" w:rsidRDefault="008406DC" w:rsidP="008406DC">
      <w:pPr>
        <w:pStyle w:val="Heading4"/>
        <w:shd w:val="clear" w:color="auto" w:fill="FFFFFF"/>
        <w:tabs>
          <w:tab w:val="left" w:pos="851"/>
        </w:tabs>
        <w:spacing w:before="0" w:beforeAutospacing="0" w:after="0" w:afterAutospacing="0"/>
        <w:ind w:firstLine="810"/>
        <w:jc w:val="both"/>
        <w:rPr>
          <w:rFonts w:cs="Mangal"/>
          <w:b w:val="0"/>
          <w:bCs w:val="0"/>
          <w:szCs w:val="21"/>
          <w:lang w:val="ro-RO" w:eastAsia="ro-RO" w:bidi="ne-NP"/>
        </w:rPr>
      </w:pPr>
      <w:r w:rsidRPr="00FA588F">
        <w:rPr>
          <w:rFonts w:cs="Mangal"/>
          <w:b w:val="0"/>
          <w:bCs w:val="0"/>
          <w:szCs w:val="21"/>
          <w:lang w:val="ro-RO" w:eastAsia="ro-RO" w:bidi="ne-NP"/>
        </w:rPr>
        <w:t>Valoarea de referință poate fi majorată cu condiția ca fondul salarial al instituției să nu depășească 85% din cheltuielile totale ale instituției.</w:t>
      </w:r>
      <w:r w:rsidR="005C7041" w:rsidRPr="00FA588F">
        <w:rPr>
          <w:rFonts w:cs="Mangal"/>
          <w:b w:val="0"/>
          <w:bCs w:val="0"/>
          <w:szCs w:val="21"/>
          <w:lang w:val="ro-RO" w:eastAsia="ro-RO" w:bidi="ne-NP"/>
        </w:rPr>
        <w:t>”</w:t>
      </w:r>
    </w:p>
    <w:p w:rsidR="005C7041" w:rsidRPr="00FA588F" w:rsidRDefault="005C7041" w:rsidP="007F11BA">
      <w:pPr>
        <w:pStyle w:val="Heading4"/>
        <w:shd w:val="clear" w:color="auto" w:fill="FFFFFF"/>
        <w:tabs>
          <w:tab w:val="left" w:pos="851"/>
        </w:tabs>
        <w:spacing w:before="0" w:beforeAutospacing="0" w:after="0" w:afterAutospacing="0"/>
        <w:ind w:left="360" w:firstLine="810"/>
        <w:jc w:val="both"/>
        <w:rPr>
          <w:rFonts w:cs="Mangal"/>
          <w:b w:val="0"/>
          <w:bCs w:val="0"/>
          <w:szCs w:val="21"/>
          <w:lang w:val="ro-RO" w:eastAsia="ro-RO" w:bidi="ne-NP"/>
        </w:rPr>
      </w:pPr>
    </w:p>
    <w:p w:rsidR="003E71ED" w:rsidRPr="00FA588F" w:rsidRDefault="003E71ED" w:rsidP="003E71ED">
      <w:pPr>
        <w:pStyle w:val="Heading4"/>
        <w:numPr>
          <w:ilvl w:val="0"/>
          <w:numId w:val="7"/>
        </w:numPr>
        <w:shd w:val="clear" w:color="auto" w:fill="FFFFFF"/>
        <w:tabs>
          <w:tab w:val="left" w:pos="851"/>
          <w:tab w:val="left" w:pos="1170"/>
        </w:tabs>
        <w:spacing w:before="0" w:beforeAutospacing="0" w:after="0" w:afterAutospacing="0"/>
        <w:ind w:left="0" w:firstLine="810"/>
        <w:jc w:val="both"/>
        <w:rPr>
          <w:rFonts w:cs="Mangal"/>
          <w:b w:val="0"/>
          <w:bCs w:val="0"/>
          <w:szCs w:val="21"/>
          <w:lang w:val="ro-RO" w:eastAsia="ro-RO" w:bidi="ne-NP"/>
        </w:rPr>
      </w:pPr>
      <w:r w:rsidRPr="00FA588F">
        <w:rPr>
          <w:rFonts w:cs="Mangal"/>
          <w:b w:val="0"/>
          <w:bCs w:val="0"/>
          <w:szCs w:val="21"/>
          <w:lang w:val="ro-RO" w:eastAsia="ro-RO" w:bidi="ne-NP"/>
        </w:rPr>
        <w:t xml:space="preserve">Punctul 25 </w:t>
      </w:r>
      <w:r w:rsidR="00FA588F" w:rsidRPr="00FA588F">
        <w:rPr>
          <w:rFonts w:cs="Mangal"/>
          <w:b w:val="0"/>
          <w:bCs w:val="0"/>
          <w:szCs w:val="21"/>
          <w:lang w:val="ro-RO" w:eastAsia="ro-RO" w:bidi="ne-NP"/>
        </w:rPr>
        <w:t>cuv</w:t>
      </w:r>
      <w:r w:rsidR="00FA588F">
        <w:rPr>
          <w:rFonts w:cs="Mangal"/>
          <w:b w:val="0"/>
          <w:bCs w:val="0"/>
          <w:szCs w:val="21"/>
          <w:lang w:val="ro-RO" w:eastAsia="ro-RO" w:bidi="ne-NP"/>
        </w:rPr>
        <w:t>i</w:t>
      </w:r>
      <w:r w:rsidR="00FA588F" w:rsidRPr="00FA588F">
        <w:rPr>
          <w:rFonts w:cs="Mangal"/>
          <w:b w:val="0"/>
          <w:bCs w:val="0"/>
          <w:szCs w:val="21"/>
          <w:lang w:val="ro-RO" w:eastAsia="ro-RO" w:bidi="ne-NP"/>
        </w:rPr>
        <w:t>nt</w:t>
      </w:r>
      <w:r w:rsidR="00FA588F">
        <w:rPr>
          <w:rFonts w:cs="Mangal"/>
          <w:b w:val="0"/>
          <w:bCs w:val="0"/>
          <w:szCs w:val="21"/>
          <w:lang w:val="ro-RO" w:eastAsia="ro-RO" w:bidi="ne-NP"/>
        </w:rPr>
        <w:t>e</w:t>
      </w:r>
      <w:r w:rsidR="00FA588F" w:rsidRPr="00FA588F">
        <w:rPr>
          <w:rFonts w:cs="Mangal"/>
          <w:b w:val="0"/>
          <w:bCs w:val="0"/>
          <w:szCs w:val="21"/>
          <w:lang w:val="ro-RO" w:eastAsia="ro-RO" w:bidi="ne-NP"/>
        </w:rPr>
        <w:t>l</w:t>
      </w:r>
      <w:r w:rsidR="00FA588F">
        <w:rPr>
          <w:rFonts w:cs="Mangal"/>
          <w:b w:val="0"/>
          <w:bCs w:val="0"/>
          <w:szCs w:val="21"/>
          <w:lang w:val="ro-RO" w:eastAsia="ro-RO" w:bidi="ne-NP"/>
        </w:rPr>
        <w:t>e</w:t>
      </w:r>
      <w:r w:rsidR="00FA588F" w:rsidRPr="00FA588F">
        <w:rPr>
          <w:rFonts w:cs="Mangal"/>
          <w:b w:val="0"/>
          <w:bCs w:val="0"/>
          <w:szCs w:val="21"/>
          <w:lang w:val="ro-RO" w:eastAsia="ro-RO" w:bidi="ne-NP"/>
        </w:rPr>
        <w:t xml:space="preserve"> „</w:t>
      </w:r>
      <w:r w:rsidR="00FA588F">
        <w:rPr>
          <w:rFonts w:cs="Mangal"/>
          <w:b w:val="0"/>
          <w:bCs w:val="0"/>
          <w:szCs w:val="21"/>
          <w:lang w:val="ro-RO" w:eastAsia="ro-RO" w:bidi="ne-NP"/>
        </w:rPr>
        <w:t>de către fondator, la inițiativa</w:t>
      </w:r>
      <w:r w:rsidR="00FA588F" w:rsidRPr="00FA588F">
        <w:rPr>
          <w:rFonts w:cs="Mangal"/>
          <w:b w:val="0"/>
          <w:bCs w:val="0"/>
          <w:szCs w:val="21"/>
          <w:lang w:val="ro-RO" w:eastAsia="ro-RO" w:bidi="ne-NP"/>
        </w:rPr>
        <w:t>” se substituie cu cuvintele „în baza criteriilor și obiectivelor aprobate semestrial de către fondator, la propunerea”.</w:t>
      </w:r>
    </w:p>
    <w:p w:rsidR="00FA588F" w:rsidRPr="00FA588F" w:rsidRDefault="00FA588F" w:rsidP="00FA588F">
      <w:pPr>
        <w:pStyle w:val="Heading4"/>
        <w:shd w:val="clear" w:color="auto" w:fill="FFFFFF"/>
        <w:tabs>
          <w:tab w:val="left" w:pos="851"/>
          <w:tab w:val="left" w:pos="1170"/>
        </w:tabs>
        <w:spacing w:before="0" w:beforeAutospacing="0" w:after="0" w:afterAutospacing="0"/>
        <w:ind w:left="810"/>
        <w:jc w:val="both"/>
        <w:rPr>
          <w:rFonts w:cs="Mangal"/>
          <w:b w:val="0"/>
          <w:bCs w:val="0"/>
          <w:szCs w:val="21"/>
          <w:lang w:val="ro-RO" w:eastAsia="ro-RO" w:bidi="ne-NP"/>
        </w:rPr>
      </w:pPr>
    </w:p>
    <w:p w:rsidR="00B027DC" w:rsidRPr="00FA588F" w:rsidRDefault="00B027DC" w:rsidP="007F11BA">
      <w:pPr>
        <w:pStyle w:val="Heading4"/>
        <w:numPr>
          <w:ilvl w:val="0"/>
          <w:numId w:val="7"/>
        </w:numPr>
        <w:shd w:val="clear" w:color="auto" w:fill="FFFFFF"/>
        <w:tabs>
          <w:tab w:val="left" w:pos="851"/>
          <w:tab w:val="left" w:pos="1170"/>
        </w:tabs>
        <w:spacing w:before="0" w:beforeAutospacing="0" w:after="0" w:afterAutospacing="0"/>
        <w:ind w:left="0" w:firstLine="828"/>
        <w:jc w:val="both"/>
        <w:rPr>
          <w:rFonts w:cs="Mangal"/>
          <w:b w:val="0"/>
          <w:bCs w:val="0"/>
          <w:szCs w:val="21"/>
          <w:lang w:val="ro-RO" w:eastAsia="ro-RO" w:bidi="ne-NP"/>
        </w:rPr>
      </w:pPr>
      <w:r w:rsidRPr="00FA588F">
        <w:rPr>
          <w:rFonts w:cs="Mangal"/>
          <w:b w:val="0"/>
          <w:bCs w:val="0"/>
          <w:szCs w:val="21"/>
          <w:lang w:val="ro-RO" w:eastAsia="ro-RO" w:bidi="ne-NP"/>
        </w:rPr>
        <w:t>Punctul 36</w:t>
      </w:r>
      <w:r w:rsidRPr="00FA588F">
        <w:rPr>
          <w:rFonts w:cs="Mangal"/>
          <w:b w:val="0"/>
          <w:bCs w:val="0"/>
          <w:szCs w:val="21"/>
          <w:vertAlign w:val="superscript"/>
          <w:lang w:val="ro-RO" w:eastAsia="ro-RO" w:bidi="ne-NP"/>
        </w:rPr>
        <w:t>1</w:t>
      </w:r>
      <w:r w:rsidRPr="00FA588F">
        <w:rPr>
          <w:rFonts w:cs="Mangal"/>
          <w:b w:val="0"/>
          <w:bCs w:val="0"/>
          <w:szCs w:val="21"/>
          <w:lang w:val="ro-RO" w:eastAsia="ro-RO" w:bidi="ne-NP"/>
        </w:rPr>
        <w:t>, cuvintele „de cercetare și inovare” se exclud.</w:t>
      </w:r>
    </w:p>
    <w:p w:rsidR="00C50551" w:rsidRPr="00FA588F" w:rsidRDefault="00C50551" w:rsidP="007F11BA">
      <w:pPr>
        <w:pStyle w:val="Heading4"/>
        <w:shd w:val="clear" w:color="auto" w:fill="FFFFFF"/>
        <w:tabs>
          <w:tab w:val="left" w:pos="851"/>
        </w:tabs>
        <w:spacing w:before="0" w:beforeAutospacing="0" w:after="0" w:afterAutospacing="0"/>
        <w:ind w:left="360" w:firstLine="828"/>
        <w:jc w:val="both"/>
        <w:rPr>
          <w:rFonts w:cs="Mangal"/>
          <w:b w:val="0"/>
          <w:bCs w:val="0"/>
          <w:szCs w:val="21"/>
          <w:lang w:val="ro-RO" w:eastAsia="ro-RO" w:bidi="ne-NP"/>
        </w:rPr>
      </w:pPr>
    </w:p>
    <w:p w:rsidR="00B027DC" w:rsidRPr="00FA588F" w:rsidRDefault="00C50551" w:rsidP="007F11BA">
      <w:pPr>
        <w:pStyle w:val="Heading4"/>
        <w:numPr>
          <w:ilvl w:val="0"/>
          <w:numId w:val="7"/>
        </w:numPr>
        <w:shd w:val="clear" w:color="auto" w:fill="FFFFFF"/>
        <w:tabs>
          <w:tab w:val="left" w:pos="851"/>
        </w:tabs>
        <w:spacing w:before="0" w:beforeAutospacing="0" w:after="0" w:afterAutospacing="0"/>
        <w:ind w:left="0" w:firstLine="828"/>
        <w:jc w:val="both"/>
        <w:rPr>
          <w:rFonts w:cs="Mangal"/>
          <w:b w:val="0"/>
          <w:bCs w:val="0"/>
          <w:szCs w:val="21"/>
          <w:lang w:val="ro-RO" w:eastAsia="ro-RO" w:bidi="ne-NP"/>
        </w:rPr>
      </w:pPr>
      <w:r w:rsidRPr="00FA588F">
        <w:rPr>
          <w:rFonts w:cs="Mangal"/>
          <w:b w:val="0"/>
          <w:bCs w:val="0"/>
          <w:szCs w:val="21"/>
          <w:lang w:val="ro-RO" w:eastAsia="ro-RO" w:bidi="ne-NP"/>
        </w:rPr>
        <w:t>Punctul 37, după cuvântul „salariului,” se completează cu cuvintele „calculat cu valoarea de referință corespunzătoare coeficientului de salarizare 1,00, aprobată anual pentru angajații în legea bugetului de stat pentru anul respectiv angajaților cu funcții similare din sectorul bugetar</w:t>
      </w:r>
      <w:r w:rsidR="000F6B40" w:rsidRPr="00FA588F">
        <w:rPr>
          <w:rFonts w:cs="Mangal"/>
          <w:b w:val="0"/>
          <w:bCs w:val="0"/>
          <w:szCs w:val="21"/>
          <w:lang w:val="ro-RO" w:eastAsia="ro-RO" w:bidi="ne-NP"/>
        </w:rPr>
        <w:t>.</w:t>
      </w:r>
      <w:r w:rsidRPr="00FA588F">
        <w:rPr>
          <w:rFonts w:cs="Mangal"/>
          <w:b w:val="0"/>
          <w:bCs w:val="0"/>
          <w:szCs w:val="21"/>
          <w:lang w:val="ro-RO" w:eastAsia="ro-RO" w:bidi="ne-NP"/>
        </w:rPr>
        <w:t>”</w:t>
      </w:r>
    </w:p>
    <w:p w:rsidR="00C50551" w:rsidRPr="00FA588F" w:rsidRDefault="00C50551" w:rsidP="007F11BA">
      <w:pPr>
        <w:pStyle w:val="Heading4"/>
        <w:shd w:val="clear" w:color="auto" w:fill="FFFFFF"/>
        <w:tabs>
          <w:tab w:val="left" w:pos="851"/>
        </w:tabs>
        <w:spacing w:before="0" w:beforeAutospacing="0" w:after="0" w:afterAutospacing="0"/>
        <w:ind w:left="360" w:firstLine="828"/>
        <w:jc w:val="both"/>
        <w:rPr>
          <w:rFonts w:cs="Mangal"/>
          <w:b w:val="0"/>
          <w:bCs w:val="0"/>
          <w:szCs w:val="21"/>
          <w:lang w:val="ro-RO" w:eastAsia="ro-RO" w:bidi="ne-NP"/>
        </w:rPr>
      </w:pPr>
    </w:p>
    <w:p w:rsidR="004B38F0" w:rsidRPr="00FA588F" w:rsidRDefault="004B38F0" w:rsidP="007F11BA">
      <w:pPr>
        <w:pStyle w:val="Heading4"/>
        <w:numPr>
          <w:ilvl w:val="0"/>
          <w:numId w:val="7"/>
        </w:numPr>
        <w:shd w:val="clear" w:color="auto" w:fill="FFFFFF"/>
        <w:tabs>
          <w:tab w:val="left" w:pos="851"/>
          <w:tab w:val="left" w:pos="1170"/>
        </w:tabs>
        <w:spacing w:before="0" w:beforeAutospacing="0" w:after="0" w:afterAutospacing="0"/>
        <w:ind w:left="0" w:firstLine="828"/>
        <w:jc w:val="both"/>
        <w:rPr>
          <w:b w:val="0"/>
          <w:lang w:val="ro-RO"/>
        </w:rPr>
      </w:pPr>
      <w:r w:rsidRPr="00FA588F">
        <w:rPr>
          <w:rFonts w:cs="Mangal"/>
          <w:b w:val="0"/>
          <w:bCs w:val="0"/>
          <w:szCs w:val="21"/>
          <w:lang w:val="ro-RO" w:eastAsia="ro-RO" w:bidi="ne-NP"/>
        </w:rPr>
        <w:t xml:space="preserve">Punctul 38, </w:t>
      </w:r>
      <w:r w:rsidR="000F6B40" w:rsidRPr="00FA588F">
        <w:rPr>
          <w:rFonts w:cs="Mangal"/>
          <w:b w:val="0"/>
          <w:bCs w:val="0"/>
          <w:szCs w:val="21"/>
          <w:lang w:val="ro-RO" w:eastAsia="ro-RO" w:bidi="ne-NP"/>
        </w:rPr>
        <w:t xml:space="preserve">la subpunctul 2), </w:t>
      </w:r>
      <w:r w:rsidRPr="00FA588F">
        <w:rPr>
          <w:rFonts w:cs="Mangal"/>
          <w:b w:val="0"/>
          <w:bCs w:val="0"/>
          <w:szCs w:val="21"/>
          <w:lang w:val="ro-RO" w:eastAsia="ro-RO" w:bidi="ne-NP"/>
        </w:rPr>
        <w:t>cifrele și cuvintele „4000 de lei” se substituie cu cuvintele „cuantumul salariului minim pe țară aprobat prin Hotărâre de Guvern”</w:t>
      </w:r>
      <w:r w:rsidR="009A5503" w:rsidRPr="00FA588F">
        <w:rPr>
          <w:rFonts w:cs="Mangal"/>
          <w:b w:val="0"/>
          <w:bCs w:val="0"/>
          <w:szCs w:val="21"/>
          <w:lang w:val="ro-RO" w:eastAsia="ro-RO" w:bidi="ne-NP"/>
        </w:rPr>
        <w:t>.</w:t>
      </w:r>
    </w:p>
    <w:p w:rsidR="004B38F0" w:rsidRPr="00FA588F" w:rsidRDefault="004B38F0" w:rsidP="007F11BA">
      <w:pPr>
        <w:pStyle w:val="ListParagraph"/>
        <w:ind w:firstLine="828"/>
        <w:rPr>
          <w:b/>
          <w:lang w:val="ro-RO"/>
        </w:rPr>
      </w:pPr>
    </w:p>
    <w:p w:rsidR="009273FD" w:rsidRPr="00FA588F" w:rsidRDefault="0027594D" w:rsidP="0027594D">
      <w:pPr>
        <w:pStyle w:val="Heading4"/>
        <w:numPr>
          <w:ilvl w:val="0"/>
          <w:numId w:val="7"/>
        </w:numPr>
        <w:shd w:val="clear" w:color="auto" w:fill="FFFFFF"/>
        <w:tabs>
          <w:tab w:val="left" w:pos="851"/>
          <w:tab w:val="left" w:pos="1170"/>
        </w:tabs>
        <w:spacing w:before="0" w:beforeAutospacing="0" w:after="0" w:afterAutospacing="0"/>
        <w:ind w:left="0" w:firstLine="828"/>
        <w:jc w:val="both"/>
        <w:rPr>
          <w:b w:val="0"/>
          <w:lang w:val="ro-RO"/>
        </w:rPr>
      </w:pPr>
      <w:r w:rsidRPr="00FA588F">
        <w:rPr>
          <w:b w:val="0"/>
          <w:lang w:val="ro-RO"/>
        </w:rPr>
        <w:t xml:space="preserve">Tabelul 1, Note, la punctul 1. </w:t>
      </w:r>
      <w:r w:rsidRPr="00FA588F">
        <w:rPr>
          <w:b w:val="0"/>
          <w:lang w:val="ro-RO" w:eastAsia="ro-RO"/>
        </w:rPr>
        <w:t>cifrele „9000” se substituie cu cifrele „6000”, cifrele „3000” se substituie cu cifrele „2000”</w:t>
      </w:r>
      <w:r w:rsidR="00420492" w:rsidRPr="00FA588F">
        <w:rPr>
          <w:b w:val="0"/>
          <w:lang w:val="ro-RO" w:eastAsia="ro-RO"/>
        </w:rPr>
        <w:t>.</w:t>
      </w:r>
    </w:p>
    <w:p w:rsidR="009273FD" w:rsidRPr="00FA588F" w:rsidRDefault="009273FD" w:rsidP="009273FD">
      <w:pPr>
        <w:pStyle w:val="ListParagraph"/>
        <w:rPr>
          <w:b/>
          <w:lang w:val="ro-RO"/>
        </w:rPr>
      </w:pPr>
    </w:p>
    <w:p w:rsidR="005E23B7" w:rsidRPr="00FA588F" w:rsidRDefault="003332D9" w:rsidP="005E23B7">
      <w:pPr>
        <w:pStyle w:val="Heading4"/>
        <w:numPr>
          <w:ilvl w:val="0"/>
          <w:numId w:val="7"/>
        </w:numPr>
        <w:shd w:val="clear" w:color="auto" w:fill="FFFFFF"/>
        <w:tabs>
          <w:tab w:val="left" w:pos="851"/>
          <w:tab w:val="left" w:pos="1260"/>
        </w:tabs>
        <w:spacing w:before="0" w:beforeAutospacing="0" w:after="0" w:afterAutospacing="0"/>
        <w:ind w:left="0" w:firstLine="900"/>
        <w:jc w:val="both"/>
        <w:rPr>
          <w:b w:val="0"/>
          <w:lang w:val="ro-RO"/>
        </w:rPr>
      </w:pPr>
      <w:r w:rsidRPr="00FA588F">
        <w:rPr>
          <w:b w:val="0"/>
          <w:lang w:val="ro-RO"/>
        </w:rPr>
        <w:t>Tabelul 2</w:t>
      </w:r>
      <w:r w:rsidR="005E23B7" w:rsidRPr="00FA588F">
        <w:rPr>
          <w:b w:val="0"/>
          <w:lang w:val="ro-RO"/>
        </w:rPr>
        <w:t>, Note</w:t>
      </w:r>
      <w:r w:rsidRPr="00FA588F">
        <w:rPr>
          <w:b w:val="0"/>
          <w:lang w:val="ro-RO"/>
        </w:rPr>
        <w:t>,</w:t>
      </w:r>
      <w:r w:rsidR="005E23B7" w:rsidRPr="00FA588F">
        <w:rPr>
          <w:b w:val="0"/>
          <w:lang w:val="ro-RO"/>
        </w:rPr>
        <w:t xml:space="preserve"> la punctul 4, cuvintele </w:t>
      </w:r>
      <w:r w:rsidR="005E23B7" w:rsidRPr="00FA588F">
        <w:rPr>
          <w:b w:val="0"/>
          <w:lang w:val="ro-RO" w:eastAsia="ro-RO"/>
        </w:rPr>
        <w:t>„o clasă” se substituie cu cuvintele „</w:t>
      </w:r>
      <w:r w:rsidR="005E23B7" w:rsidRPr="00FA588F">
        <w:rPr>
          <w:b w:val="0"/>
          <w:lang w:val="ro-RO"/>
        </w:rPr>
        <w:t>patru clase</w:t>
      </w:r>
      <w:r w:rsidR="005E23B7" w:rsidRPr="00FA588F">
        <w:rPr>
          <w:b w:val="0"/>
          <w:lang w:val="ro-RO" w:eastAsia="ro-RO"/>
        </w:rPr>
        <w:t>”</w:t>
      </w:r>
    </w:p>
    <w:p w:rsidR="005E23B7" w:rsidRPr="00FA588F" w:rsidRDefault="005E23B7" w:rsidP="005E23B7">
      <w:pPr>
        <w:pStyle w:val="ListParagraph"/>
        <w:rPr>
          <w:b/>
          <w:lang w:val="ro-RO"/>
        </w:rPr>
      </w:pPr>
    </w:p>
    <w:p w:rsidR="00CB0DB5" w:rsidRPr="00FA588F" w:rsidRDefault="00CB0DB5" w:rsidP="00CB0DB5">
      <w:pPr>
        <w:spacing w:line="276" w:lineRule="auto"/>
        <w:ind w:firstLine="426"/>
        <w:rPr>
          <w:lang w:val="ro-RO"/>
        </w:rPr>
      </w:pPr>
      <w:r w:rsidRPr="00FA588F">
        <w:rPr>
          <w:lang w:val="ro-RO" w:eastAsia="ro-RO"/>
        </w:rPr>
        <w:t xml:space="preserve">2. </w:t>
      </w:r>
      <w:r w:rsidR="009B37C2" w:rsidRPr="00FA588F">
        <w:rPr>
          <w:lang w:val="ro-RO"/>
        </w:rPr>
        <w:t>Prezenta hotărâre intră în vigoare la data 01.</w:t>
      </w:r>
      <w:r w:rsidR="00932C7D" w:rsidRPr="00FA588F">
        <w:rPr>
          <w:lang w:val="ro-RO"/>
        </w:rPr>
        <w:t>0</w:t>
      </w:r>
      <w:r w:rsidR="00471C48" w:rsidRPr="00FA588F">
        <w:rPr>
          <w:lang w:val="ro-RO"/>
        </w:rPr>
        <w:t>1</w:t>
      </w:r>
      <w:r w:rsidR="009B37C2" w:rsidRPr="00FA588F">
        <w:rPr>
          <w:lang w:val="ro-RO"/>
        </w:rPr>
        <w:t>.202</w:t>
      </w:r>
      <w:r w:rsidR="00932C7D" w:rsidRPr="00FA588F">
        <w:rPr>
          <w:lang w:val="ro-RO"/>
        </w:rPr>
        <w:t>4</w:t>
      </w:r>
      <w:r w:rsidR="009B37C2" w:rsidRPr="00FA588F">
        <w:rPr>
          <w:lang w:val="ro-RO"/>
        </w:rPr>
        <w:t>.</w:t>
      </w:r>
    </w:p>
    <w:p w:rsidR="00CB0DB5" w:rsidRPr="00FA588F" w:rsidRDefault="00CB0DB5" w:rsidP="00CB0DB5">
      <w:pPr>
        <w:spacing w:line="276" w:lineRule="auto"/>
        <w:ind w:firstLine="709"/>
        <w:rPr>
          <w:b/>
          <w:sz w:val="28"/>
          <w:szCs w:val="28"/>
          <w:lang w:val="ro-RO" w:eastAsia="ro-RO"/>
        </w:rPr>
      </w:pPr>
    </w:p>
    <w:p w:rsidR="00F03A30" w:rsidRPr="00FA588F" w:rsidRDefault="00F03A30" w:rsidP="00CB0DB5">
      <w:pPr>
        <w:spacing w:line="276" w:lineRule="auto"/>
        <w:ind w:firstLine="709"/>
        <w:rPr>
          <w:b/>
          <w:sz w:val="28"/>
          <w:szCs w:val="28"/>
          <w:lang w:val="ro-RO" w:eastAsia="ro-RO"/>
        </w:rPr>
      </w:pPr>
    </w:p>
    <w:p w:rsidR="00CB0DB5" w:rsidRPr="00FA588F" w:rsidRDefault="00CB0DB5" w:rsidP="00CB0DB5">
      <w:pPr>
        <w:ind w:firstLine="709"/>
        <w:rPr>
          <w:b/>
          <w:lang w:val="ro-RO"/>
        </w:rPr>
      </w:pPr>
      <w:r w:rsidRPr="00FA588F">
        <w:rPr>
          <w:b/>
          <w:lang w:val="ro-RO"/>
        </w:rPr>
        <w:t xml:space="preserve">Prim-ministru </w:t>
      </w:r>
      <w:r w:rsidRPr="00FA588F">
        <w:rPr>
          <w:b/>
          <w:lang w:val="ro-RO"/>
        </w:rPr>
        <w:tab/>
      </w:r>
      <w:r w:rsidRPr="00FA588F">
        <w:rPr>
          <w:b/>
          <w:lang w:val="ro-RO"/>
        </w:rPr>
        <w:tab/>
      </w:r>
      <w:r w:rsidRPr="00FA588F">
        <w:rPr>
          <w:b/>
          <w:lang w:val="ro-RO"/>
        </w:rPr>
        <w:tab/>
      </w:r>
      <w:r w:rsidRPr="00FA588F">
        <w:rPr>
          <w:b/>
          <w:lang w:val="ro-RO"/>
        </w:rPr>
        <w:tab/>
      </w:r>
      <w:r w:rsidRPr="00FA588F">
        <w:rPr>
          <w:b/>
          <w:lang w:val="ro-RO"/>
        </w:rPr>
        <w:tab/>
      </w:r>
      <w:r w:rsidRPr="00FA588F">
        <w:rPr>
          <w:b/>
          <w:lang w:val="ro-RO"/>
        </w:rPr>
        <w:tab/>
      </w:r>
      <w:r w:rsidR="002538CE">
        <w:rPr>
          <w:b/>
          <w:lang w:val="ro-RO"/>
        </w:rPr>
        <w:t>DORIN RE</w:t>
      </w:r>
      <w:bookmarkStart w:id="0" w:name="_GoBack"/>
      <w:bookmarkEnd w:id="0"/>
      <w:r w:rsidR="00FB3543" w:rsidRPr="00FA588F">
        <w:rPr>
          <w:b/>
          <w:lang w:val="ro-RO"/>
        </w:rPr>
        <w:t>CEAN</w:t>
      </w:r>
    </w:p>
    <w:p w:rsidR="00CB0DB5" w:rsidRPr="00FA588F" w:rsidRDefault="00CB0DB5" w:rsidP="00CB0DB5">
      <w:pPr>
        <w:ind w:firstLine="709"/>
        <w:rPr>
          <w:b/>
          <w:lang w:val="ro-RO"/>
        </w:rPr>
      </w:pPr>
      <w:r w:rsidRPr="00FA588F">
        <w:rPr>
          <w:b/>
          <w:lang w:val="ro-RO"/>
        </w:rPr>
        <w:tab/>
      </w:r>
      <w:r w:rsidRPr="00FA588F">
        <w:rPr>
          <w:b/>
          <w:lang w:val="ro-RO"/>
        </w:rPr>
        <w:tab/>
      </w:r>
    </w:p>
    <w:p w:rsidR="00CB0DB5" w:rsidRPr="00FA588F" w:rsidRDefault="00CB0DB5" w:rsidP="00CB0DB5">
      <w:pPr>
        <w:ind w:firstLine="709"/>
        <w:rPr>
          <w:lang w:val="ro-RO"/>
        </w:rPr>
      </w:pPr>
      <w:r w:rsidRPr="00FA588F">
        <w:rPr>
          <w:lang w:val="ro-RO"/>
        </w:rPr>
        <w:t>Contrasemnează:</w:t>
      </w:r>
    </w:p>
    <w:p w:rsidR="00CB0DB5" w:rsidRPr="00FA588F" w:rsidRDefault="00CB0DB5" w:rsidP="00CB0DB5">
      <w:pPr>
        <w:ind w:firstLine="709"/>
        <w:rPr>
          <w:lang w:val="ro-RO"/>
        </w:rPr>
      </w:pPr>
    </w:p>
    <w:p w:rsidR="00CB0DB5" w:rsidRPr="00FA588F" w:rsidRDefault="00CB0DB5" w:rsidP="00CB0DB5">
      <w:pPr>
        <w:ind w:firstLine="709"/>
        <w:rPr>
          <w:lang w:val="ro-RO"/>
        </w:rPr>
      </w:pPr>
      <w:r w:rsidRPr="00FA588F">
        <w:rPr>
          <w:lang w:val="ro-RO"/>
        </w:rPr>
        <w:t xml:space="preserve">Ministrul educației și cercetării </w:t>
      </w:r>
      <w:r w:rsidRPr="00FA588F">
        <w:rPr>
          <w:lang w:val="ro-RO"/>
        </w:rPr>
        <w:tab/>
      </w:r>
      <w:r w:rsidRPr="00FA588F">
        <w:rPr>
          <w:lang w:val="ro-RO"/>
        </w:rPr>
        <w:tab/>
      </w:r>
      <w:r w:rsidRPr="00FA588F">
        <w:rPr>
          <w:lang w:val="ro-RO"/>
        </w:rPr>
        <w:tab/>
      </w:r>
      <w:r w:rsidRPr="00FA588F">
        <w:rPr>
          <w:lang w:val="ro-RO"/>
        </w:rPr>
        <w:tab/>
      </w:r>
      <w:r w:rsidR="00406CAA" w:rsidRPr="00FA588F">
        <w:rPr>
          <w:lang w:val="ro-RO"/>
        </w:rPr>
        <w:t>Dan PERCIUN</w:t>
      </w:r>
    </w:p>
    <w:p w:rsidR="00CB0DB5" w:rsidRPr="00FA588F" w:rsidRDefault="00CB0DB5" w:rsidP="00CB0DB5">
      <w:pPr>
        <w:ind w:firstLine="709"/>
        <w:rPr>
          <w:lang w:val="ro-RO"/>
        </w:rPr>
      </w:pPr>
    </w:p>
    <w:p w:rsidR="0022010A" w:rsidRPr="00FA588F" w:rsidRDefault="00CB0DB5" w:rsidP="00CB0DB5">
      <w:pPr>
        <w:ind w:firstLine="709"/>
        <w:rPr>
          <w:lang w:val="ro-RO"/>
        </w:rPr>
      </w:pPr>
      <w:r w:rsidRPr="00FA588F">
        <w:rPr>
          <w:lang w:val="ro-RO"/>
        </w:rPr>
        <w:t xml:space="preserve">Ministrul </w:t>
      </w:r>
      <w:r w:rsidR="00516B7C" w:rsidRPr="00FA588F">
        <w:rPr>
          <w:lang w:val="ro-RO"/>
        </w:rPr>
        <w:t>finanțelor</w:t>
      </w:r>
      <w:r w:rsidRPr="00FA588F">
        <w:rPr>
          <w:lang w:val="ro-RO"/>
        </w:rPr>
        <w:tab/>
      </w:r>
      <w:r w:rsidRPr="00FA588F">
        <w:rPr>
          <w:lang w:val="ro-RO"/>
        </w:rPr>
        <w:tab/>
      </w:r>
      <w:r w:rsidRPr="00FA588F">
        <w:rPr>
          <w:lang w:val="ro-RO"/>
        </w:rPr>
        <w:tab/>
      </w:r>
      <w:r w:rsidR="000C4505" w:rsidRPr="00FA588F">
        <w:rPr>
          <w:lang w:val="ro-RO"/>
        </w:rPr>
        <w:tab/>
      </w:r>
      <w:r w:rsidRPr="00FA588F">
        <w:rPr>
          <w:lang w:val="ro-RO"/>
        </w:rPr>
        <w:tab/>
      </w:r>
      <w:r w:rsidRPr="00FA588F">
        <w:rPr>
          <w:lang w:val="ro-RO"/>
        </w:rPr>
        <w:tab/>
      </w:r>
      <w:hyperlink r:id="rId7" w:history="1">
        <w:r w:rsidR="00F9358E" w:rsidRPr="00FA588F">
          <w:rPr>
            <w:lang w:val="ro-RO"/>
          </w:rPr>
          <w:t>Veronica</w:t>
        </w:r>
      </w:hyperlink>
      <w:r w:rsidR="00F9358E" w:rsidRPr="00FA588F">
        <w:rPr>
          <w:caps/>
          <w:lang w:val="ro-RO"/>
        </w:rPr>
        <w:t xml:space="preserve"> SIREȚEANU</w:t>
      </w:r>
    </w:p>
    <w:sectPr w:rsidR="0022010A" w:rsidRPr="00FA588F" w:rsidSect="00EA1F79">
      <w:pgSz w:w="12240" w:h="15840"/>
      <w:pgMar w:top="1080" w:right="1041"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E5DD5"/>
    <w:multiLevelType w:val="hybridMultilevel"/>
    <w:tmpl w:val="07E07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37B84"/>
    <w:multiLevelType w:val="hybridMultilevel"/>
    <w:tmpl w:val="83528AB0"/>
    <w:lvl w:ilvl="0" w:tplc="292CCB66">
      <w:start w:val="1"/>
      <w:numFmt w:val="decimal"/>
      <w:lvlText w:val="%1."/>
      <w:lvlJc w:val="left"/>
      <w:pPr>
        <w:ind w:left="927" w:hanging="360"/>
      </w:pPr>
      <w:rPr>
        <w:rFonts w:cs="Mangal"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3833B7F"/>
    <w:multiLevelType w:val="hybridMultilevel"/>
    <w:tmpl w:val="A476D4C4"/>
    <w:lvl w:ilvl="0" w:tplc="57304E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724652B"/>
    <w:multiLevelType w:val="hybridMultilevel"/>
    <w:tmpl w:val="5CC6A874"/>
    <w:lvl w:ilvl="0" w:tplc="DBACF2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120E5"/>
    <w:multiLevelType w:val="hybridMultilevel"/>
    <w:tmpl w:val="B3A68D8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4227A3"/>
    <w:multiLevelType w:val="hybridMultilevel"/>
    <w:tmpl w:val="93FA6ABE"/>
    <w:lvl w:ilvl="0" w:tplc="04090017">
      <w:start w:val="1"/>
      <w:numFmt w:val="lowerLetter"/>
      <w:lvlText w:val="%1)"/>
      <w:lvlJc w:val="left"/>
      <w:pPr>
        <w:ind w:left="1146" w:hanging="360"/>
      </w:p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6" w15:restartNumberingAfterBreak="0">
    <w:nsid w:val="5AE83711"/>
    <w:multiLevelType w:val="hybridMultilevel"/>
    <w:tmpl w:val="3C840F20"/>
    <w:lvl w:ilvl="0" w:tplc="E40AD2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1C9160A"/>
    <w:multiLevelType w:val="hybridMultilevel"/>
    <w:tmpl w:val="AE42988A"/>
    <w:lvl w:ilvl="0" w:tplc="2F1EFCC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71837B5B"/>
    <w:multiLevelType w:val="hybridMultilevel"/>
    <w:tmpl w:val="ABBCD2A4"/>
    <w:lvl w:ilvl="0" w:tplc="9942173A">
      <w:start w:val="1"/>
      <w:numFmt w:val="upperRoman"/>
      <w:lvlText w:val="%1."/>
      <w:lvlJc w:val="left"/>
      <w:pPr>
        <w:ind w:left="1287" w:hanging="72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7684774A"/>
    <w:multiLevelType w:val="hybridMultilevel"/>
    <w:tmpl w:val="37DEC82E"/>
    <w:lvl w:ilvl="0" w:tplc="3702B914">
      <w:start w:val="1"/>
      <w:numFmt w:val="decimal"/>
      <w:lvlText w:val="%1)"/>
      <w:lvlJc w:val="left"/>
      <w:pPr>
        <w:ind w:left="64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2"/>
  </w:num>
  <w:num w:numId="4">
    <w:abstractNumId w:val="8"/>
  </w:num>
  <w:num w:numId="5">
    <w:abstractNumId w:val="0"/>
  </w:num>
  <w:num w:numId="6">
    <w:abstractNumId w:val="4"/>
  </w:num>
  <w:num w:numId="7">
    <w:abstractNumId w:val="9"/>
  </w:num>
  <w:num w:numId="8">
    <w:abstractNumId w:val="5"/>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A9F"/>
    <w:rsid w:val="00011E80"/>
    <w:rsid w:val="000129A2"/>
    <w:rsid w:val="0002763C"/>
    <w:rsid w:val="00031937"/>
    <w:rsid w:val="0004441F"/>
    <w:rsid w:val="00051D08"/>
    <w:rsid w:val="0008082C"/>
    <w:rsid w:val="000A1CBA"/>
    <w:rsid w:val="000A26D4"/>
    <w:rsid w:val="000B0469"/>
    <w:rsid w:val="000C4505"/>
    <w:rsid w:val="000D35E1"/>
    <w:rsid w:val="000D60F4"/>
    <w:rsid w:val="000D710F"/>
    <w:rsid w:val="000F6B40"/>
    <w:rsid w:val="00100D5A"/>
    <w:rsid w:val="00110EFB"/>
    <w:rsid w:val="001169DA"/>
    <w:rsid w:val="00142F7D"/>
    <w:rsid w:val="00185D08"/>
    <w:rsid w:val="001A0859"/>
    <w:rsid w:val="001A6799"/>
    <w:rsid w:val="001A69CF"/>
    <w:rsid w:val="001C23F6"/>
    <w:rsid w:val="001E7A24"/>
    <w:rsid w:val="001F1940"/>
    <w:rsid w:val="0020202F"/>
    <w:rsid w:val="00203B58"/>
    <w:rsid w:val="0022010A"/>
    <w:rsid w:val="00250CE8"/>
    <w:rsid w:val="0025239C"/>
    <w:rsid w:val="002538CE"/>
    <w:rsid w:val="002665D7"/>
    <w:rsid w:val="002747AB"/>
    <w:rsid w:val="0027594D"/>
    <w:rsid w:val="002924D9"/>
    <w:rsid w:val="002B5BDA"/>
    <w:rsid w:val="002B5DB8"/>
    <w:rsid w:val="002D56FA"/>
    <w:rsid w:val="002F284A"/>
    <w:rsid w:val="002F3554"/>
    <w:rsid w:val="003332D9"/>
    <w:rsid w:val="00381F67"/>
    <w:rsid w:val="003940DF"/>
    <w:rsid w:val="003956C7"/>
    <w:rsid w:val="003E616C"/>
    <w:rsid w:val="003E71ED"/>
    <w:rsid w:val="003E72D8"/>
    <w:rsid w:val="00400985"/>
    <w:rsid w:val="0040606F"/>
    <w:rsid w:val="00406CAA"/>
    <w:rsid w:val="00420492"/>
    <w:rsid w:val="00420F64"/>
    <w:rsid w:val="00460A7D"/>
    <w:rsid w:val="00471C48"/>
    <w:rsid w:val="004748EA"/>
    <w:rsid w:val="00483CA8"/>
    <w:rsid w:val="004A7D7E"/>
    <w:rsid w:val="004B38F0"/>
    <w:rsid w:val="00500FAF"/>
    <w:rsid w:val="00507346"/>
    <w:rsid w:val="00516B7C"/>
    <w:rsid w:val="005228A6"/>
    <w:rsid w:val="00542FBD"/>
    <w:rsid w:val="00547C0F"/>
    <w:rsid w:val="005C7041"/>
    <w:rsid w:val="005E23B7"/>
    <w:rsid w:val="005E41EC"/>
    <w:rsid w:val="00601FA2"/>
    <w:rsid w:val="006164B7"/>
    <w:rsid w:val="006360B9"/>
    <w:rsid w:val="0064595D"/>
    <w:rsid w:val="00653BB8"/>
    <w:rsid w:val="00666587"/>
    <w:rsid w:val="00677216"/>
    <w:rsid w:val="0068580D"/>
    <w:rsid w:val="00690BD4"/>
    <w:rsid w:val="006C5044"/>
    <w:rsid w:val="006C52F7"/>
    <w:rsid w:val="006D1015"/>
    <w:rsid w:val="00722A9F"/>
    <w:rsid w:val="0076528B"/>
    <w:rsid w:val="007876DB"/>
    <w:rsid w:val="007B441F"/>
    <w:rsid w:val="007D0D40"/>
    <w:rsid w:val="007D3300"/>
    <w:rsid w:val="007D636E"/>
    <w:rsid w:val="007F11BA"/>
    <w:rsid w:val="00824050"/>
    <w:rsid w:val="008406DC"/>
    <w:rsid w:val="00844CC9"/>
    <w:rsid w:val="0088352F"/>
    <w:rsid w:val="0089601F"/>
    <w:rsid w:val="00896F44"/>
    <w:rsid w:val="008B1316"/>
    <w:rsid w:val="008D605B"/>
    <w:rsid w:val="009104B6"/>
    <w:rsid w:val="00916054"/>
    <w:rsid w:val="009273FD"/>
    <w:rsid w:val="00932C7D"/>
    <w:rsid w:val="00946AE5"/>
    <w:rsid w:val="009845E2"/>
    <w:rsid w:val="009866EE"/>
    <w:rsid w:val="00987E59"/>
    <w:rsid w:val="009A43E7"/>
    <w:rsid w:val="009A5503"/>
    <w:rsid w:val="009B2DAF"/>
    <w:rsid w:val="009B37C2"/>
    <w:rsid w:val="009B3AA0"/>
    <w:rsid w:val="009B536C"/>
    <w:rsid w:val="009C5A8A"/>
    <w:rsid w:val="009E7BC8"/>
    <w:rsid w:val="00A0703C"/>
    <w:rsid w:val="00A65A80"/>
    <w:rsid w:val="00A66869"/>
    <w:rsid w:val="00A74F5D"/>
    <w:rsid w:val="00AA7BCB"/>
    <w:rsid w:val="00AD5644"/>
    <w:rsid w:val="00AE3AB8"/>
    <w:rsid w:val="00AF38C2"/>
    <w:rsid w:val="00B027DC"/>
    <w:rsid w:val="00B03E45"/>
    <w:rsid w:val="00B05F57"/>
    <w:rsid w:val="00B11B7A"/>
    <w:rsid w:val="00B24031"/>
    <w:rsid w:val="00B270CF"/>
    <w:rsid w:val="00B41924"/>
    <w:rsid w:val="00B91DCE"/>
    <w:rsid w:val="00BB148B"/>
    <w:rsid w:val="00BC428D"/>
    <w:rsid w:val="00BE3BE8"/>
    <w:rsid w:val="00BE3C9A"/>
    <w:rsid w:val="00BE4015"/>
    <w:rsid w:val="00BE50B1"/>
    <w:rsid w:val="00BF45AB"/>
    <w:rsid w:val="00C16E1B"/>
    <w:rsid w:val="00C26275"/>
    <w:rsid w:val="00C27077"/>
    <w:rsid w:val="00C50551"/>
    <w:rsid w:val="00C8218B"/>
    <w:rsid w:val="00C85BE5"/>
    <w:rsid w:val="00C96B16"/>
    <w:rsid w:val="00CB0DB5"/>
    <w:rsid w:val="00CB159D"/>
    <w:rsid w:val="00CD70AC"/>
    <w:rsid w:val="00D015E1"/>
    <w:rsid w:val="00D203BD"/>
    <w:rsid w:val="00D215E5"/>
    <w:rsid w:val="00D22836"/>
    <w:rsid w:val="00D319E0"/>
    <w:rsid w:val="00D37879"/>
    <w:rsid w:val="00D40BB0"/>
    <w:rsid w:val="00D66CE3"/>
    <w:rsid w:val="00D70E40"/>
    <w:rsid w:val="00D7649D"/>
    <w:rsid w:val="00D96235"/>
    <w:rsid w:val="00DA655C"/>
    <w:rsid w:val="00DA69AF"/>
    <w:rsid w:val="00DB5FA4"/>
    <w:rsid w:val="00DD1E4F"/>
    <w:rsid w:val="00DF1FC2"/>
    <w:rsid w:val="00E247ED"/>
    <w:rsid w:val="00E26C09"/>
    <w:rsid w:val="00E275B4"/>
    <w:rsid w:val="00E33BEF"/>
    <w:rsid w:val="00E40732"/>
    <w:rsid w:val="00E51860"/>
    <w:rsid w:val="00E939DA"/>
    <w:rsid w:val="00EA1F79"/>
    <w:rsid w:val="00EA4684"/>
    <w:rsid w:val="00EB2D84"/>
    <w:rsid w:val="00EB6832"/>
    <w:rsid w:val="00EC64B7"/>
    <w:rsid w:val="00EE04CA"/>
    <w:rsid w:val="00F03A30"/>
    <w:rsid w:val="00F16B44"/>
    <w:rsid w:val="00F16BE9"/>
    <w:rsid w:val="00F32BBD"/>
    <w:rsid w:val="00F40602"/>
    <w:rsid w:val="00F521F1"/>
    <w:rsid w:val="00F9358E"/>
    <w:rsid w:val="00F975AC"/>
    <w:rsid w:val="00FA588F"/>
    <w:rsid w:val="00FB3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253B8D-A995-4CCB-8EC7-9588DE095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B6"/>
    <w:pPr>
      <w:spacing w:after="0" w:line="240" w:lineRule="auto"/>
    </w:pPr>
    <w:rPr>
      <w:rFonts w:ascii="Times New Roman" w:eastAsia="Times New Roman" w:hAnsi="Times New Roman" w:cs="Mangal"/>
      <w:sz w:val="24"/>
      <w:szCs w:val="24"/>
      <w:lang w:val="ru-RU" w:eastAsia="ru-RU" w:bidi="ne-NP"/>
    </w:rPr>
  </w:style>
  <w:style w:type="paragraph" w:styleId="Heading4">
    <w:name w:val="heading 4"/>
    <w:basedOn w:val="Normal"/>
    <w:link w:val="Heading4Char"/>
    <w:uiPriority w:val="9"/>
    <w:qFormat/>
    <w:rsid w:val="009104B6"/>
    <w:pPr>
      <w:spacing w:before="100" w:beforeAutospacing="1" w:after="100" w:afterAutospacing="1"/>
      <w:outlineLvl w:val="3"/>
    </w:pPr>
    <w:rPr>
      <w:rFonts w:cs="Times New Roman"/>
      <w:b/>
      <w:bCs/>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104B6"/>
    <w:rPr>
      <w:rFonts w:ascii="Times New Roman" w:eastAsia="Times New Roman" w:hAnsi="Times New Roman" w:cs="Times New Roman"/>
      <w:b/>
      <w:bCs/>
      <w:sz w:val="24"/>
      <w:szCs w:val="24"/>
      <w:lang w:val="ru-RU" w:eastAsia="ru-RU"/>
    </w:rPr>
  </w:style>
  <w:style w:type="paragraph" w:styleId="NormalWeb">
    <w:name w:val="Normal (Web)"/>
    <w:basedOn w:val="Normal"/>
    <w:uiPriority w:val="99"/>
    <w:unhideWhenUsed/>
    <w:rsid w:val="009104B6"/>
    <w:pPr>
      <w:spacing w:before="100" w:beforeAutospacing="1" w:after="100" w:afterAutospacing="1"/>
    </w:pPr>
    <w:rPr>
      <w:rFonts w:cs="Times New Roman"/>
      <w:lang w:bidi="ar-SA"/>
    </w:rPr>
  </w:style>
  <w:style w:type="paragraph" w:styleId="ListParagraph">
    <w:name w:val="List Paragraph"/>
    <w:basedOn w:val="Normal"/>
    <w:uiPriority w:val="34"/>
    <w:qFormat/>
    <w:rsid w:val="009104B6"/>
    <w:pPr>
      <w:ind w:left="720"/>
      <w:contextualSpacing/>
    </w:pPr>
    <w:rPr>
      <w:szCs w:val="21"/>
    </w:rPr>
  </w:style>
  <w:style w:type="character" w:styleId="Strong">
    <w:name w:val="Strong"/>
    <w:basedOn w:val="DefaultParagraphFont"/>
    <w:uiPriority w:val="22"/>
    <w:qFormat/>
    <w:rsid w:val="006360B9"/>
    <w:rPr>
      <w:b/>
      <w:bCs/>
    </w:rPr>
  </w:style>
  <w:style w:type="paragraph" w:styleId="BalloonText">
    <w:name w:val="Balloon Text"/>
    <w:basedOn w:val="Normal"/>
    <w:link w:val="BalloonTextChar"/>
    <w:uiPriority w:val="99"/>
    <w:semiHidden/>
    <w:unhideWhenUsed/>
    <w:rsid w:val="00844CC9"/>
    <w:rPr>
      <w:rFonts w:ascii="Segoe UI" w:hAnsi="Segoe UI" w:cs="Segoe UI"/>
      <w:sz w:val="18"/>
      <w:szCs w:val="16"/>
    </w:rPr>
  </w:style>
  <w:style w:type="character" w:customStyle="1" w:styleId="BalloonTextChar">
    <w:name w:val="Balloon Text Char"/>
    <w:basedOn w:val="DefaultParagraphFont"/>
    <w:link w:val="BalloonText"/>
    <w:uiPriority w:val="99"/>
    <w:semiHidden/>
    <w:rsid w:val="00844CC9"/>
    <w:rPr>
      <w:rFonts w:ascii="Segoe UI" w:eastAsia="Times New Roman" w:hAnsi="Segoe UI" w:cs="Segoe UI"/>
      <w:sz w:val="18"/>
      <w:szCs w:val="16"/>
      <w:lang w:val="ru-RU" w:eastAsia="ru-RU" w:bidi="ne-NP"/>
    </w:rPr>
  </w:style>
  <w:style w:type="paragraph" w:customStyle="1" w:styleId="CharChar">
    <w:name w:val="Знак Знак Char Char Знак"/>
    <w:basedOn w:val="Normal"/>
    <w:rsid w:val="0089601F"/>
    <w:pPr>
      <w:spacing w:after="160" w:line="240" w:lineRule="exact"/>
    </w:pPr>
    <w:rPr>
      <w:rFonts w:ascii="Arial" w:eastAsia="Batang" w:hAnsi="Arial" w:cs="Arial"/>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941544">
      <w:bodyDiv w:val="1"/>
      <w:marLeft w:val="0"/>
      <w:marRight w:val="0"/>
      <w:marTop w:val="0"/>
      <w:marBottom w:val="0"/>
      <w:divBdr>
        <w:top w:val="none" w:sz="0" w:space="0" w:color="auto"/>
        <w:left w:val="none" w:sz="0" w:space="0" w:color="auto"/>
        <w:bottom w:val="none" w:sz="0" w:space="0" w:color="auto"/>
        <w:right w:val="none" w:sz="0" w:space="0" w:color="auto"/>
      </w:divBdr>
    </w:div>
    <w:div w:id="1039282122">
      <w:bodyDiv w:val="1"/>
      <w:marLeft w:val="0"/>
      <w:marRight w:val="0"/>
      <w:marTop w:val="0"/>
      <w:marBottom w:val="0"/>
      <w:divBdr>
        <w:top w:val="none" w:sz="0" w:space="0" w:color="auto"/>
        <w:left w:val="none" w:sz="0" w:space="0" w:color="auto"/>
        <w:bottom w:val="none" w:sz="0" w:space="0" w:color="auto"/>
        <w:right w:val="none" w:sz="0" w:space="0" w:color="auto"/>
      </w:divBdr>
    </w:div>
    <w:div w:id="153295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gov.md/ro/content/dumitru-budiansch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lex:HGHG20181212123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B9C09-1C07-4193-9430-28B56E5A5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523</Words>
  <Characters>2985</Characters>
  <Application>Microsoft Office Word</Application>
  <DocSecurity>0</DocSecurity>
  <Lines>24</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 Onofrei</dc:creator>
  <cp:keywords/>
  <dc:description/>
  <cp:lastModifiedBy>Ion Sobari</cp:lastModifiedBy>
  <cp:revision>21</cp:revision>
  <cp:lastPrinted>2022-12-29T12:33:00Z</cp:lastPrinted>
  <dcterms:created xsi:type="dcterms:W3CDTF">2023-09-04T11:30:00Z</dcterms:created>
  <dcterms:modified xsi:type="dcterms:W3CDTF">2023-09-06T12:38:00Z</dcterms:modified>
</cp:coreProperties>
</file>