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D41" w:rsidRPr="007D66FE" w:rsidRDefault="00E33D41" w:rsidP="00CB5030">
      <w:pPr>
        <w:tabs>
          <w:tab w:val="left" w:pos="884"/>
          <w:tab w:val="left" w:pos="1196"/>
        </w:tabs>
        <w:spacing w:after="0"/>
        <w:jc w:val="center"/>
        <w:rPr>
          <w:rFonts w:ascii="Times New Roman" w:hAnsi="Times New Roman"/>
          <w:b/>
          <w:sz w:val="24"/>
          <w:szCs w:val="24"/>
          <w:lang w:val="ro-RO"/>
        </w:rPr>
      </w:pPr>
      <w:r w:rsidRPr="007D66FE">
        <w:rPr>
          <w:rFonts w:ascii="Times New Roman" w:hAnsi="Times New Roman"/>
          <w:b/>
          <w:sz w:val="24"/>
          <w:szCs w:val="24"/>
          <w:lang w:val="ro-RO"/>
        </w:rPr>
        <w:t>NOTĂ INFORMATIVĂ</w:t>
      </w:r>
    </w:p>
    <w:p w:rsidR="007F6158" w:rsidRPr="007D66FE" w:rsidRDefault="007F6158" w:rsidP="00CB5030">
      <w:pPr>
        <w:spacing w:after="0"/>
        <w:jc w:val="center"/>
        <w:rPr>
          <w:rFonts w:ascii="Times New Roman" w:hAnsi="Times New Roman"/>
          <w:sz w:val="24"/>
          <w:szCs w:val="24"/>
          <w:lang w:val="ro-RO"/>
        </w:rPr>
      </w:pPr>
      <w:r w:rsidRPr="007D66FE">
        <w:rPr>
          <w:rFonts w:ascii="Times New Roman" w:hAnsi="Times New Roman"/>
          <w:sz w:val="24"/>
          <w:szCs w:val="24"/>
          <w:lang w:val="ro-RO"/>
        </w:rPr>
        <w:t xml:space="preserve">la proiectul de Hotărâre de Guvern </w:t>
      </w:r>
    </w:p>
    <w:p w:rsidR="00E33D41" w:rsidRPr="00BD7E71" w:rsidRDefault="007F6158" w:rsidP="00BD7E71">
      <w:pPr>
        <w:spacing w:after="0"/>
        <w:jc w:val="center"/>
        <w:rPr>
          <w:rFonts w:ascii="Times New Roman" w:hAnsi="Times New Roman"/>
          <w:bCs/>
          <w:i/>
          <w:iCs/>
          <w:sz w:val="24"/>
          <w:szCs w:val="24"/>
          <w:lang w:val="ro-RO"/>
        </w:rPr>
      </w:pPr>
      <w:r w:rsidRPr="007D66FE">
        <w:rPr>
          <w:rFonts w:ascii="Times New Roman" w:hAnsi="Times New Roman"/>
          <w:bCs/>
          <w:i/>
          <w:iCs/>
          <w:sz w:val="24"/>
          <w:szCs w:val="24"/>
          <w:lang w:val="ro-RO"/>
        </w:rPr>
        <w:t xml:space="preserve">Cu privire la aprobarea listelor </w:t>
      </w:r>
      <w:r w:rsidR="0039062D" w:rsidRPr="007D66FE">
        <w:rPr>
          <w:rFonts w:ascii="Times New Roman" w:hAnsi="Times New Roman"/>
          <w:bCs/>
          <w:i/>
          <w:iCs/>
          <w:sz w:val="24"/>
          <w:szCs w:val="24"/>
          <w:lang w:val="ro-RO"/>
        </w:rPr>
        <w:t>studenților</w:t>
      </w:r>
      <w:r w:rsidRPr="007D66FE">
        <w:rPr>
          <w:rFonts w:ascii="Times New Roman" w:hAnsi="Times New Roman"/>
          <w:bCs/>
          <w:i/>
          <w:iCs/>
          <w:sz w:val="24"/>
          <w:szCs w:val="24"/>
          <w:lang w:val="ro-RO"/>
        </w:rPr>
        <w:t xml:space="preserve"> din </w:t>
      </w:r>
      <w:r w:rsidR="00D86D43" w:rsidRPr="007D66FE">
        <w:rPr>
          <w:rFonts w:ascii="Times New Roman" w:hAnsi="Times New Roman"/>
          <w:bCs/>
          <w:i/>
          <w:iCs/>
          <w:sz w:val="24"/>
          <w:szCs w:val="24"/>
          <w:lang w:val="ro-RO"/>
        </w:rPr>
        <w:t>instituțiile</w:t>
      </w:r>
      <w:r w:rsidRPr="007D66FE">
        <w:rPr>
          <w:rFonts w:ascii="Times New Roman" w:hAnsi="Times New Roman"/>
          <w:bCs/>
          <w:i/>
          <w:iCs/>
          <w:sz w:val="24"/>
          <w:szCs w:val="24"/>
          <w:lang w:val="ro-RO"/>
        </w:rPr>
        <w:t xml:space="preserve"> de învățământ superior şi elevilor din </w:t>
      </w:r>
      <w:r w:rsidR="0039062D" w:rsidRPr="007D66FE">
        <w:rPr>
          <w:rFonts w:ascii="Times New Roman" w:hAnsi="Times New Roman"/>
          <w:bCs/>
          <w:i/>
          <w:sz w:val="24"/>
          <w:szCs w:val="24"/>
          <w:lang w:val="ro-RO"/>
        </w:rPr>
        <w:t>instituțiile</w:t>
      </w:r>
      <w:r w:rsidRPr="007D66FE">
        <w:rPr>
          <w:rFonts w:ascii="Times New Roman" w:hAnsi="Times New Roman"/>
          <w:bCs/>
          <w:i/>
          <w:sz w:val="24"/>
          <w:szCs w:val="24"/>
          <w:lang w:val="ro-RO"/>
        </w:rPr>
        <w:t xml:space="preserve"> de învățământ profesional tehnic postsecundar </w:t>
      </w:r>
      <w:r w:rsidRPr="007D66FE">
        <w:rPr>
          <w:rFonts w:ascii="Times New Roman" w:hAnsi="Times New Roman"/>
          <w:bCs/>
          <w:i/>
          <w:iCs/>
          <w:sz w:val="24"/>
          <w:szCs w:val="24"/>
          <w:lang w:val="ro-RO"/>
        </w:rPr>
        <w:t xml:space="preserve">cărora li se acordă </w:t>
      </w:r>
      <w:r w:rsidRPr="007D66FE">
        <w:rPr>
          <w:rFonts w:ascii="Times New Roman" w:hAnsi="Times New Roman"/>
          <w:b/>
          <w:bCs/>
          <w:i/>
          <w:iCs/>
          <w:sz w:val="24"/>
          <w:szCs w:val="24"/>
          <w:lang w:val="ro-RO"/>
        </w:rPr>
        <w:t>burse de merit</w:t>
      </w:r>
      <w:r w:rsidR="00BB20D2" w:rsidRPr="007D66FE">
        <w:rPr>
          <w:rFonts w:ascii="Times New Roman" w:hAnsi="Times New Roman"/>
          <w:bCs/>
          <w:i/>
          <w:iCs/>
          <w:sz w:val="24"/>
          <w:szCs w:val="24"/>
          <w:lang w:val="ro-RO"/>
        </w:rPr>
        <w:t xml:space="preserve"> în anul de studii </w:t>
      </w:r>
      <w:r w:rsidR="00FD160A" w:rsidRPr="007D66FE">
        <w:rPr>
          <w:rFonts w:ascii="Times New Roman" w:hAnsi="Times New Roman"/>
          <w:bCs/>
          <w:i/>
          <w:iCs/>
          <w:sz w:val="24"/>
          <w:szCs w:val="24"/>
          <w:lang w:val="ro-RO"/>
        </w:rPr>
        <w:t>2023-2024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E33D41" w:rsidRPr="00B05EDA" w:rsidTr="00836BCA">
        <w:trPr>
          <w:trHeight w:val="311"/>
        </w:trPr>
        <w:tc>
          <w:tcPr>
            <w:tcW w:w="5000" w:type="pct"/>
          </w:tcPr>
          <w:p w:rsidR="00E33D41" w:rsidRPr="007D66FE" w:rsidRDefault="00E33D41" w:rsidP="00CB5030">
            <w:pPr>
              <w:numPr>
                <w:ilvl w:val="3"/>
                <w:numId w:val="1"/>
              </w:numPr>
              <w:tabs>
                <w:tab w:val="clear" w:pos="2880"/>
                <w:tab w:val="left" w:pos="284"/>
                <w:tab w:val="left" w:pos="1196"/>
              </w:tabs>
              <w:spacing w:after="0"/>
              <w:ind w:left="0" w:firstLine="0"/>
              <w:jc w:val="both"/>
              <w:rPr>
                <w:rFonts w:ascii="Times New Roman" w:hAnsi="Times New Roman"/>
                <w:b/>
                <w:i/>
                <w:sz w:val="24"/>
                <w:szCs w:val="24"/>
                <w:lang w:val="ro-RO"/>
              </w:rPr>
            </w:pPr>
            <w:r w:rsidRPr="007D66FE">
              <w:rPr>
                <w:rFonts w:ascii="Times New Roman" w:hAnsi="Times New Roman"/>
                <w:b/>
                <w:i/>
                <w:sz w:val="24"/>
                <w:szCs w:val="24"/>
                <w:lang w:val="ro-RO"/>
              </w:rPr>
              <w:t xml:space="preserve"> Denumirea autorului şi, după caz, a </w:t>
            </w:r>
            <w:r w:rsidR="00D86D43" w:rsidRPr="007D66FE">
              <w:rPr>
                <w:rFonts w:ascii="Times New Roman" w:hAnsi="Times New Roman"/>
                <w:b/>
                <w:i/>
                <w:sz w:val="24"/>
                <w:szCs w:val="24"/>
                <w:lang w:val="ro-RO"/>
              </w:rPr>
              <w:t>participanților</w:t>
            </w:r>
            <w:r w:rsidRPr="007D66FE">
              <w:rPr>
                <w:rFonts w:ascii="Times New Roman" w:hAnsi="Times New Roman"/>
                <w:b/>
                <w:i/>
                <w:sz w:val="24"/>
                <w:szCs w:val="24"/>
                <w:lang w:val="ro-RO"/>
              </w:rPr>
              <w:t xml:space="preserve"> la elaborarea proiectului</w:t>
            </w:r>
          </w:p>
        </w:tc>
      </w:tr>
      <w:tr w:rsidR="00E33D41" w:rsidRPr="00B05EDA" w:rsidTr="00BD7E71">
        <w:trPr>
          <w:trHeight w:val="1763"/>
        </w:trPr>
        <w:tc>
          <w:tcPr>
            <w:tcW w:w="5000" w:type="pct"/>
          </w:tcPr>
          <w:p w:rsidR="00E33D41" w:rsidRPr="007D66FE" w:rsidRDefault="007F6158" w:rsidP="00BD7E71">
            <w:pPr>
              <w:autoSpaceDE w:val="0"/>
              <w:autoSpaceDN w:val="0"/>
              <w:adjustRightInd w:val="0"/>
              <w:spacing w:after="0" w:line="240" w:lineRule="auto"/>
              <w:ind w:firstLine="720"/>
              <w:jc w:val="both"/>
              <w:rPr>
                <w:rFonts w:ascii="Times New Roman" w:hAnsi="Times New Roman"/>
                <w:bCs/>
                <w:i/>
                <w:iCs/>
                <w:sz w:val="24"/>
                <w:szCs w:val="24"/>
                <w:lang w:val="ro-RO"/>
              </w:rPr>
            </w:pPr>
            <w:r w:rsidRPr="007D66FE">
              <w:rPr>
                <w:rFonts w:ascii="Times New Roman" w:hAnsi="Times New Roman"/>
                <w:sz w:val="24"/>
                <w:szCs w:val="24"/>
                <w:lang w:val="ro-RO"/>
              </w:rPr>
              <w:t xml:space="preserve">În scopul </w:t>
            </w:r>
            <w:r w:rsidR="0039062D" w:rsidRPr="007D66FE">
              <w:rPr>
                <w:rFonts w:ascii="Times New Roman" w:hAnsi="Times New Roman"/>
                <w:sz w:val="24"/>
                <w:szCs w:val="24"/>
                <w:lang w:val="ro-RO"/>
              </w:rPr>
              <w:t>susținerii</w:t>
            </w:r>
            <w:r w:rsidRPr="007D66FE">
              <w:rPr>
                <w:rFonts w:ascii="Times New Roman" w:hAnsi="Times New Roman"/>
                <w:sz w:val="24"/>
                <w:szCs w:val="24"/>
                <w:lang w:val="ro-RO"/>
              </w:rPr>
              <w:t xml:space="preserve"> performanțelor academice ale tinerilor, implicării acestora în </w:t>
            </w:r>
            <w:r w:rsidR="0039062D" w:rsidRPr="007D66FE">
              <w:rPr>
                <w:rFonts w:ascii="Times New Roman" w:hAnsi="Times New Roman"/>
                <w:sz w:val="24"/>
                <w:szCs w:val="24"/>
                <w:lang w:val="ro-RO"/>
              </w:rPr>
              <w:t>soluționarea</w:t>
            </w:r>
            <w:r w:rsidRPr="007D66FE">
              <w:rPr>
                <w:rFonts w:ascii="Times New Roman" w:hAnsi="Times New Roman"/>
                <w:sz w:val="24"/>
                <w:szCs w:val="24"/>
                <w:lang w:val="ro-RO"/>
              </w:rPr>
              <w:t xml:space="preserve"> problemelor social-economice ale</w:t>
            </w:r>
            <w:r w:rsidR="0054168F" w:rsidRPr="007D66FE">
              <w:rPr>
                <w:rFonts w:ascii="Times New Roman" w:hAnsi="Times New Roman"/>
                <w:sz w:val="24"/>
                <w:szCs w:val="24"/>
                <w:lang w:val="ro-RO"/>
              </w:rPr>
              <w:t xml:space="preserve"> statului, Ministerul </w:t>
            </w:r>
            <w:r w:rsidR="0039062D" w:rsidRPr="007D66FE">
              <w:rPr>
                <w:rFonts w:ascii="Times New Roman" w:hAnsi="Times New Roman"/>
                <w:sz w:val="24"/>
                <w:szCs w:val="24"/>
                <w:lang w:val="ro-RO"/>
              </w:rPr>
              <w:t>Educației</w:t>
            </w:r>
            <w:r w:rsidRPr="007D66FE">
              <w:rPr>
                <w:rFonts w:ascii="Times New Roman" w:hAnsi="Times New Roman"/>
                <w:sz w:val="24"/>
                <w:szCs w:val="24"/>
                <w:lang w:val="ro-RO"/>
              </w:rPr>
              <w:t xml:space="preserve"> și Cercetării a elaborat şi propune spre examinare proiectul de Hotărâre de Guvern </w:t>
            </w:r>
            <w:r w:rsidRPr="007D66FE">
              <w:rPr>
                <w:rFonts w:ascii="Times New Roman" w:hAnsi="Times New Roman"/>
                <w:bCs/>
                <w:i/>
                <w:iCs/>
                <w:sz w:val="24"/>
                <w:szCs w:val="24"/>
                <w:lang w:val="ro-RO"/>
              </w:rPr>
              <w:t xml:space="preserve">Cu privire la </w:t>
            </w:r>
            <w:r w:rsidR="0054168F" w:rsidRPr="007D66FE">
              <w:rPr>
                <w:rFonts w:ascii="Times New Roman" w:hAnsi="Times New Roman"/>
                <w:bCs/>
                <w:i/>
                <w:iCs/>
                <w:sz w:val="24"/>
                <w:szCs w:val="24"/>
                <w:lang w:val="ro-RO"/>
              </w:rPr>
              <w:t>aprobarea listelor</w:t>
            </w:r>
            <w:r w:rsidRPr="007D66FE">
              <w:rPr>
                <w:rFonts w:ascii="Times New Roman" w:hAnsi="Times New Roman"/>
                <w:bCs/>
                <w:i/>
                <w:iCs/>
                <w:sz w:val="24"/>
                <w:szCs w:val="24"/>
                <w:lang w:val="ro-RO"/>
              </w:rPr>
              <w:t xml:space="preserve"> </w:t>
            </w:r>
            <w:r w:rsidR="0039062D" w:rsidRPr="007D66FE">
              <w:rPr>
                <w:rFonts w:ascii="Times New Roman" w:hAnsi="Times New Roman"/>
                <w:bCs/>
                <w:i/>
                <w:iCs/>
                <w:sz w:val="24"/>
                <w:szCs w:val="24"/>
                <w:lang w:val="ro-RO"/>
              </w:rPr>
              <w:t>studenților</w:t>
            </w:r>
            <w:r w:rsidR="0054168F" w:rsidRPr="007D66FE">
              <w:rPr>
                <w:rFonts w:ascii="Times New Roman" w:hAnsi="Times New Roman"/>
                <w:bCs/>
                <w:i/>
                <w:iCs/>
                <w:sz w:val="24"/>
                <w:szCs w:val="24"/>
                <w:lang w:val="ro-RO"/>
              </w:rPr>
              <w:t xml:space="preserve"> din </w:t>
            </w:r>
            <w:r w:rsidR="0039062D" w:rsidRPr="007D66FE">
              <w:rPr>
                <w:rFonts w:ascii="Times New Roman" w:hAnsi="Times New Roman"/>
                <w:bCs/>
                <w:i/>
                <w:iCs/>
                <w:sz w:val="24"/>
                <w:szCs w:val="24"/>
                <w:lang w:val="ro-RO"/>
              </w:rPr>
              <w:t>instituțiile</w:t>
            </w:r>
            <w:r w:rsidR="0054168F" w:rsidRPr="007D66FE">
              <w:rPr>
                <w:rFonts w:ascii="Times New Roman" w:hAnsi="Times New Roman"/>
                <w:bCs/>
                <w:i/>
                <w:iCs/>
                <w:sz w:val="24"/>
                <w:szCs w:val="24"/>
                <w:lang w:val="ro-RO"/>
              </w:rPr>
              <w:t xml:space="preserve"> de învățămâ</w:t>
            </w:r>
            <w:r w:rsidRPr="007D66FE">
              <w:rPr>
                <w:rFonts w:ascii="Times New Roman" w:hAnsi="Times New Roman"/>
                <w:bCs/>
                <w:i/>
                <w:iCs/>
                <w:sz w:val="24"/>
                <w:szCs w:val="24"/>
                <w:lang w:val="ro-RO"/>
              </w:rPr>
              <w:t xml:space="preserve">nt superior şi elevilor din </w:t>
            </w:r>
            <w:r w:rsidR="0039062D" w:rsidRPr="007D66FE">
              <w:rPr>
                <w:rFonts w:ascii="Times New Roman" w:hAnsi="Times New Roman"/>
                <w:bCs/>
                <w:i/>
                <w:sz w:val="24"/>
                <w:szCs w:val="24"/>
                <w:lang w:val="ro-RO"/>
              </w:rPr>
              <w:t>instituțiile</w:t>
            </w:r>
            <w:r w:rsidR="00DB1C51" w:rsidRPr="007D66FE">
              <w:rPr>
                <w:rFonts w:ascii="Times New Roman" w:hAnsi="Times New Roman"/>
                <w:bCs/>
                <w:i/>
                <w:sz w:val="24"/>
                <w:szCs w:val="24"/>
                <w:lang w:val="ro-RO"/>
              </w:rPr>
              <w:t xml:space="preserve"> de </w:t>
            </w:r>
            <w:r w:rsidR="0039062D" w:rsidRPr="007D66FE">
              <w:rPr>
                <w:rFonts w:ascii="Times New Roman" w:hAnsi="Times New Roman"/>
                <w:bCs/>
                <w:i/>
                <w:sz w:val="24"/>
                <w:szCs w:val="24"/>
                <w:lang w:val="ro-RO"/>
              </w:rPr>
              <w:t>învățământ</w:t>
            </w:r>
            <w:r w:rsidRPr="007D66FE">
              <w:rPr>
                <w:rFonts w:ascii="Times New Roman" w:hAnsi="Times New Roman"/>
                <w:bCs/>
                <w:i/>
                <w:sz w:val="24"/>
                <w:szCs w:val="24"/>
                <w:lang w:val="ro-RO"/>
              </w:rPr>
              <w:t xml:space="preserve"> profesional tehnic postsecundar</w:t>
            </w:r>
            <w:r w:rsidRPr="007D66FE">
              <w:rPr>
                <w:rFonts w:ascii="Times New Roman" w:hAnsi="Times New Roman"/>
                <w:bCs/>
                <w:i/>
                <w:iCs/>
                <w:sz w:val="24"/>
                <w:szCs w:val="24"/>
                <w:lang w:val="ro-RO"/>
              </w:rPr>
              <w:t xml:space="preserve"> cărora li se acordă </w:t>
            </w:r>
            <w:r w:rsidRPr="007D66FE">
              <w:rPr>
                <w:rFonts w:ascii="Times New Roman" w:hAnsi="Times New Roman"/>
                <w:b/>
                <w:bCs/>
                <w:i/>
                <w:iCs/>
                <w:sz w:val="24"/>
                <w:szCs w:val="24"/>
                <w:lang w:val="ro-RO"/>
              </w:rPr>
              <w:t>burse de merit</w:t>
            </w:r>
            <w:r w:rsidR="0054168F" w:rsidRPr="007D66FE">
              <w:rPr>
                <w:rFonts w:ascii="Times New Roman" w:hAnsi="Times New Roman"/>
                <w:bCs/>
                <w:i/>
                <w:iCs/>
                <w:sz w:val="24"/>
                <w:szCs w:val="24"/>
                <w:lang w:val="ro-RO"/>
              </w:rPr>
              <w:t xml:space="preserve"> în anul de studii </w:t>
            </w:r>
            <w:r w:rsidR="00FD160A" w:rsidRPr="007D66FE">
              <w:rPr>
                <w:rFonts w:ascii="Times New Roman" w:hAnsi="Times New Roman"/>
                <w:bCs/>
                <w:i/>
                <w:iCs/>
                <w:sz w:val="24"/>
                <w:szCs w:val="24"/>
                <w:lang w:val="ro-RO"/>
              </w:rPr>
              <w:t>2023-2024</w:t>
            </w:r>
            <w:r w:rsidRPr="007D66FE">
              <w:rPr>
                <w:rFonts w:ascii="Times New Roman" w:hAnsi="Times New Roman"/>
                <w:bCs/>
                <w:i/>
                <w:iCs/>
                <w:sz w:val="24"/>
                <w:szCs w:val="24"/>
                <w:lang w:val="ro-RO"/>
              </w:rPr>
              <w:t xml:space="preserve">. </w:t>
            </w:r>
          </w:p>
        </w:tc>
      </w:tr>
      <w:tr w:rsidR="00E33D41" w:rsidRPr="00B05EDA" w:rsidTr="00A75AE6">
        <w:tc>
          <w:tcPr>
            <w:tcW w:w="5000" w:type="pct"/>
          </w:tcPr>
          <w:p w:rsidR="00E33D41" w:rsidRPr="007D66FE" w:rsidRDefault="00E33D41" w:rsidP="00BD7E71">
            <w:pPr>
              <w:tabs>
                <w:tab w:val="left" w:pos="884"/>
                <w:tab w:val="left" w:pos="1196"/>
              </w:tabs>
              <w:spacing w:after="0" w:line="240" w:lineRule="auto"/>
              <w:jc w:val="both"/>
              <w:rPr>
                <w:rFonts w:ascii="Times New Roman" w:hAnsi="Times New Roman"/>
                <w:b/>
                <w:i/>
                <w:sz w:val="24"/>
                <w:szCs w:val="24"/>
                <w:lang w:val="ro-RO"/>
              </w:rPr>
            </w:pPr>
            <w:r w:rsidRPr="007D66FE">
              <w:rPr>
                <w:rFonts w:ascii="Times New Roman" w:hAnsi="Times New Roman"/>
                <w:b/>
                <w:i/>
                <w:sz w:val="24"/>
                <w:szCs w:val="24"/>
                <w:lang w:val="ro-RO"/>
              </w:rPr>
              <w:t xml:space="preserve">2. </w:t>
            </w:r>
            <w:r w:rsidR="0039062D" w:rsidRPr="007D66FE">
              <w:rPr>
                <w:rFonts w:ascii="Times New Roman" w:hAnsi="Times New Roman"/>
                <w:b/>
                <w:i/>
                <w:sz w:val="24"/>
                <w:szCs w:val="24"/>
                <w:lang w:val="ro-RO"/>
              </w:rPr>
              <w:t>Condițiile</w:t>
            </w:r>
            <w:r w:rsidRPr="007D66FE">
              <w:rPr>
                <w:rFonts w:ascii="Times New Roman" w:hAnsi="Times New Roman"/>
                <w:b/>
                <w:i/>
                <w:sz w:val="24"/>
                <w:szCs w:val="24"/>
                <w:lang w:val="ro-RO"/>
              </w:rPr>
              <w:t xml:space="preserve"> ce au impus elaborarea proiectului de act normativ şi </w:t>
            </w:r>
            <w:r w:rsidR="0039062D" w:rsidRPr="007D66FE">
              <w:rPr>
                <w:rFonts w:ascii="Times New Roman" w:hAnsi="Times New Roman"/>
                <w:b/>
                <w:i/>
                <w:sz w:val="24"/>
                <w:szCs w:val="24"/>
                <w:lang w:val="ro-RO"/>
              </w:rPr>
              <w:t>finalitățile</w:t>
            </w:r>
            <w:r w:rsidRPr="007D66FE">
              <w:rPr>
                <w:rFonts w:ascii="Times New Roman" w:hAnsi="Times New Roman"/>
                <w:b/>
                <w:i/>
                <w:sz w:val="24"/>
                <w:szCs w:val="24"/>
                <w:lang w:val="ro-RO"/>
              </w:rPr>
              <w:t xml:space="preserve"> urmărite</w:t>
            </w:r>
          </w:p>
        </w:tc>
      </w:tr>
      <w:tr w:rsidR="00E33D41" w:rsidRPr="00B05EDA" w:rsidTr="00A75AE6">
        <w:tc>
          <w:tcPr>
            <w:tcW w:w="5000" w:type="pct"/>
          </w:tcPr>
          <w:p w:rsidR="007F6158" w:rsidRPr="007D66FE" w:rsidRDefault="007F6158" w:rsidP="00BD7E71">
            <w:pPr>
              <w:widowControl w:val="0"/>
              <w:shd w:val="clear" w:color="auto" w:fill="FFFFFF"/>
              <w:tabs>
                <w:tab w:val="left" w:pos="1008"/>
                <w:tab w:val="left" w:pos="9781"/>
              </w:tabs>
              <w:autoSpaceDE w:val="0"/>
              <w:autoSpaceDN w:val="0"/>
              <w:adjustRightInd w:val="0"/>
              <w:spacing w:after="0" w:line="240" w:lineRule="auto"/>
              <w:ind w:firstLine="720"/>
              <w:jc w:val="both"/>
              <w:rPr>
                <w:rFonts w:ascii="Times New Roman" w:hAnsi="Times New Roman"/>
                <w:color w:val="000000"/>
                <w:sz w:val="24"/>
                <w:szCs w:val="24"/>
                <w:lang w:val="ro-RO"/>
              </w:rPr>
            </w:pPr>
            <w:r w:rsidRPr="007D66FE">
              <w:rPr>
                <w:rFonts w:ascii="Times New Roman" w:hAnsi="Times New Roman"/>
                <w:bCs/>
                <w:sz w:val="24"/>
                <w:szCs w:val="24"/>
                <w:lang w:val="ro-RO"/>
              </w:rPr>
              <w:t xml:space="preserve">În </w:t>
            </w:r>
            <w:r w:rsidRPr="007D66FE">
              <w:rPr>
                <w:rFonts w:ascii="Times New Roman" w:hAnsi="Times New Roman"/>
                <w:sz w:val="24"/>
                <w:szCs w:val="24"/>
                <w:lang w:val="ro-RO"/>
              </w:rPr>
              <w:t>corespundere cu</w:t>
            </w:r>
            <w:r w:rsidRPr="007D66FE">
              <w:rPr>
                <w:rFonts w:ascii="Times New Roman" w:hAnsi="Times New Roman"/>
                <w:bCs/>
                <w:color w:val="000000"/>
                <w:sz w:val="24"/>
                <w:szCs w:val="24"/>
                <w:lang w:val="ro-RO"/>
              </w:rPr>
              <w:t xml:space="preserve"> </w:t>
            </w:r>
            <w:r w:rsidRPr="007D66FE">
              <w:rPr>
                <w:rFonts w:ascii="Times New Roman" w:hAnsi="Times New Roman"/>
                <w:bCs/>
                <w:i/>
                <w:color w:val="000000"/>
                <w:sz w:val="24"/>
                <w:szCs w:val="24"/>
                <w:lang w:val="ro-RO"/>
              </w:rPr>
              <w:t xml:space="preserve">Regulamentul cu privire la modul şi </w:t>
            </w:r>
            <w:r w:rsidR="0039062D" w:rsidRPr="007D66FE">
              <w:rPr>
                <w:rFonts w:ascii="Times New Roman" w:hAnsi="Times New Roman"/>
                <w:bCs/>
                <w:i/>
                <w:color w:val="000000"/>
                <w:sz w:val="24"/>
                <w:szCs w:val="24"/>
                <w:lang w:val="ro-RO"/>
              </w:rPr>
              <w:t>condițiile</w:t>
            </w:r>
            <w:r w:rsidRPr="007D66FE">
              <w:rPr>
                <w:rFonts w:ascii="Times New Roman" w:hAnsi="Times New Roman"/>
                <w:bCs/>
                <w:i/>
                <w:color w:val="000000"/>
                <w:sz w:val="24"/>
                <w:szCs w:val="24"/>
                <w:lang w:val="ro-RO"/>
              </w:rPr>
              <w:t xml:space="preserve"> de acordare a burselor pentru </w:t>
            </w:r>
            <w:r w:rsidR="0039062D" w:rsidRPr="007D66FE">
              <w:rPr>
                <w:rFonts w:ascii="Times New Roman" w:hAnsi="Times New Roman"/>
                <w:bCs/>
                <w:i/>
                <w:color w:val="000000"/>
                <w:sz w:val="24"/>
                <w:szCs w:val="24"/>
                <w:lang w:val="ro-RO"/>
              </w:rPr>
              <w:t>studenții</w:t>
            </w:r>
            <w:r w:rsidRPr="007D66FE">
              <w:rPr>
                <w:rFonts w:ascii="Times New Roman" w:hAnsi="Times New Roman"/>
                <w:bCs/>
                <w:i/>
                <w:color w:val="000000"/>
                <w:sz w:val="24"/>
                <w:szCs w:val="24"/>
                <w:lang w:val="ro-RO"/>
              </w:rPr>
              <w:t xml:space="preserve"> ciclul I, ciclul II, studii integrate, învățământ medical şi farmaceu</w:t>
            </w:r>
            <w:r w:rsidR="00DB1C51" w:rsidRPr="007D66FE">
              <w:rPr>
                <w:rFonts w:ascii="Times New Roman" w:hAnsi="Times New Roman"/>
                <w:bCs/>
                <w:i/>
                <w:color w:val="000000"/>
                <w:sz w:val="24"/>
                <w:szCs w:val="24"/>
                <w:lang w:val="ro-RO"/>
              </w:rPr>
              <w:t xml:space="preserve">tic din </w:t>
            </w:r>
            <w:r w:rsidR="0039062D" w:rsidRPr="007D66FE">
              <w:rPr>
                <w:rFonts w:ascii="Times New Roman" w:hAnsi="Times New Roman"/>
                <w:bCs/>
                <w:i/>
                <w:color w:val="000000"/>
                <w:sz w:val="24"/>
                <w:szCs w:val="24"/>
                <w:lang w:val="ro-RO"/>
              </w:rPr>
              <w:t>instituțiile</w:t>
            </w:r>
            <w:r w:rsidR="00DB1C51" w:rsidRPr="007D66FE">
              <w:rPr>
                <w:rFonts w:ascii="Times New Roman" w:hAnsi="Times New Roman"/>
                <w:bCs/>
                <w:i/>
                <w:color w:val="000000"/>
                <w:sz w:val="24"/>
                <w:szCs w:val="24"/>
                <w:lang w:val="ro-RO"/>
              </w:rPr>
              <w:t xml:space="preserve"> de </w:t>
            </w:r>
            <w:r w:rsidR="0063398B" w:rsidRPr="007D66FE">
              <w:rPr>
                <w:rFonts w:ascii="Times New Roman" w:hAnsi="Times New Roman"/>
                <w:bCs/>
                <w:i/>
                <w:color w:val="000000"/>
                <w:sz w:val="24"/>
                <w:szCs w:val="24"/>
                <w:lang w:val="ro-RO"/>
              </w:rPr>
              <w:t>învățământ</w:t>
            </w:r>
            <w:r w:rsidRPr="007D66FE">
              <w:rPr>
                <w:rFonts w:ascii="Times New Roman" w:hAnsi="Times New Roman"/>
                <w:bCs/>
                <w:i/>
                <w:color w:val="000000"/>
                <w:sz w:val="24"/>
                <w:szCs w:val="24"/>
                <w:lang w:val="ro-RO"/>
              </w:rPr>
              <w:t xml:space="preserve"> superior, ele</w:t>
            </w:r>
            <w:r w:rsidR="00DB1C51" w:rsidRPr="007D66FE">
              <w:rPr>
                <w:rFonts w:ascii="Times New Roman" w:hAnsi="Times New Roman"/>
                <w:bCs/>
                <w:i/>
                <w:color w:val="000000"/>
                <w:sz w:val="24"/>
                <w:szCs w:val="24"/>
                <w:lang w:val="ro-RO"/>
              </w:rPr>
              <w:t xml:space="preserve">vii din </w:t>
            </w:r>
            <w:r w:rsidR="0039062D" w:rsidRPr="007D66FE">
              <w:rPr>
                <w:rFonts w:ascii="Times New Roman" w:hAnsi="Times New Roman"/>
                <w:bCs/>
                <w:i/>
                <w:color w:val="000000"/>
                <w:sz w:val="24"/>
                <w:szCs w:val="24"/>
                <w:lang w:val="ro-RO"/>
              </w:rPr>
              <w:t>instituțiile</w:t>
            </w:r>
            <w:r w:rsidR="00DB1C51" w:rsidRPr="007D66FE">
              <w:rPr>
                <w:rFonts w:ascii="Times New Roman" w:hAnsi="Times New Roman"/>
                <w:bCs/>
                <w:i/>
                <w:color w:val="000000"/>
                <w:sz w:val="24"/>
                <w:szCs w:val="24"/>
                <w:lang w:val="ro-RO"/>
              </w:rPr>
              <w:t xml:space="preserve"> de </w:t>
            </w:r>
            <w:r w:rsidR="0063398B" w:rsidRPr="007D66FE">
              <w:rPr>
                <w:rFonts w:ascii="Times New Roman" w:hAnsi="Times New Roman"/>
                <w:bCs/>
                <w:i/>
                <w:color w:val="000000"/>
                <w:sz w:val="24"/>
                <w:szCs w:val="24"/>
                <w:lang w:val="ro-RO"/>
              </w:rPr>
              <w:t>învățământ</w:t>
            </w:r>
            <w:r w:rsidRPr="007D66FE">
              <w:rPr>
                <w:rFonts w:ascii="Times New Roman" w:hAnsi="Times New Roman"/>
                <w:bCs/>
                <w:i/>
                <w:color w:val="000000"/>
                <w:sz w:val="24"/>
                <w:szCs w:val="24"/>
                <w:lang w:val="ro-RO"/>
              </w:rPr>
              <w:t xml:space="preserve"> </w:t>
            </w:r>
            <w:r w:rsidRPr="007D66FE">
              <w:rPr>
                <w:rFonts w:ascii="Times New Roman" w:hAnsi="Times New Roman"/>
                <w:bCs/>
                <w:i/>
                <w:color w:val="000000"/>
                <w:sz w:val="24"/>
                <w:szCs w:val="24"/>
                <w:lang w:val="ro-RO" w:eastAsia="zh-CN"/>
              </w:rPr>
              <w:t>profesional tehnic postsecundar şi postsecundar nonterţiar şi profesional tehnic secundar,</w:t>
            </w:r>
            <w:r w:rsidRPr="007D66FE">
              <w:rPr>
                <w:rFonts w:ascii="Times New Roman" w:hAnsi="Times New Roman"/>
                <w:bCs/>
                <w:i/>
                <w:color w:val="000000"/>
                <w:sz w:val="24"/>
                <w:szCs w:val="24"/>
                <w:lang w:val="ro-RO"/>
              </w:rPr>
              <w:t xml:space="preserve"> pers</w:t>
            </w:r>
            <w:r w:rsidR="00DB1C51" w:rsidRPr="007D66FE">
              <w:rPr>
                <w:rFonts w:ascii="Times New Roman" w:hAnsi="Times New Roman"/>
                <w:bCs/>
                <w:i/>
                <w:color w:val="000000"/>
                <w:sz w:val="24"/>
                <w:szCs w:val="24"/>
                <w:lang w:val="ro-RO"/>
              </w:rPr>
              <w:t xml:space="preserve">oanele care studiază în </w:t>
            </w:r>
            <w:r w:rsidR="0063398B" w:rsidRPr="007D66FE">
              <w:rPr>
                <w:rFonts w:ascii="Times New Roman" w:hAnsi="Times New Roman"/>
                <w:bCs/>
                <w:i/>
                <w:color w:val="000000"/>
                <w:sz w:val="24"/>
                <w:szCs w:val="24"/>
                <w:lang w:val="ro-RO"/>
              </w:rPr>
              <w:t>învățământul</w:t>
            </w:r>
            <w:r w:rsidRPr="007D66FE">
              <w:rPr>
                <w:rFonts w:ascii="Times New Roman" w:hAnsi="Times New Roman"/>
                <w:bCs/>
                <w:i/>
                <w:color w:val="000000"/>
                <w:sz w:val="24"/>
                <w:szCs w:val="24"/>
                <w:lang w:val="ro-RO"/>
              </w:rPr>
              <w:t xml:space="preserve"> postuniversitar</w:t>
            </w:r>
            <w:r w:rsidRPr="007D66FE">
              <w:rPr>
                <w:rFonts w:ascii="Times New Roman" w:hAnsi="Times New Roman"/>
                <w:bCs/>
                <w:color w:val="000000"/>
                <w:sz w:val="24"/>
                <w:szCs w:val="24"/>
                <w:lang w:val="ro-RO"/>
              </w:rPr>
              <w:t>, aprobat prin</w:t>
            </w:r>
            <w:r w:rsidRPr="007D66FE">
              <w:rPr>
                <w:rFonts w:ascii="Times New Roman" w:hAnsi="Times New Roman"/>
                <w:sz w:val="24"/>
                <w:szCs w:val="24"/>
                <w:lang w:val="ro-RO"/>
              </w:rPr>
              <w:t xml:space="preserve"> </w:t>
            </w:r>
            <w:r w:rsidR="00F84B77" w:rsidRPr="007D66FE">
              <w:rPr>
                <w:rFonts w:ascii="Times New Roman" w:hAnsi="Times New Roman"/>
                <w:b/>
                <w:sz w:val="24"/>
                <w:szCs w:val="24"/>
                <w:lang w:val="ro-RO"/>
              </w:rPr>
              <w:t>Hotărâ</w:t>
            </w:r>
            <w:r w:rsidRPr="007D66FE">
              <w:rPr>
                <w:rFonts w:ascii="Times New Roman" w:hAnsi="Times New Roman"/>
                <w:b/>
                <w:sz w:val="24"/>
                <w:szCs w:val="24"/>
                <w:lang w:val="ro-RO"/>
              </w:rPr>
              <w:t>rea Guvernului nr. 1009 din 01.09.2006,</w:t>
            </w:r>
            <w:r w:rsidRPr="007D66FE">
              <w:rPr>
                <w:rFonts w:ascii="Times New Roman" w:hAnsi="Times New Roman"/>
                <w:sz w:val="24"/>
                <w:szCs w:val="24"/>
                <w:lang w:val="ro-RO"/>
              </w:rPr>
              <w:t xml:space="preserve"> </w:t>
            </w:r>
            <w:r w:rsidRPr="007D66FE">
              <w:rPr>
                <w:rFonts w:ascii="Times New Roman" w:hAnsi="Times New Roman"/>
                <w:color w:val="000000"/>
                <w:sz w:val="24"/>
                <w:szCs w:val="24"/>
                <w:lang w:val="ro-RO"/>
              </w:rPr>
              <w:t>în învățământul superior şi profesional tehnic postsecundar</w:t>
            </w:r>
            <w:r w:rsidR="00214E08" w:rsidRPr="007D66FE">
              <w:rPr>
                <w:rFonts w:ascii="Times New Roman" w:hAnsi="Times New Roman"/>
                <w:color w:val="000000"/>
                <w:sz w:val="24"/>
                <w:szCs w:val="24"/>
                <w:lang w:val="ro-RO"/>
              </w:rPr>
              <w:t xml:space="preserve"> și postsecundar </w:t>
            </w:r>
            <w:r w:rsidR="005C227F" w:rsidRPr="007D66FE">
              <w:rPr>
                <w:rFonts w:ascii="Times New Roman" w:hAnsi="Times New Roman"/>
                <w:color w:val="000000"/>
                <w:sz w:val="24"/>
                <w:szCs w:val="24"/>
                <w:lang w:val="ro-RO"/>
              </w:rPr>
              <w:t>nonterţiar</w:t>
            </w:r>
            <w:r w:rsidRPr="007D66FE">
              <w:rPr>
                <w:rFonts w:ascii="Times New Roman" w:hAnsi="Times New Roman"/>
                <w:color w:val="000000"/>
                <w:sz w:val="24"/>
                <w:szCs w:val="24"/>
                <w:lang w:val="ro-RO"/>
              </w:rPr>
              <w:t xml:space="preserve">, la învățământul cu frecvență, se acordă următoarele tipuri de burse de merit, </w:t>
            </w:r>
            <w:r w:rsidR="0039062D" w:rsidRPr="007D66FE">
              <w:rPr>
                <w:rFonts w:ascii="Times New Roman" w:hAnsi="Times New Roman"/>
                <w:color w:val="000000"/>
                <w:sz w:val="24"/>
                <w:szCs w:val="24"/>
                <w:lang w:val="ro-RO"/>
              </w:rPr>
              <w:t>finanțate</w:t>
            </w:r>
            <w:r w:rsidRPr="007D66FE">
              <w:rPr>
                <w:rFonts w:ascii="Times New Roman" w:hAnsi="Times New Roman"/>
                <w:color w:val="000000"/>
                <w:sz w:val="24"/>
                <w:szCs w:val="24"/>
                <w:lang w:val="ro-RO"/>
              </w:rPr>
              <w:t xml:space="preserve"> din bugetul de stat, </w:t>
            </w:r>
            <w:r w:rsidRPr="007D66FE">
              <w:rPr>
                <w:rFonts w:ascii="Times New Roman" w:hAnsi="Times New Roman"/>
                <w:b/>
                <w:color w:val="000000"/>
                <w:sz w:val="24"/>
                <w:szCs w:val="24"/>
                <w:lang w:val="ro-RO"/>
              </w:rPr>
              <w:t xml:space="preserve">majorate, </w:t>
            </w:r>
            <w:r w:rsidRPr="007D66FE">
              <w:rPr>
                <w:rFonts w:ascii="Times New Roman" w:hAnsi="Times New Roman"/>
                <w:color w:val="000000"/>
                <w:sz w:val="24"/>
                <w:szCs w:val="24"/>
                <w:lang w:val="ro-RO"/>
              </w:rPr>
              <w:t>în urma indexării</w:t>
            </w:r>
            <w:r w:rsidR="00DB1C51" w:rsidRPr="007D66FE">
              <w:rPr>
                <w:rFonts w:ascii="Times New Roman" w:hAnsi="Times New Roman"/>
                <w:b/>
                <w:color w:val="000000"/>
                <w:sz w:val="24"/>
                <w:szCs w:val="24"/>
                <w:lang w:val="ro-RO"/>
              </w:rPr>
              <w:t xml:space="preserve">, prin </w:t>
            </w:r>
            <w:r w:rsidR="0039062D" w:rsidRPr="007D66FE">
              <w:rPr>
                <w:rFonts w:ascii="Times New Roman" w:hAnsi="Times New Roman"/>
                <w:b/>
                <w:color w:val="000000"/>
                <w:sz w:val="24"/>
                <w:szCs w:val="24"/>
                <w:lang w:val="ro-RO"/>
              </w:rPr>
              <w:t>Hotărârea</w:t>
            </w:r>
            <w:r w:rsidR="0054168F" w:rsidRPr="007D66FE">
              <w:rPr>
                <w:rFonts w:ascii="Times New Roman" w:hAnsi="Times New Roman"/>
                <w:b/>
                <w:color w:val="000000"/>
                <w:sz w:val="24"/>
                <w:szCs w:val="24"/>
                <w:lang w:val="ro-RO"/>
              </w:rPr>
              <w:t xml:space="preserve"> de Guvern nr. </w:t>
            </w:r>
            <w:r w:rsidR="00FD160A" w:rsidRPr="007D66FE">
              <w:rPr>
                <w:rFonts w:ascii="Times New Roman" w:hAnsi="Times New Roman"/>
                <w:b/>
                <w:color w:val="000000"/>
                <w:sz w:val="24"/>
                <w:szCs w:val="24"/>
                <w:lang w:val="ro-RO"/>
              </w:rPr>
              <w:t>69</w:t>
            </w:r>
            <w:r w:rsidR="0054168F" w:rsidRPr="007D66FE">
              <w:rPr>
                <w:rFonts w:ascii="Times New Roman" w:hAnsi="Times New Roman"/>
                <w:b/>
                <w:color w:val="000000"/>
                <w:sz w:val="24"/>
                <w:szCs w:val="24"/>
                <w:lang w:val="ro-RO"/>
              </w:rPr>
              <w:t>/202</w:t>
            </w:r>
            <w:r w:rsidR="00FD160A" w:rsidRPr="007D66FE">
              <w:rPr>
                <w:rFonts w:ascii="Times New Roman" w:hAnsi="Times New Roman"/>
                <w:b/>
                <w:color w:val="000000"/>
                <w:sz w:val="24"/>
                <w:szCs w:val="24"/>
                <w:lang w:val="ro-RO"/>
              </w:rPr>
              <w:t>3</w:t>
            </w:r>
            <w:r w:rsidRPr="007D66FE">
              <w:rPr>
                <w:rFonts w:ascii="Times New Roman" w:hAnsi="Times New Roman"/>
                <w:b/>
                <w:color w:val="000000"/>
                <w:sz w:val="24"/>
                <w:szCs w:val="24"/>
                <w:lang w:val="ro-RO"/>
              </w:rPr>
              <w:t>:</w:t>
            </w:r>
          </w:p>
          <w:p w:rsidR="007F6158" w:rsidRPr="007D66FE" w:rsidRDefault="007F6158" w:rsidP="00BD7E71">
            <w:pPr>
              <w:numPr>
                <w:ilvl w:val="0"/>
                <w:numId w:val="3"/>
              </w:numPr>
              <w:spacing w:after="0" w:line="240" w:lineRule="auto"/>
              <w:ind w:left="0" w:firstLine="0"/>
              <w:jc w:val="both"/>
              <w:rPr>
                <w:rFonts w:ascii="Times New Roman" w:hAnsi="Times New Roman"/>
                <w:color w:val="000000"/>
                <w:sz w:val="24"/>
                <w:szCs w:val="24"/>
                <w:lang w:val="ro-RO"/>
              </w:rPr>
            </w:pPr>
            <w:r w:rsidRPr="007D66FE">
              <w:rPr>
                <w:rFonts w:ascii="Times New Roman" w:hAnsi="Times New Roman"/>
                <w:b/>
                <w:color w:val="000000"/>
                <w:sz w:val="24"/>
                <w:szCs w:val="24"/>
                <w:lang w:val="ro-RO"/>
              </w:rPr>
              <w:t>Bursa Republicii</w:t>
            </w:r>
            <w:r w:rsidRPr="007D66FE">
              <w:rPr>
                <w:rFonts w:ascii="Times New Roman" w:hAnsi="Times New Roman"/>
                <w:color w:val="000000"/>
                <w:sz w:val="24"/>
                <w:szCs w:val="24"/>
                <w:lang w:val="ro-RO"/>
              </w:rPr>
              <w:t xml:space="preserve"> - </w:t>
            </w:r>
            <w:r w:rsidRPr="007D66FE">
              <w:rPr>
                <w:rFonts w:ascii="Times New Roman" w:hAnsi="Times New Roman"/>
                <w:b/>
                <w:color w:val="000000"/>
                <w:sz w:val="24"/>
                <w:szCs w:val="24"/>
                <w:lang w:val="ro-RO"/>
              </w:rPr>
              <w:t>12 burse</w:t>
            </w:r>
            <w:r w:rsidRPr="007D66FE">
              <w:rPr>
                <w:rFonts w:ascii="Times New Roman" w:hAnsi="Times New Roman"/>
                <w:color w:val="000000"/>
                <w:sz w:val="24"/>
                <w:szCs w:val="24"/>
                <w:lang w:val="ro-RO"/>
              </w:rPr>
              <w:t xml:space="preserve"> pentru </w:t>
            </w:r>
            <w:r w:rsidR="0039062D" w:rsidRPr="007D66FE">
              <w:rPr>
                <w:rFonts w:ascii="Times New Roman" w:hAnsi="Times New Roman"/>
                <w:color w:val="000000"/>
                <w:sz w:val="24"/>
                <w:szCs w:val="24"/>
                <w:lang w:val="ro-RO"/>
              </w:rPr>
              <w:t>studenții</w:t>
            </w:r>
            <w:r w:rsidRPr="007D66FE">
              <w:rPr>
                <w:rFonts w:ascii="Times New Roman" w:hAnsi="Times New Roman"/>
                <w:color w:val="000000"/>
                <w:sz w:val="24"/>
                <w:szCs w:val="24"/>
                <w:lang w:val="ro-RO"/>
              </w:rPr>
              <w:t xml:space="preserve"> ciclului I, ciclului II, studii integrate, învățământ medical şi farmaceutic din </w:t>
            </w:r>
            <w:r w:rsidR="0039062D" w:rsidRPr="007D66FE">
              <w:rPr>
                <w:rFonts w:ascii="Times New Roman" w:hAnsi="Times New Roman"/>
                <w:color w:val="000000"/>
                <w:sz w:val="24"/>
                <w:szCs w:val="24"/>
                <w:lang w:val="ro-RO"/>
              </w:rPr>
              <w:t>instituțiile</w:t>
            </w:r>
            <w:r w:rsidRPr="007D66FE">
              <w:rPr>
                <w:rFonts w:ascii="Times New Roman" w:hAnsi="Times New Roman"/>
                <w:color w:val="000000"/>
                <w:sz w:val="24"/>
                <w:szCs w:val="24"/>
                <w:lang w:val="ro-RO"/>
              </w:rPr>
              <w:t xml:space="preserve"> de învățământ superior (</w:t>
            </w:r>
            <w:r w:rsidR="00507B31" w:rsidRPr="007D66FE">
              <w:rPr>
                <w:rFonts w:ascii="Times New Roman" w:hAnsi="Times New Roman"/>
                <w:b/>
                <w:color w:val="000000"/>
                <w:sz w:val="24"/>
                <w:szCs w:val="24"/>
                <w:lang w:val="ro-RO"/>
              </w:rPr>
              <w:t>2030</w:t>
            </w:r>
            <w:r w:rsidR="0054168F" w:rsidRPr="007D66FE">
              <w:rPr>
                <w:rFonts w:ascii="Times New Roman" w:hAnsi="Times New Roman"/>
                <w:b/>
                <w:color w:val="000000"/>
                <w:sz w:val="24"/>
                <w:szCs w:val="24"/>
                <w:lang w:val="ro-RO"/>
              </w:rPr>
              <w:t xml:space="preserve"> </w:t>
            </w:r>
            <w:r w:rsidRPr="007D66FE">
              <w:rPr>
                <w:rFonts w:ascii="Times New Roman" w:hAnsi="Times New Roman"/>
                <w:b/>
                <w:color w:val="000000"/>
                <w:sz w:val="24"/>
                <w:szCs w:val="24"/>
                <w:lang w:val="ro-RO"/>
              </w:rPr>
              <w:t>lei</w:t>
            </w:r>
            <w:r w:rsidRPr="007D66FE">
              <w:rPr>
                <w:rFonts w:ascii="Times New Roman" w:hAnsi="Times New Roman"/>
                <w:color w:val="000000"/>
                <w:sz w:val="24"/>
                <w:szCs w:val="24"/>
                <w:lang w:val="ro-RO"/>
              </w:rPr>
              <w:t>);</w:t>
            </w:r>
          </w:p>
          <w:p w:rsidR="007F6158" w:rsidRPr="007D66FE" w:rsidRDefault="007F6158" w:rsidP="00BD7E71">
            <w:pPr>
              <w:numPr>
                <w:ilvl w:val="0"/>
                <w:numId w:val="3"/>
              </w:numPr>
              <w:spacing w:after="0" w:line="240" w:lineRule="auto"/>
              <w:ind w:left="0" w:firstLine="0"/>
              <w:jc w:val="both"/>
              <w:rPr>
                <w:rFonts w:ascii="Times New Roman" w:hAnsi="Times New Roman"/>
                <w:color w:val="000000"/>
                <w:sz w:val="24"/>
                <w:szCs w:val="24"/>
                <w:lang w:val="ro-RO"/>
              </w:rPr>
            </w:pPr>
            <w:r w:rsidRPr="007D66FE">
              <w:rPr>
                <w:rFonts w:ascii="Times New Roman" w:hAnsi="Times New Roman"/>
                <w:b/>
                <w:color w:val="000000"/>
                <w:sz w:val="24"/>
                <w:szCs w:val="24"/>
                <w:lang w:val="ro-RO"/>
              </w:rPr>
              <w:t>Bursa Guvernului</w:t>
            </w:r>
            <w:r w:rsidRPr="007D66FE">
              <w:rPr>
                <w:rFonts w:ascii="Times New Roman" w:hAnsi="Times New Roman"/>
                <w:color w:val="000000"/>
                <w:sz w:val="24"/>
                <w:szCs w:val="24"/>
                <w:lang w:val="ro-RO"/>
              </w:rPr>
              <w:t xml:space="preserve"> - </w:t>
            </w:r>
            <w:r w:rsidRPr="007D66FE">
              <w:rPr>
                <w:rFonts w:ascii="Times New Roman" w:hAnsi="Times New Roman"/>
                <w:b/>
                <w:color w:val="000000"/>
                <w:sz w:val="24"/>
                <w:szCs w:val="24"/>
                <w:lang w:val="ro-RO"/>
              </w:rPr>
              <w:t>30 burse</w:t>
            </w:r>
            <w:r w:rsidRPr="007D66FE">
              <w:rPr>
                <w:rFonts w:ascii="Times New Roman" w:hAnsi="Times New Roman"/>
                <w:color w:val="000000"/>
                <w:sz w:val="24"/>
                <w:szCs w:val="24"/>
                <w:lang w:val="ro-RO"/>
              </w:rPr>
              <w:t xml:space="preserve"> pentru </w:t>
            </w:r>
            <w:r w:rsidR="0039062D" w:rsidRPr="007D66FE">
              <w:rPr>
                <w:rFonts w:ascii="Times New Roman" w:hAnsi="Times New Roman"/>
                <w:color w:val="000000"/>
                <w:sz w:val="24"/>
                <w:szCs w:val="24"/>
                <w:lang w:val="ro-RO"/>
              </w:rPr>
              <w:t>studenții</w:t>
            </w:r>
            <w:r w:rsidRPr="007D66FE">
              <w:rPr>
                <w:rFonts w:ascii="Times New Roman" w:hAnsi="Times New Roman"/>
                <w:color w:val="000000"/>
                <w:sz w:val="24"/>
                <w:szCs w:val="24"/>
                <w:lang w:val="ro-RO"/>
              </w:rPr>
              <w:t xml:space="preserve"> ciclului I, ciclului II, studii integrate, învățământ medical şi farmaceutic din </w:t>
            </w:r>
            <w:r w:rsidR="0039062D" w:rsidRPr="007D66FE">
              <w:rPr>
                <w:rFonts w:ascii="Times New Roman" w:hAnsi="Times New Roman"/>
                <w:color w:val="000000"/>
                <w:sz w:val="24"/>
                <w:szCs w:val="24"/>
                <w:lang w:val="ro-RO"/>
              </w:rPr>
              <w:t>instituțiile</w:t>
            </w:r>
            <w:r w:rsidRPr="007D66FE">
              <w:rPr>
                <w:rFonts w:ascii="Times New Roman" w:hAnsi="Times New Roman"/>
                <w:color w:val="000000"/>
                <w:sz w:val="24"/>
                <w:szCs w:val="24"/>
                <w:lang w:val="ro-RO"/>
              </w:rPr>
              <w:t xml:space="preserve"> de învățământ superior (</w:t>
            </w:r>
            <w:r w:rsidR="00507B31" w:rsidRPr="007D66FE">
              <w:rPr>
                <w:rFonts w:ascii="Times New Roman" w:hAnsi="Times New Roman"/>
                <w:b/>
                <w:color w:val="000000"/>
                <w:sz w:val="24"/>
                <w:szCs w:val="24"/>
                <w:lang w:val="ro-RO"/>
              </w:rPr>
              <w:t>1690</w:t>
            </w:r>
            <w:r w:rsidRPr="007D66FE">
              <w:rPr>
                <w:rFonts w:ascii="Times New Roman" w:hAnsi="Times New Roman"/>
                <w:b/>
                <w:color w:val="000000"/>
                <w:sz w:val="24"/>
                <w:szCs w:val="24"/>
                <w:lang w:val="ro-RO"/>
              </w:rPr>
              <w:t xml:space="preserve"> lei</w:t>
            </w:r>
            <w:r w:rsidRPr="007D66FE">
              <w:rPr>
                <w:rFonts w:ascii="Times New Roman" w:hAnsi="Times New Roman"/>
                <w:color w:val="000000"/>
                <w:sz w:val="24"/>
                <w:szCs w:val="24"/>
                <w:lang w:val="ro-RO"/>
              </w:rPr>
              <w:t xml:space="preserve">); </w:t>
            </w:r>
          </w:p>
          <w:p w:rsidR="007F6158" w:rsidRPr="007D66FE" w:rsidRDefault="007F6158" w:rsidP="00BD7E71">
            <w:pPr>
              <w:numPr>
                <w:ilvl w:val="0"/>
                <w:numId w:val="3"/>
              </w:numPr>
              <w:spacing w:after="0" w:line="240" w:lineRule="auto"/>
              <w:ind w:left="0" w:firstLine="0"/>
              <w:jc w:val="both"/>
              <w:rPr>
                <w:rFonts w:ascii="Times New Roman" w:hAnsi="Times New Roman"/>
                <w:color w:val="000000"/>
                <w:sz w:val="24"/>
                <w:szCs w:val="24"/>
                <w:lang w:val="ro-RO"/>
              </w:rPr>
            </w:pPr>
            <w:r w:rsidRPr="007D66FE">
              <w:rPr>
                <w:rFonts w:ascii="Times New Roman" w:hAnsi="Times New Roman"/>
                <w:b/>
                <w:color w:val="000000"/>
                <w:sz w:val="24"/>
                <w:szCs w:val="24"/>
                <w:lang w:val="ro-RO"/>
              </w:rPr>
              <w:t>Bursa "Gaudeamus</w:t>
            </w:r>
            <w:r w:rsidRPr="007D66FE">
              <w:rPr>
                <w:rFonts w:ascii="Times New Roman" w:hAnsi="Times New Roman"/>
                <w:color w:val="000000"/>
                <w:sz w:val="24"/>
                <w:szCs w:val="24"/>
                <w:lang w:val="ro-RO"/>
              </w:rPr>
              <w:t xml:space="preserve">" - </w:t>
            </w:r>
            <w:r w:rsidRPr="007D66FE">
              <w:rPr>
                <w:rFonts w:ascii="Times New Roman" w:hAnsi="Times New Roman"/>
                <w:b/>
                <w:color w:val="000000"/>
                <w:sz w:val="24"/>
                <w:szCs w:val="24"/>
                <w:lang w:val="ro-RO"/>
              </w:rPr>
              <w:t>20 burse</w:t>
            </w:r>
            <w:r w:rsidRPr="007D66FE">
              <w:rPr>
                <w:rFonts w:ascii="Times New Roman" w:hAnsi="Times New Roman"/>
                <w:color w:val="000000"/>
                <w:sz w:val="24"/>
                <w:szCs w:val="24"/>
                <w:lang w:val="ro-RO"/>
              </w:rPr>
              <w:t xml:space="preserve"> pentru elevii din </w:t>
            </w:r>
            <w:r w:rsidR="0039062D" w:rsidRPr="007D66FE">
              <w:rPr>
                <w:rFonts w:ascii="Times New Roman" w:hAnsi="Times New Roman"/>
                <w:color w:val="000000"/>
                <w:sz w:val="24"/>
                <w:szCs w:val="24"/>
                <w:lang w:val="ro-RO"/>
              </w:rPr>
              <w:t>instituțiile</w:t>
            </w:r>
            <w:r w:rsidRPr="007D66FE">
              <w:rPr>
                <w:rFonts w:ascii="Times New Roman" w:hAnsi="Times New Roman"/>
                <w:color w:val="000000"/>
                <w:sz w:val="24"/>
                <w:szCs w:val="24"/>
                <w:lang w:val="ro-RO"/>
              </w:rPr>
              <w:t xml:space="preserve"> de învățământ profesional tehnic</w:t>
            </w:r>
            <w:r w:rsidR="00214E08" w:rsidRPr="007D66FE">
              <w:rPr>
                <w:rFonts w:ascii="Times New Roman" w:hAnsi="Times New Roman"/>
                <w:color w:val="000000"/>
                <w:sz w:val="24"/>
                <w:szCs w:val="24"/>
                <w:lang w:val="ro-RO"/>
              </w:rPr>
              <w:t xml:space="preserve"> postsecundar </w:t>
            </w:r>
            <w:r w:rsidRPr="007D66FE">
              <w:rPr>
                <w:rFonts w:ascii="Times New Roman" w:hAnsi="Times New Roman"/>
                <w:b/>
                <w:color w:val="000000"/>
                <w:sz w:val="24"/>
                <w:szCs w:val="24"/>
                <w:lang w:val="ro-RO"/>
              </w:rPr>
              <w:t>(</w:t>
            </w:r>
            <w:r w:rsidR="00507B31" w:rsidRPr="007D66FE">
              <w:rPr>
                <w:rStyle w:val="docbody1"/>
                <w:b/>
                <w:szCs w:val="24"/>
                <w:lang w:val="ro-RO"/>
              </w:rPr>
              <w:t>1230</w:t>
            </w:r>
            <w:r w:rsidRPr="007D66FE">
              <w:rPr>
                <w:rFonts w:ascii="Times New Roman" w:hAnsi="Times New Roman"/>
                <w:b/>
                <w:color w:val="000000"/>
                <w:sz w:val="24"/>
                <w:szCs w:val="24"/>
                <w:lang w:val="ro-RO"/>
              </w:rPr>
              <w:t xml:space="preserve"> lei</w:t>
            </w:r>
            <w:r w:rsidRPr="007D66FE">
              <w:rPr>
                <w:rFonts w:ascii="Times New Roman" w:hAnsi="Times New Roman"/>
                <w:color w:val="000000"/>
                <w:sz w:val="24"/>
                <w:szCs w:val="24"/>
                <w:lang w:val="ro-RO"/>
              </w:rPr>
              <w:t>)</w:t>
            </w:r>
            <w:r w:rsidR="005C227F" w:rsidRPr="007D66FE">
              <w:rPr>
                <w:rFonts w:ascii="Times New Roman" w:hAnsi="Times New Roman"/>
                <w:color w:val="000000"/>
                <w:sz w:val="24"/>
                <w:szCs w:val="24"/>
                <w:lang w:val="ro-RO"/>
              </w:rPr>
              <w:t>.</w:t>
            </w:r>
          </w:p>
          <w:p w:rsidR="00E33D41" w:rsidRDefault="007F6158" w:rsidP="00BD7E71">
            <w:pPr>
              <w:spacing w:after="0" w:line="240" w:lineRule="auto"/>
              <w:ind w:firstLine="720"/>
              <w:jc w:val="both"/>
              <w:rPr>
                <w:rFonts w:ascii="Times New Roman" w:hAnsi="Times New Roman"/>
                <w:color w:val="000000"/>
                <w:sz w:val="24"/>
                <w:szCs w:val="24"/>
                <w:lang w:val="ro-RO"/>
              </w:rPr>
            </w:pPr>
            <w:r w:rsidRPr="007D66FE">
              <w:rPr>
                <w:rFonts w:ascii="Times New Roman" w:hAnsi="Times New Roman"/>
                <w:color w:val="000000"/>
                <w:sz w:val="24"/>
                <w:szCs w:val="24"/>
                <w:lang w:val="ro-RO"/>
              </w:rPr>
              <w:t xml:space="preserve">Listele </w:t>
            </w:r>
            <w:r w:rsidR="0039062D" w:rsidRPr="007D66FE">
              <w:rPr>
                <w:rFonts w:ascii="Times New Roman" w:hAnsi="Times New Roman"/>
                <w:color w:val="000000"/>
                <w:sz w:val="24"/>
                <w:szCs w:val="24"/>
                <w:lang w:val="ro-RO"/>
              </w:rPr>
              <w:t>candidaților</w:t>
            </w:r>
            <w:r w:rsidRPr="007D66FE">
              <w:rPr>
                <w:rFonts w:ascii="Times New Roman" w:hAnsi="Times New Roman"/>
                <w:color w:val="000000"/>
                <w:sz w:val="24"/>
                <w:szCs w:val="24"/>
                <w:lang w:val="ro-RO"/>
              </w:rPr>
              <w:t xml:space="preserve"> la bursele de merit au fost aprobate în cadrul senatelor </w:t>
            </w:r>
            <w:r w:rsidR="0039062D" w:rsidRPr="007D66FE">
              <w:rPr>
                <w:rFonts w:ascii="Times New Roman" w:hAnsi="Times New Roman"/>
                <w:color w:val="000000"/>
                <w:sz w:val="24"/>
                <w:szCs w:val="24"/>
                <w:lang w:val="ro-RO"/>
              </w:rPr>
              <w:t>instituțiilor</w:t>
            </w:r>
            <w:r w:rsidRPr="007D66FE">
              <w:rPr>
                <w:rFonts w:ascii="Times New Roman" w:hAnsi="Times New Roman"/>
                <w:color w:val="000000"/>
                <w:sz w:val="24"/>
                <w:szCs w:val="24"/>
                <w:lang w:val="ro-RO"/>
              </w:rPr>
              <w:t xml:space="preserve"> de învățământ superior şi consiliilor profesorale ale </w:t>
            </w:r>
            <w:r w:rsidR="0039062D" w:rsidRPr="007D66FE">
              <w:rPr>
                <w:rFonts w:ascii="Times New Roman" w:hAnsi="Times New Roman"/>
                <w:color w:val="000000"/>
                <w:sz w:val="24"/>
                <w:szCs w:val="24"/>
                <w:lang w:val="ro-RO"/>
              </w:rPr>
              <w:t>instituțiilor</w:t>
            </w:r>
            <w:r w:rsidRPr="007D66FE">
              <w:rPr>
                <w:rFonts w:ascii="Times New Roman" w:hAnsi="Times New Roman"/>
                <w:color w:val="000000"/>
                <w:sz w:val="24"/>
                <w:szCs w:val="24"/>
                <w:lang w:val="ro-RO"/>
              </w:rPr>
              <w:t xml:space="preserve"> de învățământ profesional tehnic postsecundar.</w:t>
            </w:r>
          </w:p>
          <w:p w:rsidR="00BD7E71" w:rsidRDefault="00BD7E71" w:rsidP="00BD7E71">
            <w:pPr>
              <w:spacing w:after="0" w:line="240" w:lineRule="auto"/>
              <w:ind w:firstLine="720"/>
              <w:jc w:val="both"/>
              <w:rPr>
                <w:rFonts w:ascii="Times New Roman" w:hAnsi="Times New Roman"/>
                <w:color w:val="000000"/>
                <w:sz w:val="24"/>
                <w:szCs w:val="24"/>
                <w:lang w:val="ro-RO"/>
              </w:rPr>
            </w:pPr>
            <w:r w:rsidRPr="007D66FE">
              <w:rPr>
                <w:rFonts w:ascii="Times New Roman" w:hAnsi="Times New Roman"/>
                <w:sz w:val="24"/>
                <w:szCs w:val="24"/>
                <w:lang w:val="ro-RO"/>
              </w:rPr>
              <w:t xml:space="preserve">Proiectul respectiv se înscrie în politica promovată de Ministerul Educației și Cercetării pentru fortificarea sistemului învățământului superior în direcția înscrierii acestuia în spațiul european al învățământului superior, precum şi pentru asigurarea creșterii atractivității şi competitivității naționale/internaționale a instituțiilor de învățământ superior și </w:t>
            </w:r>
            <w:r w:rsidRPr="007D66FE">
              <w:rPr>
                <w:rFonts w:ascii="Times New Roman" w:hAnsi="Times New Roman"/>
                <w:bCs/>
                <w:sz w:val="24"/>
                <w:szCs w:val="24"/>
                <w:lang w:val="ro-RO"/>
              </w:rPr>
              <w:t>profesional tehnic postsecundar</w:t>
            </w:r>
            <w:r w:rsidRPr="007D66FE">
              <w:rPr>
                <w:rFonts w:ascii="Times New Roman" w:hAnsi="Times New Roman"/>
                <w:sz w:val="24"/>
                <w:szCs w:val="24"/>
                <w:lang w:val="ro-RO"/>
              </w:rPr>
              <w:t xml:space="preserve"> din țară, prin susținerea performanței și meritocrației.</w:t>
            </w:r>
          </w:p>
          <w:p w:rsidR="00BD7E71" w:rsidRPr="007D66FE" w:rsidRDefault="00BD7E71" w:rsidP="00BD7E71">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Se propune punerea în aplicare a p</w:t>
            </w:r>
            <w:r w:rsidRPr="007D66FE">
              <w:rPr>
                <w:rFonts w:ascii="Times New Roman" w:hAnsi="Times New Roman"/>
                <w:sz w:val="24"/>
                <w:szCs w:val="24"/>
                <w:lang w:val="ro-RO"/>
              </w:rPr>
              <w:t>rezentul</w:t>
            </w:r>
            <w:r>
              <w:rPr>
                <w:rFonts w:ascii="Times New Roman" w:hAnsi="Times New Roman"/>
                <w:sz w:val="24"/>
                <w:szCs w:val="24"/>
                <w:lang w:val="ro-RO"/>
              </w:rPr>
              <w:t>ui</w:t>
            </w:r>
            <w:r w:rsidRPr="007D66FE">
              <w:rPr>
                <w:rFonts w:ascii="Times New Roman" w:hAnsi="Times New Roman"/>
                <w:sz w:val="24"/>
                <w:szCs w:val="24"/>
                <w:lang w:val="ro-RO"/>
              </w:rPr>
              <w:t xml:space="preserve"> proiect</w:t>
            </w:r>
            <w:r>
              <w:rPr>
                <w:rFonts w:ascii="Times New Roman" w:hAnsi="Times New Roman"/>
                <w:sz w:val="24"/>
                <w:szCs w:val="24"/>
                <w:lang w:val="ro-RO"/>
              </w:rPr>
              <w:t xml:space="preserve"> </w:t>
            </w:r>
            <w:r w:rsidRPr="007D66FE">
              <w:rPr>
                <w:rFonts w:ascii="Times New Roman" w:hAnsi="Times New Roman"/>
                <w:sz w:val="24"/>
                <w:szCs w:val="24"/>
                <w:lang w:val="ro-RO"/>
              </w:rPr>
              <w:t>la data publicării în Monitorul Oficial al Republicii Moldova</w:t>
            </w:r>
            <w:r>
              <w:rPr>
                <w:rFonts w:ascii="Times New Roman" w:hAnsi="Times New Roman"/>
                <w:sz w:val="24"/>
                <w:szCs w:val="24"/>
                <w:lang w:val="ro-RO"/>
              </w:rPr>
              <w:t xml:space="preserve">, deoarece </w:t>
            </w:r>
            <w:r w:rsidRPr="007D66FE">
              <w:rPr>
                <w:rFonts w:ascii="Times New Roman" w:hAnsi="Times New Roman"/>
                <w:sz w:val="24"/>
                <w:szCs w:val="24"/>
                <w:lang w:val="ro-RO"/>
              </w:rPr>
              <w:t xml:space="preserve">în baza pct. 18 din </w:t>
            </w:r>
            <w:r w:rsidRPr="007D66FE">
              <w:rPr>
                <w:rFonts w:ascii="Times New Roman" w:hAnsi="Times New Roman"/>
                <w:i/>
                <w:sz w:val="24"/>
                <w:szCs w:val="24"/>
                <w:lang w:val="ro-RO"/>
              </w:rPr>
              <w:t xml:space="preserve">Regulamentul cu privire la </w:t>
            </w:r>
            <w:r>
              <w:rPr>
                <w:rFonts w:ascii="Times New Roman" w:hAnsi="Times New Roman"/>
                <w:i/>
                <w:sz w:val="24"/>
                <w:szCs w:val="24"/>
                <w:lang w:val="ro-RO"/>
              </w:rPr>
              <w:t>(</w:t>
            </w:r>
            <w:r w:rsidRPr="007D66FE">
              <w:rPr>
                <w:rFonts w:ascii="Times New Roman" w:hAnsi="Times New Roman"/>
                <w:i/>
                <w:sz w:val="24"/>
                <w:szCs w:val="24"/>
                <w:lang w:val="ro-RO"/>
              </w:rPr>
              <w:t>…</w:t>
            </w:r>
            <w:r>
              <w:rPr>
                <w:rFonts w:ascii="Times New Roman" w:hAnsi="Times New Roman"/>
                <w:i/>
                <w:sz w:val="24"/>
                <w:szCs w:val="24"/>
                <w:lang w:val="ro-RO"/>
              </w:rPr>
              <w:t>)</w:t>
            </w:r>
            <w:r w:rsidRPr="007D66FE">
              <w:rPr>
                <w:rFonts w:ascii="Times New Roman" w:hAnsi="Times New Roman"/>
                <w:i/>
                <w:sz w:val="24"/>
                <w:szCs w:val="24"/>
                <w:lang w:val="ro-RO"/>
              </w:rPr>
              <w:t xml:space="preserve"> burse</w:t>
            </w:r>
            <w:r>
              <w:rPr>
                <w:rFonts w:ascii="Times New Roman" w:hAnsi="Times New Roman"/>
                <w:i/>
                <w:sz w:val="24"/>
                <w:szCs w:val="24"/>
                <w:lang w:val="ro-RO"/>
              </w:rPr>
              <w:t>…</w:t>
            </w:r>
            <w:r w:rsidRPr="007D66FE">
              <w:rPr>
                <w:rFonts w:ascii="Times New Roman" w:hAnsi="Times New Roman"/>
                <w:i/>
                <w:sz w:val="24"/>
                <w:szCs w:val="24"/>
                <w:lang w:val="ro-RO"/>
              </w:rPr>
              <w:t>,</w:t>
            </w:r>
            <w:r w:rsidRPr="007D66FE">
              <w:rPr>
                <w:rFonts w:ascii="Times New Roman" w:hAnsi="Times New Roman"/>
                <w:sz w:val="24"/>
                <w:szCs w:val="24"/>
                <w:lang w:val="ro-RO"/>
              </w:rPr>
              <w:t xml:space="preserve"> </w:t>
            </w:r>
            <w:r w:rsidRPr="007D66FE">
              <w:rPr>
                <w:rFonts w:ascii="Times New Roman" w:hAnsi="Times New Roman"/>
                <w:b/>
                <w:sz w:val="24"/>
                <w:szCs w:val="24"/>
                <w:lang w:val="ro-RO"/>
              </w:rPr>
              <w:t>aprobat prin Hotărârea Guvernului nr. 1009/2006</w:t>
            </w:r>
            <w:r w:rsidRPr="007D66FE">
              <w:rPr>
                <w:rFonts w:ascii="Times New Roman" w:hAnsi="Times New Roman"/>
                <w:sz w:val="24"/>
                <w:szCs w:val="24"/>
                <w:lang w:val="ro-RO"/>
              </w:rPr>
              <w:t xml:space="preserve"> ”… </w:t>
            </w:r>
            <w:r w:rsidRPr="007D66FE">
              <w:rPr>
                <w:rFonts w:ascii="Times New Roman" w:eastAsia="Times New Roman" w:hAnsi="Times New Roman"/>
                <w:i/>
                <w:color w:val="000000"/>
                <w:sz w:val="24"/>
                <w:szCs w:val="24"/>
                <w:lang w:val="ro-RO"/>
              </w:rPr>
              <w:t xml:space="preserve">Bursele  finanțate din bugetul de stat se achită (…) </w:t>
            </w:r>
            <w:r w:rsidRPr="007D66FE">
              <w:rPr>
                <w:rFonts w:ascii="Times New Roman" w:hAnsi="Times New Roman"/>
                <w:i/>
                <w:color w:val="000000"/>
                <w:sz w:val="24"/>
                <w:szCs w:val="24"/>
                <w:lang w:val="ro-RO"/>
              </w:rPr>
              <w:t>lunar, cu excepția vacanței de vară…</w:t>
            </w:r>
            <w:r w:rsidRPr="002A72BB">
              <w:rPr>
                <w:rFonts w:ascii="Times New Roman" w:hAnsi="Times New Roman"/>
                <w:color w:val="000000"/>
                <w:sz w:val="24"/>
                <w:szCs w:val="24"/>
                <w:lang w:val="ro-RO"/>
              </w:rPr>
              <w:t>”</w:t>
            </w:r>
            <w:r>
              <w:rPr>
                <w:rFonts w:ascii="Times New Roman" w:hAnsi="Times New Roman"/>
                <w:color w:val="000000"/>
                <w:sz w:val="24"/>
                <w:szCs w:val="24"/>
                <w:lang w:val="ro-RO"/>
              </w:rPr>
              <w:t xml:space="preserve">, iar pentru anul 2023-2024, studenții/elevii urmează să beneficieze de </w:t>
            </w:r>
            <w:r w:rsidR="00B05EDA">
              <w:rPr>
                <w:rFonts w:ascii="Times New Roman" w:hAnsi="Times New Roman"/>
                <w:color w:val="000000"/>
                <w:sz w:val="24"/>
                <w:szCs w:val="24"/>
                <w:lang w:val="ro-RO"/>
              </w:rPr>
              <w:t>burse începând cu luna septembrie</w:t>
            </w:r>
            <w:r>
              <w:rPr>
                <w:rFonts w:ascii="Times New Roman" w:hAnsi="Times New Roman"/>
                <w:color w:val="000000"/>
                <w:sz w:val="24"/>
                <w:szCs w:val="24"/>
                <w:lang w:val="ro-RO"/>
              </w:rPr>
              <w:t>.</w:t>
            </w:r>
            <w:bookmarkStart w:id="0" w:name="_GoBack"/>
            <w:bookmarkEnd w:id="0"/>
          </w:p>
        </w:tc>
      </w:tr>
      <w:tr w:rsidR="00E33D41" w:rsidRPr="00B05EDA" w:rsidTr="00A75AE6">
        <w:tc>
          <w:tcPr>
            <w:tcW w:w="5000" w:type="pct"/>
          </w:tcPr>
          <w:p w:rsidR="00E33D41" w:rsidRPr="007D66FE" w:rsidRDefault="00E33D41" w:rsidP="00BD7E71">
            <w:pPr>
              <w:tabs>
                <w:tab w:val="left" w:pos="884"/>
                <w:tab w:val="left" w:pos="1196"/>
              </w:tabs>
              <w:spacing w:after="0" w:line="240" w:lineRule="auto"/>
              <w:jc w:val="both"/>
              <w:rPr>
                <w:rFonts w:ascii="Times New Roman" w:hAnsi="Times New Roman"/>
                <w:b/>
                <w:i/>
                <w:sz w:val="24"/>
                <w:szCs w:val="24"/>
                <w:lang w:val="ro-RO"/>
              </w:rPr>
            </w:pPr>
            <w:r w:rsidRPr="007D66FE">
              <w:rPr>
                <w:rFonts w:ascii="Times New Roman" w:hAnsi="Times New Roman"/>
                <w:b/>
                <w:i/>
                <w:sz w:val="24"/>
                <w:szCs w:val="24"/>
                <w:lang w:val="ro-RO"/>
              </w:rPr>
              <w:t xml:space="preserve">3. Descrierea gradului de compatibilitate pentru proiectele care au ca scop armonizarea </w:t>
            </w:r>
            <w:r w:rsidR="0039062D" w:rsidRPr="007D66FE">
              <w:rPr>
                <w:rFonts w:ascii="Times New Roman" w:hAnsi="Times New Roman"/>
                <w:b/>
                <w:i/>
                <w:sz w:val="24"/>
                <w:szCs w:val="24"/>
                <w:lang w:val="ro-RO"/>
              </w:rPr>
              <w:t>legislației</w:t>
            </w:r>
            <w:r w:rsidRPr="007D66FE">
              <w:rPr>
                <w:rFonts w:ascii="Times New Roman" w:hAnsi="Times New Roman"/>
                <w:b/>
                <w:i/>
                <w:sz w:val="24"/>
                <w:szCs w:val="24"/>
                <w:lang w:val="ro-RO"/>
              </w:rPr>
              <w:t xml:space="preserve"> </w:t>
            </w:r>
            <w:r w:rsidR="0039062D" w:rsidRPr="007D66FE">
              <w:rPr>
                <w:rFonts w:ascii="Times New Roman" w:hAnsi="Times New Roman"/>
                <w:b/>
                <w:i/>
                <w:sz w:val="24"/>
                <w:szCs w:val="24"/>
                <w:lang w:val="ro-RO"/>
              </w:rPr>
              <w:t>naționale</w:t>
            </w:r>
            <w:r w:rsidRPr="007D66FE">
              <w:rPr>
                <w:rFonts w:ascii="Times New Roman" w:hAnsi="Times New Roman"/>
                <w:b/>
                <w:i/>
                <w:sz w:val="24"/>
                <w:szCs w:val="24"/>
                <w:lang w:val="ro-RO"/>
              </w:rPr>
              <w:t xml:space="preserve"> cu </w:t>
            </w:r>
            <w:r w:rsidR="0039062D" w:rsidRPr="007D66FE">
              <w:rPr>
                <w:rFonts w:ascii="Times New Roman" w:hAnsi="Times New Roman"/>
                <w:b/>
                <w:i/>
                <w:sz w:val="24"/>
                <w:szCs w:val="24"/>
                <w:lang w:val="ro-RO"/>
              </w:rPr>
              <w:t>legislația</w:t>
            </w:r>
            <w:r w:rsidRPr="007D66FE">
              <w:rPr>
                <w:rFonts w:ascii="Times New Roman" w:hAnsi="Times New Roman"/>
                <w:b/>
                <w:i/>
                <w:sz w:val="24"/>
                <w:szCs w:val="24"/>
                <w:lang w:val="ro-RO"/>
              </w:rPr>
              <w:t xml:space="preserve"> Uniunii Europene</w:t>
            </w:r>
          </w:p>
        </w:tc>
      </w:tr>
      <w:tr w:rsidR="00E33D41" w:rsidRPr="00B05EDA" w:rsidTr="00A75AE6">
        <w:tc>
          <w:tcPr>
            <w:tcW w:w="5000" w:type="pct"/>
          </w:tcPr>
          <w:p w:rsidR="00E33D41" w:rsidRPr="007D66FE" w:rsidRDefault="00DB1C51" w:rsidP="00BD7E71">
            <w:pPr>
              <w:tabs>
                <w:tab w:val="left" w:pos="884"/>
                <w:tab w:val="left" w:pos="1196"/>
              </w:tabs>
              <w:spacing w:after="0" w:line="240" w:lineRule="auto"/>
              <w:jc w:val="both"/>
              <w:rPr>
                <w:rFonts w:ascii="Times New Roman" w:hAnsi="Times New Roman"/>
                <w:sz w:val="24"/>
                <w:szCs w:val="24"/>
                <w:lang w:val="ro-RO"/>
              </w:rPr>
            </w:pPr>
            <w:r w:rsidRPr="007D66FE">
              <w:rPr>
                <w:rFonts w:ascii="Times New Roman" w:hAnsi="Times New Roman"/>
                <w:sz w:val="24"/>
                <w:szCs w:val="24"/>
                <w:lang w:val="ro-RO"/>
              </w:rPr>
              <w:t xml:space="preserve">Prezentul </w:t>
            </w:r>
            <w:r w:rsidR="00F84B77" w:rsidRPr="007D66FE">
              <w:rPr>
                <w:rFonts w:ascii="Times New Roman" w:hAnsi="Times New Roman"/>
                <w:sz w:val="24"/>
                <w:szCs w:val="24"/>
                <w:lang w:val="ro-RO"/>
              </w:rPr>
              <w:t>proiect de Hotărâ</w:t>
            </w:r>
            <w:r w:rsidR="00984DA7" w:rsidRPr="007D66FE">
              <w:rPr>
                <w:rFonts w:ascii="Times New Roman" w:hAnsi="Times New Roman"/>
                <w:sz w:val="24"/>
                <w:szCs w:val="24"/>
                <w:lang w:val="ro-RO"/>
              </w:rPr>
              <w:t>re</w:t>
            </w:r>
            <w:r w:rsidR="00B3644A" w:rsidRPr="007D66FE">
              <w:rPr>
                <w:rFonts w:ascii="Times New Roman" w:hAnsi="Times New Roman"/>
                <w:sz w:val="24"/>
                <w:szCs w:val="24"/>
                <w:lang w:val="ro-RO"/>
              </w:rPr>
              <w:t xml:space="preserve"> nu contravine legislației Uniunii Europene.</w:t>
            </w:r>
          </w:p>
        </w:tc>
      </w:tr>
      <w:tr w:rsidR="00E33D41" w:rsidRPr="00B05EDA" w:rsidTr="00A75AE6">
        <w:tc>
          <w:tcPr>
            <w:tcW w:w="5000" w:type="pct"/>
          </w:tcPr>
          <w:p w:rsidR="00E33D41" w:rsidRPr="007D66FE" w:rsidRDefault="00E33D41" w:rsidP="00BD7E71">
            <w:pPr>
              <w:tabs>
                <w:tab w:val="left" w:pos="884"/>
                <w:tab w:val="left" w:pos="1196"/>
              </w:tabs>
              <w:spacing w:after="0" w:line="240" w:lineRule="auto"/>
              <w:jc w:val="both"/>
              <w:rPr>
                <w:rFonts w:ascii="Times New Roman" w:hAnsi="Times New Roman"/>
                <w:b/>
                <w:i/>
                <w:sz w:val="24"/>
                <w:szCs w:val="24"/>
                <w:lang w:val="ro-RO"/>
              </w:rPr>
            </w:pPr>
            <w:r w:rsidRPr="007D66FE">
              <w:rPr>
                <w:rFonts w:ascii="Times New Roman" w:hAnsi="Times New Roman"/>
                <w:b/>
                <w:i/>
                <w:sz w:val="24"/>
                <w:szCs w:val="24"/>
                <w:lang w:val="ro-RO"/>
              </w:rPr>
              <w:t xml:space="preserve">4. Principalele prevederi ale proiectului şi </w:t>
            </w:r>
            <w:r w:rsidR="0063398B" w:rsidRPr="007D66FE">
              <w:rPr>
                <w:rFonts w:ascii="Times New Roman" w:hAnsi="Times New Roman"/>
                <w:b/>
                <w:i/>
                <w:sz w:val="24"/>
                <w:szCs w:val="24"/>
                <w:lang w:val="ro-RO"/>
              </w:rPr>
              <w:t>evidențierea</w:t>
            </w:r>
            <w:r w:rsidRPr="007D66FE">
              <w:rPr>
                <w:rFonts w:ascii="Times New Roman" w:hAnsi="Times New Roman"/>
                <w:b/>
                <w:i/>
                <w:sz w:val="24"/>
                <w:szCs w:val="24"/>
                <w:lang w:val="ro-RO"/>
              </w:rPr>
              <w:t xml:space="preserve"> elementelor noi</w:t>
            </w:r>
          </w:p>
        </w:tc>
      </w:tr>
      <w:tr w:rsidR="00E33D41" w:rsidRPr="00B05EDA" w:rsidTr="00A75AE6">
        <w:tc>
          <w:tcPr>
            <w:tcW w:w="5000" w:type="pct"/>
          </w:tcPr>
          <w:p w:rsidR="007F6158" w:rsidRPr="007D66FE" w:rsidRDefault="007F6158" w:rsidP="00BD7E71">
            <w:pPr>
              <w:widowControl w:val="0"/>
              <w:shd w:val="clear" w:color="auto" w:fill="FFFFFF"/>
              <w:tabs>
                <w:tab w:val="left" w:pos="1008"/>
                <w:tab w:val="left" w:pos="9781"/>
              </w:tabs>
              <w:autoSpaceDE w:val="0"/>
              <w:autoSpaceDN w:val="0"/>
              <w:adjustRightInd w:val="0"/>
              <w:spacing w:line="240" w:lineRule="auto"/>
              <w:ind w:firstLine="720"/>
              <w:jc w:val="both"/>
              <w:rPr>
                <w:rFonts w:ascii="Times New Roman" w:hAnsi="Times New Roman"/>
                <w:sz w:val="24"/>
                <w:szCs w:val="24"/>
                <w:lang w:val="ro-RO"/>
              </w:rPr>
            </w:pPr>
            <w:r w:rsidRPr="007D66FE">
              <w:rPr>
                <w:rFonts w:ascii="Times New Roman" w:hAnsi="Times New Roman"/>
                <w:sz w:val="24"/>
                <w:szCs w:val="24"/>
                <w:lang w:val="ro-RO"/>
              </w:rPr>
              <w:t xml:space="preserve">La bursele de merit au candidat </w:t>
            </w:r>
            <w:r w:rsidR="0039062D" w:rsidRPr="007D66FE">
              <w:rPr>
                <w:rFonts w:ascii="Times New Roman" w:hAnsi="Times New Roman"/>
                <w:sz w:val="24"/>
                <w:szCs w:val="24"/>
                <w:lang w:val="ro-RO"/>
              </w:rPr>
              <w:t>studenții</w:t>
            </w:r>
            <w:r w:rsidRPr="007D66FE">
              <w:rPr>
                <w:rFonts w:ascii="Times New Roman" w:hAnsi="Times New Roman"/>
                <w:sz w:val="24"/>
                <w:szCs w:val="24"/>
                <w:lang w:val="ro-RO"/>
              </w:rPr>
              <w:t xml:space="preserve"> ciclului I, ciclului II, studii integrate, învățământ medical şi farmaceutic şi elevii care au </w:t>
            </w:r>
            <w:r w:rsidR="0039062D" w:rsidRPr="007D66FE">
              <w:rPr>
                <w:rFonts w:ascii="Times New Roman" w:hAnsi="Times New Roman"/>
                <w:sz w:val="24"/>
                <w:szCs w:val="24"/>
                <w:lang w:val="ro-RO"/>
              </w:rPr>
              <w:t>obținut</w:t>
            </w:r>
            <w:r w:rsidRPr="007D66FE">
              <w:rPr>
                <w:rFonts w:ascii="Times New Roman" w:hAnsi="Times New Roman"/>
                <w:sz w:val="24"/>
                <w:szCs w:val="24"/>
                <w:lang w:val="ro-RO"/>
              </w:rPr>
              <w:t xml:space="preserve"> în anul precedent de studii o medie a notelor la sesiunea de vară nu mai mică de </w:t>
            </w:r>
            <w:r w:rsidRPr="007D66FE">
              <w:rPr>
                <w:rFonts w:ascii="Times New Roman" w:hAnsi="Times New Roman"/>
                <w:b/>
                <w:sz w:val="24"/>
                <w:szCs w:val="24"/>
                <w:lang w:val="ro-RO"/>
              </w:rPr>
              <w:t>9 puncte</w:t>
            </w:r>
            <w:r w:rsidRPr="007D66FE">
              <w:rPr>
                <w:rFonts w:ascii="Times New Roman" w:hAnsi="Times New Roman"/>
                <w:sz w:val="24"/>
                <w:szCs w:val="24"/>
                <w:lang w:val="ro-RO"/>
              </w:rPr>
              <w:t xml:space="preserve"> în profilurile /domeniile de studiu tehnic, agrar, economic, medical, militar, drept şi real (matematică, informatică, fizică, chimie, biologie) şi nu mai mică de </w:t>
            </w:r>
            <w:r w:rsidRPr="007D66FE">
              <w:rPr>
                <w:rFonts w:ascii="Times New Roman" w:hAnsi="Times New Roman"/>
                <w:b/>
                <w:sz w:val="24"/>
                <w:szCs w:val="24"/>
                <w:lang w:val="ro-RO"/>
              </w:rPr>
              <w:t>9,5 puncte</w:t>
            </w:r>
            <w:r w:rsidRPr="007D66FE">
              <w:rPr>
                <w:rFonts w:ascii="Times New Roman" w:hAnsi="Times New Roman"/>
                <w:sz w:val="24"/>
                <w:szCs w:val="24"/>
                <w:lang w:val="ro-RO"/>
              </w:rPr>
              <w:t xml:space="preserve"> în alte profiluri /domenii de studiu.  </w:t>
            </w:r>
          </w:p>
          <w:p w:rsidR="0054168F" w:rsidRPr="007D66FE" w:rsidRDefault="007F6158" w:rsidP="00BD7E71">
            <w:pPr>
              <w:spacing w:after="0" w:line="240" w:lineRule="auto"/>
              <w:ind w:firstLine="720"/>
              <w:jc w:val="both"/>
              <w:rPr>
                <w:rFonts w:ascii="Times New Roman" w:hAnsi="Times New Roman"/>
                <w:color w:val="000000"/>
                <w:sz w:val="24"/>
                <w:szCs w:val="24"/>
                <w:lang w:val="ro-RO"/>
              </w:rPr>
            </w:pPr>
            <w:r w:rsidRPr="007D66FE">
              <w:rPr>
                <w:rFonts w:ascii="Times New Roman" w:hAnsi="Times New Roman"/>
                <w:color w:val="000000"/>
                <w:sz w:val="24"/>
                <w:szCs w:val="24"/>
                <w:lang w:val="ro-RO"/>
              </w:rPr>
              <w:lastRenderedPageBreak/>
              <w:t>Astfel</w:t>
            </w:r>
            <w:r w:rsidR="00F84B77" w:rsidRPr="007D66FE">
              <w:rPr>
                <w:rFonts w:ascii="Times New Roman" w:hAnsi="Times New Roman"/>
                <w:color w:val="000000"/>
                <w:sz w:val="24"/>
                <w:szCs w:val="24"/>
                <w:lang w:val="ro-RO"/>
              </w:rPr>
              <w:t>, p</w:t>
            </w:r>
            <w:r w:rsidRPr="007D66FE">
              <w:rPr>
                <w:rFonts w:ascii="Times New Roman" w:hAnsi="Times New Roman"/>
                <w:color w:val="000000"/>
                <w:sz w:val="24"/>
                <w:szCs w:val="24"/>
                <w:lang w:val="ro-RO"/>
              </w:rPr>
              <w:t xml:space="preserve">entru </w:t>
            </w:r>
            <w:r w:rsidR="0054168F" w:rsidRPr="007D66FE">
              <w:rPr>
                <w:rFonts w:ascii="Times New Roman" w:hAnsi="Times New Roman"/>
                <w:color w:val="000000"/>
                <w:sz w:val="24"/>
                <w:szCs w:val="24"/>
                <w:lang w:val="ro-RO"/>
              </w:rPr>
              <w:t>bursele de merit în anul academic 202</w:t>
            </w:r>
            <w:r w:rsidR="00AF0971" w:rsidRPr="007D66FE">
              <w:rPr>
                <w:rFonts w:ascii="Times New Roman" w:hAnsi="Times New Roman"/>
                <w:color w:val="000000"/>
                <w:sz w:val="24"/>
                <w:szCs w:val="24"/>
                <w:lang w:val="ro-RO"/>
              </w:rPr>
              <w:t>3-</w:t>
            </w:r>
            <w:r w:rsidR="0054168F" w:rsidRPr="007D66FE">
              <w:rPr>
                <w:rFonts w:ascii="Times New Roman" w:hAnsi="Times New Roman"/>
                <w:color w:val="000000"/>
                <w:sz w:val="24"/>
                <w:szCs w:val="24"/>
                <w:lang w:val="ro-RO"/>
              </w:rPr>
              <w:t>202</w:t>
            </w:r>
            <w:r w:rsidR="00AF0971" w:rsidRPr="007D66FE">
              <w:rPr>
                <w:rFonts w:ascii="Times New Roman" w:hAnsi="Times New Roman"/>
                <w:color w:val="000000"/>
                <w:sz w:val="24"/>
                <w:szCs w:val="24"/>
                <w:lang w:val="ro-RO"/>
              </w:rPr>
              <w:t>4</w:t>
            </w:r>
            <w:r w:rsidRPr="007D66FE">
              <w:rPr>
                <w:rFonts w:ascii="Times New Roman" w:hAnsi="Times New Roman"/>
                <w:color w:val="000000"/>
                <w:sz w:val="24"/>
                <w:szCs w:val="24"/>
                <w:lang w:val="ro-RO"/>
              </w:rPr>
              <w:t xml:space="preserve">, au fost depuse </w:t>
            </w:r>
            <w:r w:rsidR="00B6625E" w:rsidRPr="007D66FE">
              <w:rPr>
                <w:rFonts w:ascii="Times New Roman" w:hAnsi="Times New Roman"/>
                <w:b/>
                <w:color w:val="000000"/>
                <w:sz w:val="24"/>
                <w:szCs w:val="24"/>
                <w:lang w:val="ro-RO"/>
              </w:rPr>
              <w:t xml:space="preserve">67 </w:t>
            </w:r>
            <w:r w:rsidRPr="007D66FE">
              <w:rPr>
                <w:rFonts w:ascii="Times New Roman" w:hAnsi="Times New Roman"/>
                <w:b/>
                <w:color w:val="000000"/>
                <w:sz w:val="24"/>
                <w:szCs w:val="24"/>
                <w:lang w:val="ro-RO"/>
              </w:rPr>
              <w:t>dosare</w:t>
            </w:r>
            <w:r w:rsidRPr="007D66FE">
              <w:rPr>
                <w:rFonts w:ascii="Times New Roman" w:hAnsi="Times New Roman"/>
                <w:color w:val="000000"/>
                <w:sz w:val="24"/>
                <w:szCs w:val="24"/>
                <w:lang w:val="ro-RO"/>
              </w:rPr>
              <w:t>, iar pentru Bursa „Gaudeamus”</w:t>
            </w:r>
            <w:r w:rsidR="00F7643D" w:rsidRPr="007D66FE">
              <w:rPr>
                <w:rFonts w:ascii="Times New Roman" w:hAnsi="Times New Roman"/>
                <w:color w:val="000000"/>
                <w:sz w:val="24"/>
                <w:szCs w:val="24"/>
                <w:lang w:val="ro-RO"/>
              </w:rPr>
              <w:t xml:space="preserve"> – </w:t>
            </w:r>
            <w:r w:rsidR="00F7643D" w:rsidRPr="007D66FE">
              <w:rPr>
                <w:rFonts w:ascii="Times New Roman" w:hAnsi="Times New Roman"/>
                <w:b/>
                <w:color w:val="000000"/>
                <w:sz w:val="24"/>
                <w:szCs w:val="24"/>
                <w:lang w:val="ro-RO"/>
              </w:rPr>
              <w:t>13</w:t>
            </w:r>
            <w:r w:rsidRPr="007D66FE">
              <w:rPr>
                <w:rFonts w:ascii="Times New Roman" w:hAnsi="Times New Roman"/>
                <w:b/>
                <w:color w:val="000000"/>
                <w:sz w:val="24"/>
                <w:szCs w:val="24"/>
                <w:lang w:val="ro-RO"/>
              </w:rPr>
              <w:t xml:space="preserve"> de dosare</w:t>
            </w:r>
            <w:r w:rsidRPr="007D66FE">
              <w:rPr>
                <w:rFonts w:ascii="Times New Roman" w:hAnsi="Times New Roman"/>
                <w:color w:val="000000"/>
                <w:sz w:val="24"/>
                <w:szCs w:val="24"/>
                <w:lang w:val="ro-RO"/>
              </w:rPr>
              <w:t xml:space="preserve">. </w:t>
            </w:r>
            <w:r w:rsidR="0039062D" w:rsidRPr="007D66FE">
              <w:rPr>
                <w:rFonts w:ascii="Times New Roman" w:hAnsi="Times New Roman"/>
                <w:color w:val="000000"/>
                <w:sz w:val="24"/>
                <w:szCs w:val="24"/>
                <w:lang w:val="ro-RO"/>
              </w:rPr>
              <w:t>Candidații</w:t>
            </w:r>
            <w:r w:rsidRPr="007D66FE">
              <w:rPr>
                <w:rFonts w:ascii="Times New Roman" w:hAnsi="Times New Roman"/>
                <w:color w:val="000000"/>
                <w:sz w:val="24"/>
                <w:szCs w:val="24"/>
                <w:lang w:val="ro-RO"/>
              </w:rPr>
              <w:t xml:space="preserve"> respectivi au fost </w:t>
            </w:r>
            <w:r w:rsidR="0039062D" w:rsidRPr="007D66FE">
              <w:rPr>
                <w:rFonts w:ascii="Times New Roman" w:hAnsi="Times New Roman"/>
                <w:color w:val="000000"/>
                <w:sz w:val="24"/>
                <w:szCs w:val="24"/>
                <w:lang w:val="ro-RO"/>
              </w:rPr>
              <w:t>selectați</w:t>
            </w:r>
            <w:r w:rsidRPr="007D66FE">
              <w:rPr>
                <w:rFonts w:ascii="Times New Roman" w:hAnsi="Times New Roman"/>
                <w:color w:val="000000"/>
                <w:sz w:val="24"/>
                <w:szCs w:val="24"/>
                <w:lang w:val="ro-RO"/>
              </w:rPr>
              <w:t xml:space="preserve"> de către </w:t>
            </w:r>
            <w:r w:rsidR="0054168F" w:rsidRPr="007D66FE">
              <w:rPr>
                <w:rFonts w:ascii="Times New Roman" w:hAnsi="Times New Roman"/>
                <w:i/>
                <w:sz w:val="24"/>
                <w:szCs w:val="24"/>
                <w:lang w:val="ro-RO"/>
              </w:rPr>
              <w:t>Comisiile specializate</w:t>
            </w:r>
            <w:r w:rsidR="00014596" w:rsidRPr="007D66FE">
              <w:rPr>
                <w:rFonts w:ascii="Times New Roman" w:hAnsi="Times New Roman"/>
                <w:i/>
                <w:sz w:val="24"/>
                <w:szCs w:val="24"/>
                <w:lang w:val="ro-RO"/>
              </w:rPr>
              <w:t>, responsabile</w:t>
            </w:r>
            <w:r w:rsidRPr="007D66FE">
              <w:rPr>
                <w:rFonts w:ascii="Times New Roman" w:hAnsi="Times New Roman"/>
                <w:i/>
                <w:sz w:val="24"/>
                <w:szCs w:val="24"/>
                <w:lang w:val="ro-RO"/>
              </w:rPr>
              <w:t xml:space="preserve"> de examinarea dosarelor studenților</w:t>
            </w:r>
            <w:r w:rsidR="0054168F" w:rsidRPr="007D66FE">
              <w:rPr>
                <w:rFonts w:ascii="Times New Roman" w:hAnsi="Times New Roman"/>
                <w:sz w:val="24"/>
                <w:szCs w:val="24"/>
                <w:lang w:val="ro-RO"/>
              </w:rPr>
              <w:t>, aprobate</w:t>
            </w:r>
            <w:r w:rsidRPr="007D66FE">
              <w:rPr>
                <w:rFonts w:ascii="Times New Roman" w:hAnsi="Times New Roman"/>
                <w:sz w:val="24"/>
                <w:szCs w:val="24"/>
                <w:lang w:val="ro-RO"/>
              </w:rPr>
              <w:t xml:space="preserve"> prin </w:t>
            </w:r>
            <w:r w:rsidR="0054168F" w:rsidRPr="007D66FE">
              <w:rPr>
                <w:rFonts w:ascii="Times New Roman" w:hAnsi="Times New Roman"/>
                <w:b/>
                <w:sz w:val="24"/>
                <w:szCs w:val="24"/>
                <w:lang w:val="ro-RO"/>
              </w:rPr>
              <w:t xml:space="preserve">Ordinul  nr. </w:t>
            </w:r>
            <w:r w:rsidR="00BE5185" w:rsidRPr="007D66FE">
              <w:rPr>
                <w:rFonts w:ascii="Times New Roman" w:hAnsi="Times New Roman"/>
                <w:b/>
                <w:sz w:val="24"/>
                <w:szCs w:val="24"/>
                <w:lang w:val="ro-RO"/>
              </w:rPr>
              <w:t>836</w:t>
            </w:r>
            <w:r w:rsidR="0054168F" w:rsidRPr="007D66FE">
              <w:rPr>
                <w:rFonts w:ascii="Times New Roman" w:hAnsi="Times New Roman"/>
                <w:b/>
                <w:sz w:val="24"/>
                <w:szCs w:val="24"/>
                <w:lang w:val="ro-RO"/>
              </w:rPr>
              <w:t xml:space="preserve"> din </w:t>
            </w:r>
            <w:r w:rsidR="00BE5185" w:rsidRPr="007D66FE">
              <w:rPr>
                <w:rFonts w:ascii="Times New Roman" w:hAnsi="Times New Roman"/>
                <w:b/>
                <w:sz w:val="24"/>
                <w:szCs w:val="24"/>
                <w:lang w:val="ro-RO"/>
              </w:rPr>
              <w:t>10</w:t>
            </w:r>
            <w:r w:rsidR="0054168F" w:rsidRPr="007D66FE">
              <w:rPr>
                <w:rFonts w:ascii="Times New Roman" w:hAnsi="Times New Roman"/>
                <w:b/>
                <w:sz w:val="24"/>
                <w:szCs w:val="24"/>
                <w:lang w:val="ro-RO"/>
              </w:rPr>
              <w:t>.07.202</w:t>
            </w:r>
            <w:r w:rsidR="00BE5185" w:rsidRPr="007D66FE">
              <w:rPr>
                <w:rFonts w:ascii="Times New Roman" w:hAnsi="Times New Roman"/>
                <w:b/>
                <w:sz w:val="24"/>
                <w:szCs w:val="24"/>
                <w:lang w:val="ro-RO"/>
              </w:rPr>
              <w:t>3</w:t>
            </w:r>
            <w:r w:rsidR="0054168F" w:rsidRPr="007D66FE">
              <w:rPr>
                <w:rFonts w:ascii="Times New Roman" w:hAnsi="Times New Roman"/>
                <w:b/>
                <w:sz w:val="24"/>
                <w:szCs w:val="24"/>
                <w:lang w:val="ro-RO"/>
              </w:rPr>
              <w:t xml:space="preserve"> (pentru învățământ</w:t>
            </w:r>
            <w:r w:rsidR="00B6739F" w:rsidRPr="007D66FE">
              <w:rPr>
                <w:rFonts w:ascii="Times New Roman" w:hAnsi="Times New Roman"/>
                <w:b/>
                <w:sz w:val="24"/>
                <w:szCs w:val="24"/>
                <w:lang w:val="ro-RO"/>
              </w:rPr>
              <w:t>ul</w:t>
            </w:r>
            <w:r w:rsidR="0054168F" w:rsidRPr="007D66FE">
              <w:rPr>
                <w:rFonts w:ascii="Times New Roman" w:hAnsi="Times New Roman"/>
                <w:b/>
                <w:sz w:val="24"/>
                <w:szCs w:val="24"/>
                <w:lang w:val="ro-RO"/>
              </w:rPr>
              <w:t xml:space="preserve"> superior) și Ordinul nr. </w:t>
            </w:r>
            <w:r w:rsidR="002C5595" w:rsidRPr="007D66FE">
              <w:rPr>
                <w:rFonts w:ascii="Times New Roman" w:hAnsi="Times New Roman"/>
                <w:b/>
                <w:sz w:val="24"/>
                <w:szCs w:val="24"/>
                <w:lang w:val="ro-RO"/>
              </w:rPr>
              <w:t>721</w:t>
            </w:r>
            <w:r w:rsidR="0054168F" w:rsidRPr="007D66FE">
              <w:rPr>
                <w:rFonts w:ascii="Times New Roman" w:hAnsi="Times New Roman"/>
                <w:b/>
                <w:sz w:val="24"/>
                <w:szCs w:val="24"/>
                <w:lang w:val="ro-RO"/>
              </w:rPr>
              <w:t xml:space="preserve"> din </w:t>
            </w:r>
            <w:r w:rsidR="002C5595" w:rsidRPr="007D66FE">
              <w:rPr>
                <w:rFonts w:ascii="Times New Roman" w:hAnsi="Times New Roman"/>
                <w:b/>
                <w:sz w:val="24"/>
                <w:szCs w:val="24"/>
                <w:lang w:val="ro-RO"/>
              </w:rPr>
              <w:t>22</w:t>
            </w:r>
            <w:r w:rsidR="0054168F" w:rsidRPr="007D66FE">
              <w:rPr>
                <w:rFonts w:ascii="Times New Roman" w:hAnsi="Times New Roman"/>
                <w:b/>
                <w:sz w:val="24"/>
                <w:szCs w:val="24"/>
                <w:lang w:val="ro-RO"/>
              </w:rPr>
              <w:t>.06</w:t>
            </w:r>
            <w:r w:rsidR="00D86D43" w:rsidRPr="007D66FE">
              <w:rPr>
                <w:rFonts w:ascii="Times New Roman" w:hAnsi="Times New Roman"/>
                <w:b/>
                <w:sz w:val="24"/>
                <w:szCs w:val="24"/>
                <w:lang w:val="ro-RO"/>
              </w:rPr>
              <w:t>.2022 (pentru învățământ</w:t>
            </w:r>
            <w:r w:rsidR="001456B0" w:rsidRPr="007D66FE">
              <w:rPr>
                <w:rFonts w:ascii="Times New Roman" w:hAnsi="Times New Roman"/>
                <w:b/>
                <w:sz w:val="24"/>
                <w:szCs w:val="24"/>
                <w:lang w:val="ro-RO"/>
              </w:rPr>
              <w:t>ul</w:t>
            </w:r>
            <w:r w:rsidR="00D86D43" w:rsidRPr="007D66FE">
              <w:rPr>
                <w:rFonts w:ascii="Times New Roman" w:hAnsi="Times New Roman"/>
                <w:b/>
                <w:sz w:val="24"/>
                <w:szCs w:val="24"/>
                <w:lang w:val="ro-RO"/>
              </w:rPr>
              <w:t xml:space="preserve"> profes</w:t>
            </w:r>
            <w:r w:rsidR="0054168F" w:rsidRPr="007D66FE">
              <w:rPr>
                <w:rFonts w:ascii="Times New Roman" w:hAnsi="Times New Roman"/>
                <w:b/>
                <w:sz w:val="24"/>
                <w:szCs w:val="24"/>
                <w:lang w:val="ro-RO"/>
              </w:rPr>
              <w:t xml:space="preserve">ional </w:t>
            </w:r>
            <w:r w:rsidR="00D86D43" w:rsidRPr="007D66FE">
              <w:rPr>
                <w:rFonts w:ascii="Times New Roman" w:hAnsi="Times New Roman"/>
                <w:b/>
                <w:sz w:val="24"/>
                <w:szCs w:val="24"/>
                <w:lang w:val="ro-RO"/>
              </w:rPr>
              <w:t>tehnic</w:t>
            </w:r>
            <w:r w:rsidR="0054168F" w:rsidRPr="007D66FE">
              <w:rPr>
                <w:rFonts w:ascii="Times New Roman" w:hAnsi="Times New Roman"/>
                <w:b/>
                <w:sz w:val="24"/>
                <w:szCs w:val="24"/>
                <w:lang w:val="ro-RO"/>
              </w:rPr>
              <w:t>)</w:t>
            </w:r>
            <w:r w:rsidRPr="007D66FE">
              <w:rPr>
                <w:rFonts w:ascii="Times New Roman" w:hAnsi="Times New Roman"/>
                <w:color w:val="000000"/>
                <w:sz w:val="24"/>
                <w:szCs w:val="24"/>
                <w:lang w:val="ro-RO"/>
              </w:rPr>
              <w:t xml:space="preserve">, în baza </w:t>
            </w:r>
            <w:r w:rsidRPr="007D66FE">
              <w:rPr>
                <w:rFonts w:ascii="Times New Roman" w:hAnsi="Times New Roman"/>
                <w:b/>
                <w:color w:val="000000"/>
                <w:sz w:val="24"/>
                <w:szCs w:val="24"/>
                <w:lang w:val="ro-RO"/>
              </w:rPr>
              <w:t>anumitor criterii</w:t>
            </w:r>
            <w:r w:rsidRPr="007D66FE">
              <w:rPr>
                <w:rFonts w:ascii="Times New Roman" w:hAnsi="Times New Roman"/>
                <w:color w:val="000000"/>
                <w:sz w:val="24"/>
                <w:szCs w:val="24"/>
                <w:lang w:val="ro-RO"/>
              </w:rPr>
              <w:t xml:space="preserve">, inclusiv: media notelor; </w:t>
            </w:r>
            <w:r w:rsidR="0039062D" w:rsidRPr="007D66FE">
              <w:rPr>
                <w:rFonts w:ascii="Times New Roman" w:hAnsi="Times New Roman"/>
                <w:color w:val="000000"/>
                <w:sz w:val="24"/>
                <w:szCs w:val="24"/>
                <w:lang w:val="ro-RO"/>
              </w:rPr>
              <w:t>activitățile</w:t>
            </w:r>
            <w:r w:rsidRPr="007D66FE">
              <w:rPr>
                <w:rFonts w:ascii="Times New Roman" w:hAnsi="Times New Roman"/>
                <w:color w:val="000000"/>
                <w:sz w:val="24"/>
                <w:szCs w:val="24"/>
                <w:lang w:val="ro-RO"/>
              </w:rPr>
              <w:t xml:space="preserve"> </w:t>
            </w:r>
            <w:r w:rsidR="0039062D" w:rsidRPr="007D66FE">
              <w:rPr>
                <w:rFonts w:ascii="Times New Roman" w:hAnsi="Times New Roman"/>
                <w:color w:val="000000"/>
                <w:sz w:val="24"/>
                <w:szCs w:val="24"/>
                <w:lang w:val="ro-RO"/>
              </w:rPr>
              <w:t>educaționale</w:t>
            </w:r>
            <w:r w:rsidRPr="007D66FE">
              <w:rPr>
                <w:rFonts w:ascii="Times New Roman" w:hAnsi="Times New Roman"/>
                <w:color w:val="000000"/>
                <w:sz w:val="24"/>
                <w:szCs w:val="24"/>
                <w:lang w:val="ro-RO"/>
              </w:rPr>
              <w:t xml:space="preserve">, culturale, sportive; Curriculum Vitae; activitatea </w:t>
            </w:r>
            <w:r w:rsidR="0039062D" w:rsidRPr="007D66FE">
              <w:rPr>
                <w:rFonts w:ascii="Times New Roman" w:hAnsi="Times New Roman"/>
                <w:color w:val="000000"/>
                <w:sz w:val="24"/>
                <w:szCs w:val="24"/>
                <w:lang w:val="ro-RO"/>
              </w:rPr>
              <w:t>științifică</w:t>
            </w:r>
            <w:r w:rsidRPr="007D66FE">
              <w:rPr>
                <w:rFonts w:ascii="Times New Roman" w:hAnsi="Times New Roman"/>
                <w:color w:val="000000"/>
                <w:sz w:val="24"/>
                <w:szCs w:val="24"/>
                <w:lang w:val="ro-RO"/>
              </w:rPr>
              <w:t xml:space="preserve">; </w:t>
            </w:r>
            <w:r w:rsidR="0039062D" w:rsidRPr="007D66FE">
              <w:rPr>
                <w:rFonts w:ascii="Times New Roman" w:hAnsi="Times New Roman"/>
                <w:color w:val="000000"/>
                <w:sz w:val="24"/>
                <w:szCs w:val="24"/>
                <w:lang w:val="ro-RO"/>
              </w:rPr>
              <w:t>publicațiile</w:t>
            </w:r>
            <w:r w:rsidRPr="007D66FE">
              <w:rPr>
                <w:rFonts w:ascii="Times New Roman" w:hAnsi="Times New Roman"/>
                <w:color w:val="000000"/>
                <w:sz w:val="24"/>
                <w:szCs w:val="24"/>
                <w:lang w:val="ro-RO"/>
              </w:rPr>
              <w:t xml:space="preserve">; </w:t>
            </w:r>
            <w:r w:rsidR="00E67B55" w:rsidRPr="007D66FE">
              <w:rPr>
                <w:rFonts w:ascii="Times New Roman" w:hAnsi="Times New Roman"/>
                <w:color w:val="000000"/>
                <w:sz w:val="24"/>
                <w:szCs w:val="24"/>
                <w:lang w:val="ro-RO"/>
              </w:rPr>
              <w:t xml:space="preserve">voluntariat; </w:t>
            </w:r>
            <w:r w:rsidR="003447EA" w:rsidRPr="007D66FE">
              <w:rPr>
                <w:rFonts w:ascii="Times New Roman" w:hAnsi="Times New Roman"/>
                <w:color w:val="000000"/>
                <w:sz w:val="24"/>
                <w:szCs w:val="24"/>
                <w:lang w:val="ro-RO"/>
              </w:rPr>
              <w:t>scrisorile de recomandare.</w:t>
            </w:r>
          </w:p>
          <w:p w:rsidR="00E33D41" w:rsidRPr="007D66FE" w:rsidRDefault="0039062D" w:rsidP="00BD7E71">
            <w:pPr>
              <w:spacing w:after="0" w:line="240" w:lineRule="auto"/>
              <w:ind w:firstLine="720"/>
              <w:jc w:val="both"/>
              <w:rPr>
                <w:rFonts w:ascii="Times New Roman" w:hAnsi="Times New Roman"/>
                <w:color w:val="000000"/>
                <w:sz w:val="24"/>
                <w:szCs w:val="24"/>
                <w:lang w:val="ro-RO"/>
              </w:rPr>
            </w:pPr>
            <w:r w:rsidRPr="007D66FE">
              <w:rPr>
                <w:rFonts w:ascii="Times New Roman" w:hAnsi="Times New Roman"/>
                <w:sz w:val="24"/>
                <w:szCs w:val="24"/>
                <w:lang w:val="ro-RO"/>
              </w:rPr>
              <w:t>Toți</w:t>
            </w:r>
            <w:r w:rsidR="007F6158" w:rsidRPr="007D66FE">
              <w:rPr>
                <w:rFonts w:ascii="Times New Roman" w:hAnsi="Times New Roman"/>
                <w:sz w:val="24"/>
                <w:szCs w:val="24"/>
                <w:lang w:val="ro-RO"/>
              </w:rPr>
              <w:t xml:space="preserve"> </w:t>
            </w:r>
            <w:r w:rsidRPr="007D66FE">
              <w:rPr>
                <w:rFonts w:ascii="Times New Roman" w:hAnsi="Times New Roman"/>
                <w:sz w:val="24"/>
                <w:szCs w:val="24"/>
                <w:lang w:val="ro-RO"/>
              </w:rPr>
              <w:t>studenții</w:t>
            </w:r>
            <w:r w:rsidR="007F6158" w:rsidRPr="007D66FE">
              <w:rPr>
                <w:rFonts w:ascii="Times New Roman" w:hAnsi="Times New Roman"/>
                <w:sz w:val="24"/>
                <w:szCs w:val="24"/>
                <w:lang w:val="ro-RO"/>
              </w:rPr>
              <w:t xml:space="preserve">/elevii </w:t>
            </w:r>
            <w:r w:rsidRPr="007D66FE">
              <w:rPr>
                <w:rFonts w:ascii="Times New Roman" w:hAnsi="Times New Roman"/>
                <w:sz w:val="24"/>
                <w:szCs w:val="24"/>
                <w:lang w:val="ro-RO"/>
              </w:rPr>
              <w:t>nominalizați</w:t>
            </w:r>
            <w:r w:rsidR="007F6158" w:rsidRPr="007D66FE">
              <w:rPr>
                <w:rFonts w:ascii="Times New Roman" w:hAnsi="Times New Roman"/>
                <w:sz w:val="24"/>
                <w:szCs w:val="24"/>
                <w:lang w:val="ro-RO"/>
              </w:rPr>
              <w:t xml:space="preserve"> au demonstrat prin actele respective participarea la </w:t>
            </w:r>
            <w:r w:rsidRPr="007D66FE">
              <w:rPr>
                <w:rFonts w:ascii="Times New Roman" w:hAnsi="Times New Roman"/>
                <w:sz w:val="24"/>
                <w:szCs w:val="24"/>
                <w:lang w:val="ro-RO"/>
              </w:rPr>
              <w:t>activități</w:t>
            </w:r>
            <w:r w:rsidR="007F6158" w:rsidRPr="007D66FE">
              <w:rPr>
                <w:rFonts w:ascii="Times New Roman" w:hAnsi="Times New Roman"/>
                <w:sz w:val="24"/>
                <w:szCs w:val="24"/>
                <w:lang w:val="ro-RO"/>
              </w:rPr>
              <w:t xml:space="preserve"> de cercetare </w:t>
            </w:r>
            <w:r w:rsidRPr="007D66FE">
              <w:rPr>
                <w:rFonts w:ascii="Times New Roman" w:hAnsi="Times New Roman"/>
                <w:sz w:val="24"/>
                <w:szCs w:val="24"/>
                <w:lang w:val="ro-RO"/>
              </w:rPr>
              <w:t>științifică</w:t>
            </w:r>
            <w:r w:rsidR="007F6158" w:rsidRPr="007D66FE">
              <w:rPr>
                <w:rFonts w:ascii="Times New Roman" w:hAnsi="Times New Roman"/>
                <w:sz w:val="24"/>
                <w:szCs w:val="24"/>
                <w:lang w:val="ro-RO"/>
              </w:rPr>
              <w:t xml:space="preserve">, </w:t>
            </w:r>
            <w:r w:rsidRPr="007D66FE">
              <w:rPr>
                <w:rFonts w:ascii="Times New Roman" w:hAnsi="Times New Roman"/>
                <w:sz w:val="24"/>
                <w:szCs w:val="24"/>
                <w:lang w:val="ro-RO"/>
              </w:rPr>
              <w:t>conferințe</w:t>
            </w:r>
            <w:r w:rsidR="007F6158" w:rsidRPr="007D66FE">
              <w:rPr>
                <w:rFonts w:ascii="Times New Roman" w:hAnsi="Times New Roman"/>
                <w:sz w:val="24"/>
                <w:szCs w:val="24"/>
                <w:lang w:val="ro-RO"/>
              </w:rPr>
              <w:t xml:space="preserve">, concursuri, </w:t>
            </w:r>
            <w:r w:rsidR="00EB4775" w:rsidRPr="007D66FE">
              <w:rPr>
                <w:rFonts w:ascii="Times New Roman" w:hAnsi="Times New Roman"/>
                <w:sz w:val="24"/>
                <w:szCs w:val="24"/>
                <w:lang w:val="ro-RO"/>
              </w:rPr>
              <w:t>olimpiade</w:t>
            </w:r>
            <w:r w:rsidR="007F6158" w:rsidRPr="007D66FE">
              <w:rPr>
                <w:rFonts w:ascii="Times New Roman" w:hAnsi="Times New Roman"/>
                <w:sz w:val="24"/>
                <w:szCs w:val="24"/>
                <w:lang w:val="ro-RO"/>
              </w:rPr>
              <w:t xml:space="preserve"> </w:t>
            </w:r>
            <w:r w:rsidRPr="007D66FE">
              <w:rPr>
                <w:rFonts w:ascii="Times New Roman" w:hAnsi="Times New Roman"/>
                <w:sz w:val="24"/>
                <w:szCs w:val="24"/>
                <w:lang w:val="ro-RO"/>
              </w:rPr>
              <w:t>naționale</w:t>
            </w:r>
            <w:r w:rsidR="007F6158" w:rsidRPr="007D66FE">
              <w:rPr>
                <w:rFonts w:ascii="Times New Roman" w:hAnsi="Times New Roman"/>
                <w:sz w:val="24"/>
                <w:szCs w:val="24"/>
                <w:lang w:val="ro-RO"/>
              </w:rPr>
              <w:t xml:space="preserve"> / </w:t>
            </w:r>
            <w:r w:rsidRPr="007D66FE">
              <w:rPr>
                <w:rFonts w:ascii="Times New Roman" w:hAnsi="Times New Roman"/>
                <w:sz w:val="24"/>
                <w:szCs w:val="24"/>
                <w:lang w:val="ro-RO"/>
              </w:rPr>
              <w:t>internaționale</w:t>
            </w:r>
            <w:r w:rsidR="007F6158" w:rsidRPr="007D66FE">
              <w:rPr>
                <w:rFonts w:ascii="Times New Roman" w:hAnsi="Times New Roman"/>
                <w:sz w:val="24"/>
                <w:szCs w:val="24"/>
                <w:lang w:val="ro-RO"/>
              </w:rPr>
              <w:t xml:space="preserve">. </w:t>
            </w:r>
            <w:r w:rsidR="007F6158" w:rsidRPr="007D66FE">
              <w:rPr>
                <w:rFonts w:ascii="Times New Roman" w:hAnsi="Times New Roman"/>
                <w:color w:val="000000"/>
                <w:sz w:val="24"/>
                <w:szCs w:val="24"/>
                <w:lang w:val="ro-RO"/>
              </w:rPr>
              <w:t xml:space="preserve">Numărul de burse oferite instituțiilor de învățământ superior a fost corelat cu numărul total de studenți de la ciclurile I și II, învățământ cu frecvență, din fiecare universitate. </w:t>
            </w:r>
          </w:p>
        </w:tc>
      </w:tr>
      <w:tr w:rsidR="00E33D41" w:rsidRPr="007D66FE" w:rsidTr="00A75AE6">
        <w:tc>
          <w:tcPr>
            <w:tcW w:w="5000" w:type="pct"/>
          </w:tcPr>
          <w:p w:rsidR="00E33D41" w:rsidRPr="007D66FE" w:rsidRDefault="00E33D41" w:rsidP="00CB5030">
            <w:pPr>
              <w:tabs>
                <w:tab w:val="left" w:pos="884"/>
                <w:tab w:val="left" w:pos="1196"/>
              </w:tabs>
              <w:spacing w:after="0"/>
              <w:jc w:val="both"/>
              <w:rPr>
                <w:rFonts w:ascii="Times New Roman" w:hAnsi="Times New Roman"/>
                <w:b/>
                <w:i/>
                <w:sz w:val="24"/>
                <w:szCs w:val="24"/>
                <w:lang w:val="ro-RO"/>
              </w:rPr>
            </w:pPr>
            <w:r w:rsidRPr="007D66FE">
              <w:rPr>
                <w:rFonts w:ascii="Times New Roman" w:hAnsi="Times New Roman"/>
                <w:b/>
                <w:i/>
                <w:sz w:val="24"/>
                <w:szCs w:val="24"/>
                <w:lang w:val="ro-RO"/>
              </w:rPr>
              <w:lastRenderedPageBreak/>
              <w:t>5. Fundamentarea economico-financiară</w:t>
            </w:r>
          </w:p>
        </w:tc>
      </w:tr>
      <w:tr w:rsidR="00E33D41" w:rsidRPr="00B05EDA" w:rsidTr="00A75AE6">
        <w:tc>
          <w:tcPr>
            <w:tcW w:w="5000" w:type="pct"/>
          </w:tcPr>
          <w:p w:rsidR="00E33D41" w:rsidRPr="007D66FE" w:rsidRDefault="00E33D41" w:rsidP="00EF2B35">
            <w:pPr>
              <w:pStyle w:val="a3"/>
              <w:spacing w:before="0" w:beforeAutospacing="0" w:after="0" w:afterAutospacing="0" w:line="276" w:lineRule="auto"/>
              <w:jc w:val="both"/>
              <w:textAlignment w:val="baseline"/>
              <w:rPr>
                <w:lang w:val="ro-RO"/>
              </w:rPr>
            </w:pPr>
            <w:r w:rsidRPr="007D66FE">
              <w:rPr>
                <w:lang w:val="ro-RO"/>
              </w:rPr>
              <w:t xml:space="preserve">Mijloacele financiare </w:t>
            </w:r>
            <w:r w:rsidR="007F6158" w:rsidRPr="007D66FE">
              <w:rPr>
                <w:lang w:val="ro-RO"/>
              </w:rPr>
              <w:t>sunt prevăzute anual prin Legea bugetului de stat și se încadrează în limitele alocațiilor bugetare aprobate în acest scop.</w:t>
            </w:r>
          </w:p>
        </w:tc>
      </w:tr>
      <w:tr w:rsidR="00E33D41" w:rsidRPr="00B05EDA" w:rsidTr="00A75AE6">
        <w:tc>
          <w:tcPr>
            <w:tcW w:w="5000" w:type="pct"/>
          </w:tcPr>
          <w:p w:rsidR="00E33D41" w:rsidRPr="007D66FE" w:rsidRDefault="00E33D41" w:rsidP="00CB5030">
            <w:pPr>
              <w:tabs>
                <w:tab w:val="left" w:pos="884"/>
                <w:tab w:val="left" w:pos="1196"/>
              </w:tabs>
              <w:spacing w:after="0"/>
              <w:jc w:val="both"/>
              <w:rPr>
                <w:rFonts w:ascii="Times New Roman" w:hAnsi="Times New Roman"/>
                <w:b/>
                <w:i/>
                <w:sz w:val="24"/>
                <w:szCs w:val="24"/>
                <w:lang w:val="ro-RO"/>
              </w:rPr>
            </w:pPr>
            <w:r w:rsidRPr="007D66FE">
              <w:rPr>
                <w:rFonts w:ascii="Times New Roman" w:hAnsi="Times New Roman"/>
                <w:b/>
                <w:i/>
                <w:sz w:val="24"/>
                <w:szCs w:val="24"/>
                <w:lang w:val="ro-RO"/>
              </w:rPr>
              <w:t>6. Modul de încorporare a actului în cadrul normativ în vigoare</w:t>
            </w:r>
          </w:p>
        </w:tc>
      </w:tr>
      <w:tr w:rsidR="00E33D41" w:rsidRPr="00B05EDA" w:rsidTr="00A75AE6">
        <w:tc>
          <w:tcPr>
            <w:tcW w:w="5000" w:type="pct"/>
          </w:tcPr>
          <w:p w:rsidR="00E33D41" w:rsidRPr="007D66FE" w:rsidRDefault="00B3644A" w:rsidP="00335F23">
            <w:pPr>
              <w:tabs>
                <w:tab w:val="left" w:pos="884"/>
                <w:tab w:val="left" w:pos="1196"/>
              </w:tabs>
              <w:spacing w:after="0"/>
              <w:jc w:val="both"/>
              <w:rPr>
                <w:rFonts w:ascii="Times New Roman" w:hAnsi="Times New Roman"/>
                <w:sz w:val="24"/>
                <w:szCs w:val="24"/>
                <w:lang w:val="ro-RO"/>
              </w:rPr>
            </w:pPr>
            <w:r w:rsidRPr="007D66FE">
              <w:rPr>
                <w:rFonts w:ascii="Times New Roman" w:hAnsi="Times New Roman"/>
                <w:sz w:val="24"/>
                <w:szCs w:val="24"/>
                <w:lang w:val="ro-RO"/>
              </w:rPr>
              <w:t>Proiectul se încorporează în sistemul actelor normative și nu necesita abrogarea unor acte normative.</w:t>
            </w:r>
            <w:r w:rsidR="00EF2B35" w:rsidRPr="007D66FE">
              <w:rPr>
                <w:rFonts w:ascii="Times New Roman" w:hAnsi="Times New Roman"/>
                <w:sz w:val="24"/>
                <w:szCs w:val="24"/>
                <w:lang w:val="ro-RO"/>
              </w:rPr>
              <w:t xml:space="preserve"> </w:t>
            </w:r>
          </w:p>
        </w:tc>
      </w:tr>
      <w:tr w:rsidR="00E33D41" w:rsidRPr="00B05EDA" w:rsidTr="00A75AE6">
        <w:tc>
          <w:tcPr>
            <w:tcW w:w="5000" w:type="pct"/>
          </w:tcPr>
          <w:p w:rsidR="00E33D41" w:rsidRPr="007D66FE" w:rsidRDefault="00E33D41" w:rsidP="00CB5030">
            <w:pPr>
              <w:tabs>
                <w:tab w:val="left" w:pos="884"/>
                <w:tab w:val="left" w:pos="1196"/>
              </w:tabs>
              <w:spacing w:after="0"/>
              <w:jc w:val="both"/>
              <w:rPr>
                <w:rFonts w:ascii="Times New Roman" w:hAnsi="Times New Roman"/>
                <w:b/>
                <w:i/>
                <w:sz w:val="24"/>
                <w:szCs w:val="24"/>
                <w:lang w:val="ro-RO"/>
              </w:rPr>
            </w:pPr>
            <w:r w:rsidRPr="007D66FE">
              <w:rPr>
                <w:rFonts w:ascii="Times New Roman" w:hAnsi="Times New Roman"/>
                <w:b/>
                <w:i/>
                <w:sz w:val="24"/>
                <w:szCs w:val="24"/>
                <w:lang w:val="ro-RO"/>
              </w:rPr>
              <w:t>7. Avizarea şi consultarea publică a proiectului</w:t>
            </w:r>
          </w:p>
        </w:tc>
      </w:tr>
      <w:tr w:rsidR="00E33D41" w:rsidRPr="00B05EDA" w:rsidTr="00A75AE6">
        <w:tc>
          <w:tcPr>
            <w:tcW w:w="5000" w:type="pct"/>
          </w:tcPr>
          <w:p w:rsidR="00135C1C" w:rsidRPr="007D66FE" w:rsidRDefault="005E7687" w:rsidP="00CB5030">
            <w:pPr>
              <w:spacing w:after="0"/>
              <w:rPr>
                <w:rFonts w:ascii="Times New Roman" w:hAnsi="Times New Roman"/>
                <w:i/>
                <w:sz w:val="24"/>
                <w:szCs w:val="24"/>
                <w:lang w:val="ro-RO"/>
              </w:rPr>
            </w:pPr>
            <w:r w:rsidRPr="007D66FE">
              <w:rPr>
                <w:rFonts w:ascii="Times New Roman" w:hAnsi="Times New Roman"/>
                <w:sz w:val="24"/>
                <w:szCs w:val="24"/>
                <w:lang w:val="ro-RO"/>
              </w:rPr>
              <w:t>Conform prevederilor Legii</w:t>
            </w:r>
            <w:r w:rsidR="00135C1C" w:rsidRPr="007D66FE">
              <w:rPr>
                <w:rFonts w:ascii="Times New Roman" w:hAnsi="Times New Roman"/>
                <w:sz w:val="24"/>
                <w:szCs w:val="24"/>
                <w:lang w:val="ro-RO"/>
              </w:rPr>
              <w:t xml:space="preserve"> 239/2008 privind transpar</w:t>
            </w:r>
            <w:r w:rsidR="00B3652E" w:rsidRPr="007D66FE">
              <w:rPr>
                <w:rFonts w:ascii="Times New Roman" w:hAnsi="Times New Roman"/>
                <w:sz w:val="24"/>
                <w:szCs w:val="24"/>
                <w:lang w:val="ro-RO"/>
              </w:rPr>
              <w:t>e</w:t>
            </w:r>
            <w:r w:rsidR="00135C1C" w:rsidRPr="007D66FE">
              <w:rPr>
                <w:rFonts w:ascii="Times New Roman" w:hAnsi="Times New Roman"/>
                <w:sz w:val="24"/>
                <w:szCs w:val="24"/>
                <w:lang w:val="ro-RO"/>
              </w:rPr>
              <w:t>n</w:t>
            </w:r>
            <w:r w:rsidR="00B3652E" w:rsidRPr="007D66FE">
              <w:rPr>
                <w:rFonts w:ascii="Times New Roman" w:hAnsi="Times New Roman"/>
                <w:sz w:val="24"/>
                <w:szCs w:val="24"/>
                <w:lang w:val="ro-RO"/>
              </w:rPr>
              <w:t>ț</w:t>
            </w:r>
            <w:r w:rsidR="00135C1C" w:rsidRPr="007D66FE">
              <w:rPr>
                <w:rFonts w:ascii="Times New Roman" w:hAnsi="Times New Roman"/>
                <w:sz w:val="24"/>
                <w:szCs w:val="24"/>
                <w:lang w:val="ro-RO"/>
              </w:rPr>
              <w:t xml:space="preserve">a </w:t>
            </w:r>
            <w:r w:rsidR="00B3652E" w:rsidRPr="007D66FE">
              <w:rPr>
                <w:rFonts w:ascii="Times New Roman" w:hAnsi="Times New Roman"/>
                <w:sz w:val="24"/>
                <w:szCs w:val="24"/>
                <w:lang w:val="ro-RO"/>
              </w:rPr>
              <w:t>în procesul decizional ș</w:t>
            </w:r>
            <w:r w:rsidRPr="007D66FE">
              <w:rPr>
                <w:rFonts w:ascii="Times New Roman" w:hAnsi="Times New Roman"/>
                <w:sz w:val="24"/>
                <w:szCs w:val="24"/>
                <w:lang w:val="ro-RO"/>
              </w:rPr>
              <w:t>i ale L</w:t>
            </w:r>
            <w:r w:rsidR="00135C1C" w:rsidRPr="007D66FE">
              <w:rPr>
                <w:rFonts w:ascii="Times New Roman" w:hAnsi="Times New Roman"/>
                <w:sz w:val="24"/>
                <w:szCs w:val="24"/>
                <w:lang w:val="ro-RO"/>
              </w:rPr>
              <w:t>egii nr. 100/2017 cu privire la actel</w:t>
            </w:r>
            <w:r w:rsidR="00B3652E" w:rsidRPr="007D66FE">
              <w:rPr>
                <w:rFonts w:ascii="Times New Roman" w:hAnsi="Times New Roman"/>
                <w:sz w:val="24"/>
                <w:szCs w:val="24"/>
                <w:lang w:val="ro-RO"/>
              </w:rPr>
              <w:t>e normative</w:t>
            </w:r>
            <w:r w:rsidR="00C73F64" w:rsidRPr="007D66FE">
              <w:rPr>
                <w:rFonts w:ascii="Times New Roman" w:hAnsi="Times New Roman"/>
                <w:sz w:val="24"/>
                <w:szCs w:val="24"/>
                <w:lang w:val="ro-RO"/>
              </w:rPr>
              <w:t xml:space="preserve">, </w:t>
            </w:r>
            <w:r w:rsidR="00D02F8C" w:rsidRPr="007D66FE">
              <w:rPr>
                <w:rFonts w:ascii="Times New Roman" w:hAnsi="Times New Roman"/>
                <w:color w:val="333333"/>
                <w:sz w:val="24"/>
                <w:szCs w:val="24"/>
                <w:shd w:val="clear" w:color="auto" w:fill="FFFFFF"/>
                <w:lang w:val="ro-RO"/>
              </w:rPr>
              <w:t>anunțul</w:t>
            </w:r>
            <w:r w:rsidR="00C73F64" w:rsidRPr="007D66FE">
              <w:rPr>
                <w:rFonts w:ascii="Times New Roman" w:hAnsi="Times New Roman"/>
                <w:color w:val="333333"/>
                <w:sz w:val="24"/>
                <w:szCs w:val="24"/>
                <w:shd w:val="clear" w:color="auto" w:fill="FFFFFF"/>
                <w:lang w:val="ro-RO"/>
              </w:rPr>
              <w:t xml:space="preserve"> privind </w:t>
            </w:r>
            <w:r w:rsidR="00D02F8C" w:rsidRPr="007D66FE">
              <w:rPr>
                <w:rFonts w:ascii="Times New Roman" w:hAnsi="Times New Roman"/>
                <w:color w:val="333333"/>
                <w:sz w:val="24"/>
                <w:szCs w:val="24"/>
                <w:shd w:val="clear" w:color="auto" w:fill="FFFFFF"/>
                <w:lang w:val="ro-RO"/>
              </w:rPr>
              <w:t>inițiativa</w:t>
            </w:r>
            <w:r w:rsidR="00C73F64" w:rsidRPr="007D66FE">
              <w:rPr>
                <w:rFonts w:ascii="Times New Roman" w:hAnsi="Times New Roman"/>
                <w:color w:val="333333"/>
                <w:sz w:val="24"/>
                <w:szCs w:val="24"/>
                <w:shd w:val="clear" w:color="auto" w:fill="FFFFFF"/>
                <w:lang w:val="ro-RO"/>
              </w:rPr>
              <w:t xml:space="preserve"> de elaborare a actului normativ men</w:t>
            </w:r>
            <w:r w:rsidR="00D02F8C" w:rsidRPr="007D66FE">
              <w:rPr>
                <w:rFonts w:ascii="Times New Roman" w:hAnsi="Times New Roman"/>
                <w:color w:val="333333"/>
                <w:sz w:val="24"/>
                <w:szCs w:val="24"/>
                <w:shd w:val="clear" w:color="auto" w:fill="FFFFFF"/>
                <w:lang w:val="ro-RO"/>
              </w:rPr>
              <w:t>ționat</w:t>
            </w:r>
            <w:r w:rsidR="00DF0280" w:rsidRPr="007D66FE">
              <w:rPr>
                <w:rFonts w:ascii="Times New Roman" w:hAnsi="Times New Roman"/>
                <w:color w:val="333333"/>
                <w:sz w:val="24"/>
                <w:szCs w:val="24"/>
                <w:shd w:val="clear" w:color="auto" w:fill="FFFFFF"/>
                <w:lang w:val="ro-RO"/>
              </w:rPr>
              <w:t xml:space="preserve"> </w:t>
            </w:r>
            <w:r w:rsidR="00600464" w:rsidRPr="007D66FE">
              <w:rPr>
                <w:rFonts w:ascii="Times New Roman" w:hAnsi="Times New Roman"/>
                <w:sz w:val="24"/>
                <w:szCs w:val="24"/>
                <w:lang w:val="ro-RO"/>
              </w:rPr>
              <w:t xml:space="preserve">a fost plasat pe pagina web </w:t>
            </w:r>
            <w:r w:rsidR="00036B17" w:rsidRPr="007D66FE">
              <w:rPr>
                <w:rFonts w:ascii="Times New Roman" w:hAnsi="Times New Roman"/>
                <w:sz w:val="24"/>
                <w:szCs w:val="24"/>
                <w:lang w:val="ro-RO"/>
              </w:rPr>
              <w:t xml:space="preserve">a Ministerului Educației și Cercetării </w:t>
            </w:r>
            <w:r w:rsidR="00DF0280" w:rsidRPr="007D66FE">
              <w:rPr>
                <w:rFonts w:ascii="Times New Roman" w:hAnsi="Times New Roman"/>
                <w:sz w:val="24"/>
                <w:szCs w:val="24"/>
                <w:lang w:val="ro-RO"/>
              </w:rPr>
              <w:t xml:space="preserve">în </w:t>
            </w:r>
            <w:r w:rsidR="00036B17" w:rsidRPr="007D66FE">
              <w:rPr>
                <w:rFonts w:ascii="Times New Roman" w:hAnsi="Times New Roman"/>
                <w:sz w:val="24"/>
                <w:szCs w:val="24"/>
                <w:lang w:val="ro-RO"/>
              </w:rPr>
              <w:t xml:space="preserve">rubrica: </w:t>
            </w:r>
            <w:r w:rsidR="00036B17" w:rsidRPr="007D66FE">
              <w:rPr>
                <w:rFonts w:ascii="Times New Roman" w:hAnsi="Times New Roman"/>
                <w:i/>
                <w:sz w:val="24"/>
                <w:szCs w:val="24"/>
                <w:lang w:val="ro-RO"/>
              </w:rPr>
              <w:t>Transparența decizională/</w:t>
            </w:r>
            <w:hyperlink r:id="rId6" w:history="1">
              <w:r w:rsidR="00036B17" w:rsidRPr="007D66FE">
                <w:rPr>
                  <w:rStyle w:val="a5"/>
                  <w:rFonts w:ascii="Times New Roman" w:hAnsi="Times New Roman"/>
                  <w:i/>
                  <w:color w:val="auto"/>
                  <w:sz w:val="24"/>
                  <w:szCs w:val="24"/>
                  <w:u w:val="none"/>
                  <w:lang w:val="ro-RO"/>
                </w:rPr>
                <w:t>Anunțuri privind inițierea elaborării deciziilor</w:t>
              </w:r>
            </w:hyperlink>
            <w:r w:rsidR="00036B17" w:rsidRPr="007D66FE">
              <w:rPr>
                <w:rFonts w:ascii="Times New Roman" w:hAnsi="Times New Roman"/>
                <w:i/>
                <w:sz w:val="24"/>
                <w:szCs w:val="24"/>
                <w:lang w:val="ro-RO"/>
              </w:rPr>
              <w:t xml:space="preserve">: </w:t>
            </w:r>
            <w:hyperlink r:id="rId7" w:history="1">
              <w:r w:rsidR="00793983" w:rsidRPr="007D66FE">
                <w:rPr>
                  <w:rStyle w:val="a5"/>
                  <w:rFonts w:ascii="Times New Roman" w:hAnsi="Times New Roman"/>
                  <w:i/>
                  <w:sz w:val="24"/>
                  <w:szCs w:val="24"/>
                  <w:lang w:val="ro-RO"/>
                </w:rPr>
                <w:t>https://particip.gov.md/ro/document/stages/anunt-privind-elaborarea-proiectului-hotararii-guvernului-cu-privire-la-aprobarea-listelor-studentilor-din-institutiile-de-invatamant-superior-si-elevilor-din-institutiile-de-invatamant-profesional-tehnic-postsecundar-carora-li-se-acorda-burse-de-merit-in-anul-de-studii-2023-2024-este-elaborat-de-catre-ministerul-educatiei-si-cercetarii/10797</w:t>
              </w:r>
            </w:hyperlink>
            <w:r w:rsidR="00793983" w:rsidRPr="007D66FE">
              <w:rPr>
                <w:rFonts w:ascii="Times New Roman" w:hAnsi="Times New Roman"/>
                <w:i/>
                <w:sz w:val="24"/>
                <w:szCs w:val="24"/>
                <w:lang w:val="ro-RO"/>
              </w:rPr>
              <w:t>.</w:t>
            </w:r>
          </w:p>
          <w:p w:rsidR="002F504D" w:rsidRPr="007D66FE" w:rsidRDefault="002F504D" w:rsidP="00CB5030">
            <w:pPr>
              <w:spacing w:after="0"/>
              <w:rPr>
                <w:rFonts w:ascii="Times New Roman" w:hAnsi="Times New Roman"/>
                <w:i/>
                <w:sz w:val="24"/>
                <w:szCs w:val="24"/>
                <w:lang w:val="ro-RO"/>
              </w:rPr>
            </w:pPr>
            <w:r w:rsidRPr="007D66FE">
              <w:rPr>
                <w:rFonts w:ascii="Times New Roman" w:hAnsi="Times New Roman"/>
                <w:sz w:val="24"/>
                <w:szCs w:val="24"/>
                <w:lang w:val="ro-RO"/>
              </w:rPr>
              <w:t xml:space="preserve">Pentru consultări publice proiectul urmează a fi plasat pe pagina web a Ministerului Educației și Cercetării în rubrica: </w:t>
            </w:r>
            <w:r w:rsidRPr="007D66FE">
              <w:rPr>
                <w:rFonts w:ascii="Times New Roman" w:hAnsi="Times New Roman"/>
                <w:i/>
                <w:sz w:val="24"/>
                <w:szCs w:val="24"/>
                <w:lang w:val="ro-RO"/>
              </w:rPr>
              <w:t>Transparența decizională.</w:t>
            </w:r>
          </w:p>
        </w:tc>
      </w:tr>
      <w:tr w:rsidR="00E33D41" w:rsidRPr="007D66FE" w:rsidTr="00A75AE6">
        <w:tc>
          <w:tcPr>
            <w:tcW w:w="5000" w:type="pct"/>
          </w:tcPr>
          <w:p w:rsidR="00E33D41" w:rsidRPr="007D66FE" w:rsidRDefault="00E33D41" w:rsidP="00CB5030">
            <w:pPr>
              <w:tabs>
                <w:tab w:val="left" w:pos="884"/>
                <w:tab w:val="left" w:pos="1196"/>
              </w:tabs>
              <w:spacing w:after="0"/>
              <w:jc w:val="both"/>
              <w:rPr>
                <w:rFonts w:ascii="Times New Roman" w:hAnsi="Times New Roman"/>
                <w:b/>
                <w:i/>
                <w:sz w:val="24"/>
                <w:szCs w:val="24"/>
                <w:lang w:val="ro-RO"/>
              </w:rPr>
            </w:pPr>
            <w:r w:rsidRPr="007D66FE">
              <w:rPr>
                <w:rFonts w:ascii="Times New Roman" w:hAnsi="Times New Roman"/>
                <w:b/>
                <w:i/>
                <w:sz w:val="24"/>
                <w:szCs w:val="24"/>
                <w:lang w:val="ro-RO"/>
              </w:rPr>
              <w:t>8. Constatările expertizei anticorupție</w:t>
            </w:r>
          </w:p>
        </w:tc>
      </w:tr>
      <w:tr w:rsidR="00E33D41" w:rsidRPr="00B05EDA" w:rsidTr="00A75AE6">
        <w:tc>
          <w:tcPr>
            <w:tcW w:w="5000" w:type="pct"/>
          </w:tcPr>
          <w:p w:rsidR="00E33D41" w:rsidRPr="007D66FE" w:rsidRDefault="00836BCA" w:rsidP="00CB5030">
            <w:pPr>
              <w:tabs>
                <w:tab w:val="left" w:pos="884"/>
                <w:tab w:val="left" w:pos="1196"/>
              </w:tabs>
              <w:spacing w:after="0"/>
              <w:jc w:val="both"/>
              <w:rPr>
                <w:rFonts w:ascii="Times New Roman" w:hAnsi="Times New Roman"/>
                <w:sz w:val="24"/>
                <w:szCs w:val="24"/>
                <w:lang w:val="ro-RO"/>
              </w:rPr>
            </w:pPr>
            <w:r w:rsidRPr="007D66FE">
              <w:rPr>
                <w:rFonts w:ascii="Times New Roman" w:hAnsi="Times New Roman"/>
                <w:sz w:val="24"/>
                <w:szCs w:val="24"/>
                <w:lang w:val="ro-RO"/>
              </w:rPr>
              <w:t xml:space="preserve">Proiectul </w:t>
            </w:r>
            <w:r w:rsidR="00135C1C" w:rsidRPr="007D66FE">
              <w:rPr>
                <w:rFonts w:ascii="Times New Roman" w:hAnsi="Times New Roman"/>
                <w:sz w:val="24"/>
                <w:szCs w:val="24"/>
                <w:lang w:val="ro-RO"/>
              </w:rPr>
              <w:t xml:space="preserve">va fi supus </w:t>
            </w:r>
            <w:r w:rsidRPr="007D66FE">
              <w:rPr>
                <w:rFonts w:ascii="Times New Roman" w:hAnsi="Times New Roman"/>
                <w:sz w:val="24"/>
                <w:szCs w:val="24"/>
                <w:lang w:val="ro-RO"/>
              </w:rPr>
              <w:t xml:space="preserve">expertizei </w:t>
            </w:r>
            <w:r w:rsidR="0039062D" w:rsidRPr="007D66FE">
              <w:rPr>
                <w:rFonts w:ascii="Times New Roman" w:hAnsi="Times New Roman"/>
                <w:sz w:val="24"/>
                <w:szCs w:val="24"/>
                <w:lang w:val="ro-RO"/>
              </w:rPr>
              <w:t>anticorupție</w:t>
            </w:r>
            <w:r w:rsidRPr="007D66FE">
              <w:rPr>
                <w:rFonts w:ascii="Times New Roman" w:hAnsi="Times New Roman"/>
                <w:sz w:val="24"/>
                <w:szCs w:val="24"/>
                <w:lang w:val="ro-RO"/>
              </w:rPr>
              <w:t>.</w:t>
            </w:r>
          </w:p>
        </w:tc>
      </w:tr>
      <w:tr w:rsidR="00E33D41" w:rsidRPr="007D66FE" w:rsidTr="00A75AE6">
        <w:tc>
          <w:tcPr>
            <w:tcW w:w="5000" w:type="pct"/>
          </w:tcPr>
          <w:p w:rsidR="00E33D41" w:rsidRPr="007D66FE" w:rsidRDefault="00E33D41" w:rsidP="00CB5030">
            <w:pPr>
              <w:tabs>
                <w:tab w:val="left" w:pos="884"/>
                <w:tab w:val="left" w:pos="1196"/>
              </w:tabs>
              <w:spacing w:after="0"/>
              <w:jc w:val="both"/>
              <w:rPr>
                <w:rFonts w:ascii="Times New Roman" w:hAnsi="Times New Roman"/>
                <w:b/>
                <w:i/>
                <w:sz w:val="24"/>
                <w:szCs w:val="24"/>
                <w:lang w:val="ro-RO"/>
              </w:rPr>
            </w:pPr>
            <w:r w:rsidRPr="007D66FE">
              <w:rPr>
                <w:rFonts w:ascii="Times New Roman" w:hAnsi="Times New Roman"/>
                <w:b/>
                <w:i/>
                <w:sz w:val="24"/>
                <w:szCs w:val="24"/>
                <w:lang w:val="ro-RO"/>
              </w:rPr>
              <w:t>9. Constatările expertizei de compatibilitate</w:t>
            </w:r>
          </w:p>
        </w:tc>
      </w:tr>
      <w:tr w:rsidR="00E33D41" w:rsidRPr="00B05EDA" w:rsidTr="00A75AE6">
        <w:tc>
          <w:tcPr>
            <w:tcW w:w="5000" w:type="pct"/>
          </w:tcPr>
          <w:p w:rsidR="00E33D41" w:rsidRPr="007D66FE" w:rsidRDefault="00135C1C" w:rsidP="00CB5030">
            <w:pPr>
              <w:tabs>
                <w:tab w:val="left" w:pos="884"/>
                <w:tab w:val="left" w:pos="1196"/>
              </w:tabs>
              <w:spacing w:after="0"/>
              <w:jc w:val="both"/>
              <w:rPr>
                <w:rFonts w:ascii="Times New Roman" w:hAnsi="Times New Roman"/>
                <w:sz w:val="24"/>
                <w:szCs w:val="24"/>
                <w:lang w:val="ro-RO"/>
              </w:rPr>
            </w:pPr>
            <w:r w:rsidRPr="007D66FE">
              <w:rPr>
                <w:rFonts w:ascii="Times New Roman" w:hAnsi="Times New Roman"/>
                <w:sz w:val="24"/>
                <w:szCs w:val="24"/>
                <w:lang w:val="ro-RO"/>
              </w:rPr>
              <w:t>Proiectul nu necesită efectuarea expertizei de compatibilitate dat fiind</w:t>
            </w:r>
            <w:r w:rsidR="006B0CF6" w:rsidRPr="007D66FE">
              <w:rPr>
                <w:rFonts w:ascii="Times New Roman" w:hAnsi="Times New Roman"/>
                <w:sz w:val="24"/>
                <w:szCs w:val="24"/>
                <w:lang w:val="ro-RO"/>
              </w:rPr>
              <w:t xml:space="preserve"> faptul</w:t>
            </w:r>
            <w:r w:rsidRPr="007D66FE">
              <w:rPr>
                <w:rFonts w:ascii="Times New Roman" w:hAnsi="Times New Roman"/>
                <w:sz w:val="24"/>
                <w:szCs w:val="24"/>
                <w:lang w:val="ro-RO"/>
              </w:rPr>
              <w:t xml:space="preserve"> că nu prezintă relevanța UE</w:t>
            </w:r>
          </w:p>
        </w:tc>
      </w:tr>
      <w:tr w:rsidR="00E33D41" w:rsidRPr="007D66FE" w:rsidTr="00A75AE6">
        <w:tc>
          <w:tcPr>
            <w:tcW w:w="5000" w:type="pct"/>
          </w:tcPr>
          <w:p w:rsidR="00E33D41" w:rsidRPr="007D66FE" w:rsidRDefault="00E33D41" w:rsidP="00CB5030">
            <w:pPr>
              <w:tabs>
                <w:tab w:val="left" w:pos="884"/>
                <w:tab w:val="left" w:pos="1196"/>
              </w:tabs>
              <w:spacing w:after="0"/>
              <w:jc w:val="both"/>
              <w:rPr>
                <w:rFonts w:ascii="Times New Roman" w:hAnsi="Times New Roman"/>
                <w:b/>
                <w:i/>
                <w:sz w:val="24"/>
                <w:szCs w:val="24"/>
                <w:lang w:val="ro-RO"/>
              </w:rPr>
            </w:pPr>
            <w:r w:rsidRPr="007D66FE">
              <w:rPr>
                <w:rFonts w:ascii="Times New Roman" w:hAnsi="Times New Roman"/>
                <w:b/>
                <w:i/>
                <w:sz w:val="24"/>
                <w:szCs w:val="24"/>
                <w:lang w:val="ro-RO"/>
              </w:rPr>
              <w:t>10. Constatările expertizei juridice</w:t>
            </w:r>
          </w:p>
        </w:tc>
      </w:tr>
      <w:tr w:rsidR="00E33D41" w:rsidRPr="00B05EDA" w:rsidTr="00A75AE6">
        <w:tc>
          <w:tcPr>
            <w:tcW w:w="5000" w:type="pct"/>
          </w:tcPr>
          <w:p w:rsidR="00E33D41" w:rsidRPr="007D66FE" w:rsidRDefault="00135C1C" w:rsidP="00CB5030">
            <w:pPr>
              <w:tabs>
                <w:tab w:val="left" w:pos="884"/>
                <w:tab w:val="left" w:pos="1196"/>
              </w:tabs>
              <w:spacing w:after="0"/>
              <w:jc w:val="both"/>
              <w:rPr>
                <w:rFonts w:ascii="Times New Roman" w:hAnsi="Times New Roman"/>
                <w:sz w:val="24"/>
                <w:szCs w:val="24"/>
                <w:lang w:val="ro-RO"/>
              </w:rPr>
            </w:pPr>
            <w:r w:rsidRPr="007D66FE">
              <w:rPr>
                <w:rFonts w:ascii="Times New Roman" w:hAnsi="Times New Roman"/>
                <w:sz w:val="24"/>
                <w:szCs w:val="24"/>
                <w:lang w:val="ro-RO"/>
              </w:rPr>
              <w:t xml:space="preserve">Proiectul va fi supus expertizei </w:t>
            </w:r>
            <w:r w:rsidR="00836BCA" w:rsidRPr="007D66FE">
              <w:rPr>
                <w:rFonts w:ascii="Times New Roman" w:hAnsi="Times New Roman"/>
                <w:sz w:val="24"/>
                <w:szCs w:val="24"/>
                <w:lang w:val="ro-RO"/>
              </w:rPr>
              <w:t>juridice.</w:t>
            </w:r>
          </w:p>
        </w:tc>
      </w:tr>
      <w:tr w:rsidR="00E33D41" w:rsidRPr="007D66FE" w:rsidTr="00A75AE6">
        <w:tc>
          <w:tcPr>
            <w:tcW w:w="5000" w:type="pct"/>
          </w:tcPr>
          <w:p w:rsidR="00E33D41" w:rsidRPr="007D66FE" w:rsidRDefault="00E33D41" w:rsidP="00CB5030">
            <w:pPr>
              <w:tabs>
                <w:tab w:val="left" w:pos="884"/>
                <w:tab w:val="left" w:pos="1196"/>
              </w:tabs>
              <w:spacing w:after="0"/>
              <w:jc w:val="both"/>
              <w:rPr>
                <w:rFonts w:ascii="Times New Roman" w:hAnsi="Times New Roman"/>
                <w:b/>
                <w:i/>
                <w:sz w:val="24"/>
                <w:szCs w:val="24"/>
                <w:lang w:val="ro-RO"/>
              </w:rPr>
            </w:pPr>
            <w:r w:rsidRPr="007D66FE">
              <w:rPr>
                <w:rFonts w:ascii="Times New Roman" w:hAnsi="Times New Roman"/>
                <w:b/>
                <w:i/>
                <w:sz w:val="24"/>
                <w:szCs w:val="24"/>
                <w:lang w:val="ro-RO"/>
              </w:rPr>
              <w:t>11. Constatările altor expertize</w:t>
            </w:r>
          </w:p>
        </w:tc>
      </w:tr>
      <w:tr w:rsidR="00E33D41" w:rsidRPr="00B05EDA" w:rsidTr="00A75AE6">
        <w:tc>
          <w:tcPr>
            <w:tcW w:w="5000" w:type="pct"/>
          </w:tcPr>
          <w:p w:rsidR="00E33D41" w:rsidRPr="007D66FE" w:rsidRDefault="00836BCA" w:rsidP="00CB5030">
            <w:pPr>
              <w:tabs>
                <w:tab w:val="left" w:pos="884"/>
                <w:tab w:val="left" w:pos="1196"/>
              </w:tabs>
              <w:spacing w:after="0"/>
              <w:jc w:val="both"/>
              <w:rPr>
                <w:rFonts w:ascii="Times New Roman" w:hAnsi="Times New Roman"/>
                <w:sz w:val="24"/>
                <w:szCs w:val="24"/>
                <w:lang w:val="ro-RO"/>
              </w:rPr>
            </w:pPr>
            <w:r w:rsidRPr="007D66FE">
              <w:rPr>
                <w:rFonts w:ascii="Times New Roman" w:hAnsi="Times New Roman"/>
                <w:sz w:val="24"/>
                <w:szCs w:val="24"/>
                <w:lang w:val="ro-RO"/>
              </w:rPr>
              <w:t xml:space="preserve">Proiectul </w:t>
            </w:r>
            <w:r w:rsidR="00135C1C" w:rsidRPr="007D66FE">
              <w:rPr>
                <w:rFonts w:ascii="Times New Roman" w:hAnsi="Times New Roman"/>
                <w:sz w:val="24"/>
                <w:szCs w:val="24"/>
                <w:lang w:val="ro-RO"/>
              </w:rPr>
              <w:t xml:space="preserve">nu necesită a fi </w:t>
            </w:r>
            <w:r w:rsidRPr="007D66FE">
              <w:rPr>
                <w:rFonts w:ascii="Times New Roman" w:hAnsi="Times New Roman"/>
                <w:sz w:val="24"/>
                <w:szCs w:val="24"/>
                <w:lang w:val="ro-RO"/>
              </w:rPr>
              <w:t>supus altor expertize.</w:t>
            </w:r>
          </w:p>
        </w:tc>
      </w:tr>
    </w:tbl>
    <w:p w:rsidR="00E33D41" w:rsidRPr="007D66FE" w:rsidRDefault="00E33D41" w:rsidP="00CB5030">
      <w:pPr>
        <w:tabs>
          <w:tab w:val="left" w:pos="884"/>
          <w:tab w:val="left" w:pos="1196"/>
        </w:tabs>
        <w:spacing w:after="0"/>
        <w:jc w:val="center"/>
        <w:rPr>
          <w:rFonts w:ascii="Times New Roman" w:hAnsi="Times New Roman"/>
          <w:bCs/>
          <w:sz w:val="24"/>
          <w:szCs w:val="24"/>
          <w:vertAlign w:val="superscript"/>
          <w:lang w:val="ro-RO"/>
        </w:rPr>
      </w:pPr>
    </w:p>
    <w:p w:rsidR="00E33D41" w:rsidRPr="007D66FE" w:rsidRDefault="0054168F" w:rsidP="00CB5030">
      <w:pPr>
        <w:tabs>
          <w:tab w:val="left" w:pos="884"/>
          <w:tab w:val="left" w:pos="1196"/>
        </w:tabs>
        <w:spacing w:after="0"/>
        <w:ind w:firstLine="540"/>
        <w:jc w:val="center"/>
        <w:rPr>
          <w:rFonts w:ascii="Times New Roman" w:hAnsi="Times New Roman"/>
          <w:b/>
          <w:color w:val="000000"/>
          <w:sz w:val="24"/>
          <w:szCs w:val="24"/>
          <w:lang w:val="ro-RO"/>
        </w:rPr>
      </w:pPr>
      <w:r w:rsidRPr="007D66FE">
        <w:rPr>
          <w:rFonts w:ascii="Times New Roman" w:hAnsi="Times New Roman"/>
          <w:b/>
          <w:color w:val="000000"/>
          <w:sz w:val="24"/>
          <w:szCs w:val="24"/>
          <w:lang w:val="ro-RO"/>
        </w:rPr>
        <w:t>Ministru</w:t>
      </w:r>
      <w:r w:rsidRPr="007D66FE">
        <w:rPr>
          <w:rFonts w:ascii="Times New Roman" w:hAnsi="Times New Roman"/>
          <w:sz w:val="24"/>
          <w:szCs w:val="24"/>
          <w:lang w:val="ro-RO"/>
        </w:rPr>
        <w:tab/>
      </w:r>
      <w:r w:rsidRPr="007D66FE">
        <w:rPr>
          <w:rFonts w:ascii="Times New Roman" w:hAnsi="Times New Roman"/>
          <w:sz w:val="24"/>
          <w:szCs w:val="24"/>
          <w:lang w:val="ro-RO"/>
        </w:rPr>
        <w:tab/>
      </w:r>
      <w:r w:rsidRPr="007D66FE">
        <w:rPr>
          <w:rFonts w:ascii="Times New Roman" w:hAnsi="Times New Roman"/>
          <w:sz w:val="24"/>
          <w:szCs w:val="24"/>
          <w:lang w:val="ro-RO"/>
        </w:rPr>
        <w:tab/>
      </w:r>
      <w:r w:rsidRPr="007D66FE">
        <w:rPr>
          <w:rFonts w:ascii="Times New Roman" w:hAnsi="Times New Roman"/>
          <w:sz w:val="24"/>
          <w:szCs w:val="24"/>
          <w:lang w:val="ro-RO"/>
        </w:rPr>
        <w:tab/>
      </w:r>
      <w:r w:rsidRPr="007D66FE">
        <w:rPr>
          <w:rFonts w:ascii="Times New Roman" w:hAnsi="Times New Roman"/>
          <w:sz w:val="24"/>
          <w:szCs w:val="24"/>
          <w:lang w:val="ro-RO"/>
        </w:rPr>
        <w:tab/>
      </w:r>
      <w:r w:rsidR="00DF0280" w:rsidRPr="007D66FE">
        <w:rPr>
          <w:rFonts w:ascii="Times New Roman" w:hAnsi="Times New Roman"/>
          <w:b/>
          <w:color w:val="000000"/>
          <w:sz w:val="24"/>
          <w:szCs w:val="24"/>
          <w:lang w:val="ro-RO"/>
        </w:rPr>
        <w:t>Dan PERCIUN</w:t>
      </w:r>
    </w:p>
    <w:p w:rsidR="0063398B" w:rsidRPr="007D66FE" w:rsidRDefault="0063398B" w:rsidP="00CB5030">
      <w:pPr>
        <w:tabs>
          <w:tab w:val="left" w:pos="884"/>
          <w:tab w:val="left" w:pos="1196"/>
        </w:tabs>
        <w:spacing w:after="0"/>
        <w:rPr>
          <w:rFonts w:ascii="Times New Roman" w:hAnsi="Times New Roman"/>
          <w:b/>
          <w:color w:val="000000"/>
          <w:sz w:val="24"/>
          <w:szCs w:val="24"/>
          <w:lang w:val="ro-RO"/>
        </w:rPr>
      </w:pPr>
    </w:p>
    <w:p w:rsidR="00A6040D" w:rsidRPr="007D66FE" w:rsidRDefault="00A6040D" w:rsidP="00A6040D">
      <w:pPr>
        <w:spacing w:after="0" w:line="240" w:lineRule="auto"/>
        <w:jc w:val="both"/>
        <w:rPr>
          <w:rFonts w:ascii="Times New Roman" w:hAnsi="Times New Roman"/>
          <w:sz w:val="20"/>
          <w:szCs w:val="20"/>
          <w:lang w:val="ro-RO"/>
        </w:rPr>
      </w:pPr>
      <w:r w:rsidRPr="007D66FE">
        <w:rPr>
          <w:rFonts w:ascii="Times New Roman" w:hAnsi="Times New Roman"/>
          <w:sz w:val="20"/>
          <w:szCs w:val="20"/>
          <w:lang w:val="ro-RO"/>
        </w:rPr>
        <w:t>Arcadi</w:t>
      </w:r>
      <w:r w:rsidR="00D4650C" w:rsidRPr="007D66FE">
        <w:rPr>
          <w:rFonts w:ascii="Times New Roman" w:hAnsi="Times New Roman"/>
          <w:sz w:val="20"/>
          <w:szCs w:val="20"/>
          <w:lang w:val="ro-RO"/>
        </w:rPr>
        <w:t>i</w:t>
      </w:r>
      <w:r w:rsidRPr="007D66FE">
        <w:rPr>
          <w:rFonts w:ascii="Times New Roman" w:hAnsi="Times New Roman"/>
          <w:sz w:val="20"/>
          <w:szCs w:val="20"/>
          <w:lang w:val="ro-RO"/>
        </w:rPr>
        <w:t xml:space="preserve"> Andronic, tel: 022-232464</w:t>
      </w:r>
    </w:p>
    <w:p w:rsidR="0063398B" w:rsidRPr="007D66FE" w:rsidRDefault="00B05EDA" w:rsidP="00A6040D">
      <w:pPr>
        <w:tabs>
          <w:tab w:val="left" w:pos="5504"/>
        </w:tabs>
        <w:spacing w:after="0" w:line="240" w:lineRule="auto"/>
        <w:jc w:val="both"/>
        <w:rPr>
          <w:rFonts w:ascii="Times New Roman" w:hAnsi="Times New Roman"/>
          <w:lang w:val="ro-RO"/>
        </w:rPr>
      </w:pPr>
      <w:hyperlink r:id="rId8" w:history="1">
        <w:r w:rsidR="00A6040D" w:rsidRPr="007D66FE">
          <w:rPr>
            <w:rStyle w:val="a5"/>
            <w:rFonts w:ascii="Times New Roman" w:hAnsi="Times New Roman"/>
            <w:sz w:val="20"/>
            <w:szCs w:val="20"/>
            <w:lang w:val="ro-RO"/>
          </w:rPr>
          <w:t>arcadii.andronic@mecc.gov.md</w:t>
        </w:r>
      </w:hyperlink>
    </w:p>
    <w:sectPr w:rsidR="0063398B" w:rsidRPr="007D66FE" w:rsidSect="0045151D">
      <w:pgSz w:w="12240" w:h="15840"/>
      <w:pgMar w:top="567"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7049A"/>
    <w:multiLevelType w:val="hybridMultilevel"/>
    <w:tmpl w:val="5FE8B5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A2179F1"/>
    <w:multiLevelType w:val="multilevel"/>
    <w:tmpl w:val="AB30D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E665A5"/>
    <w:multiLevelType w:val="hybridMultilevel"/>
    <w:tmpl w:val="61F8FE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D41"/>
    <w:rsid w:val="00014596"/>
    <w:rsid w:val="000318ED"/>
    <w:rsid w:val="00036B17"/>
    <w:rsid w:val="00046600"/>
    <w:rsid w:val="00050592"/>
    <w:rsid w:val="00063357"/>
    <w:rsid w:val="00135C1C"/>
    <w:rsid w:val="001456B0"/>
    <w:rsid w:val="00166E5E"/>
    <w:rsid w:val="0016727F"/>
    <w:rsid w:val="00174BC2"/>
    <w:rsid w:val="00205E78"/>
    <w:rsid w:val="00212FB9"/>
    <w:rsid w:val="00214E08"/>
    <w:rsid w:val="002C5595"/>
    <w:rsid w:val="002C7D2D"/>
    <w:rsid w:val="002F504D"/>
    <w:rsid w:val="00335F23"/>
    <w:rsid w:val="003447EA"/>
    <w:rsid w:val="0035509E"/>
    <w:rsid w:val="00370A96"/>
    <w:rsid w:val="0039062D"/>
    <w:rsid w:val="003D5CD1"/>
    <w:rsid w:val="003F03C5"/>
    <w:rsid w:val="00434EE5"/>
    <w:rsid w:val="0045151D"/>
    <w:rsid w:val="00472100"/>
    <w:rsid w:val="004847C5"/>
    <w:rsid w:val="004A24B1"/>
    <w:rsid w:val="004D7B50"/>
    <w:rsid w:val="00500176"/>
    <w:rsid w:val="00507B31"/>
    <w:rsid w:val="0054168F"/>
    <w:rsid w:val="00593022"/>
    <w:rsid w:val="005B55DD"/>
    <w:rsid w:val="005C227F"/>
    <w:rsid w:val="005E7687"/>
    <w:rsid w:val="005E7ED9"/>
    <w:rsid w:val="00600464"/>
    <w:rsid w:val="0063398B"/>
    <w:rsid w:val="00672CA6"/>
    <w:rsid w:val="00681A5A"/>
    <w:rsid w:val="00694C12"/>
    <w:rsid w:val="006B0CF6"/>
    <w:rsid w:val="006B7633"/>
    <w:rsid w:val="00714F9C"/>
    <w:rsid w:val="007212A5"/>
    <w:rsid w:val="00732ED2"/>
    <w:rsid w:val="007870EF"/>
    <w:rsid w:val="00793983"/>
    <w:rsid w:val="007D66FE"/>
    <w:rsid w:val="007F18B2"/>
    <w:rsid w:val="007F6158"/>
    <w:rsid w:val="00802E3D"/>
    <w:rsid w:val="00836BCA"/>
    <w:rsid w:val="008422F5"/>
    <w:rsid w:val="00866F18"/>
    <w:rsid w:val="00874F7B"/>
    <w:rsid w:val="008E546F"/>
    <w:rsid w:val="00937ECD"/>
    <w:rsid w:val="009604C6"/>
    <w:rsid w:val="00984DA7"/>
    <w:rsid w:val="009A239E"/>
    <w:rsid w:val="00A55262"/>
    <w:rsid w:val="00A6040D"/>
    <w:rsid w:val="00AF0971"/>
    <w:rsid w:val="00AF6D38"/>
    <w:rsid w:val="00AF7778"/>
    <w:rsid w:val="00B05EDA"/>
    <w:rsid w:val="00B3644A"/>
    <w:rsid w:val="00B3652E"/>
    <w:rsid w:val="00B4227E"/>
    <w:rsid w:val="00B6625E"/>
    <w:rsid w:val="00B6739F"/>
    <w:rsid w:val="00B745D8"/>
    <w:rsid w:val="00B96179"/>
    <w:rsid w:val="00BB20D2"/>
    <w:rsid w:val="00BB663D"/>
    <w:rsid w:val="00BD7E71"/>
    <w:rsid w:val="00BE5185"/>
    <w:rsid w:val="00C00532"/>
    <w:rsid w:val="00C03126"/>
    <w:rsid w:val="00C12F92"/>
    <w:rsid w:val="00C65530"/>
    <w:rsid w:val="00C73F64"/>
    <w:rsid w:val="00C8784E"/>
    <w:rsid w:val="00C87B82"/>
    <w:rsid w:val="00C92961"/>
    <w:rsid w:val="00CB5030"/>
    <w:rsid w:val="00CE4F23"/>
    <w:rsid w:val="00D02F8C"/>
    <w:rsid w:val="00D4650C"/>
    <w:rsid w:val="00D54789"/>
    <w:rsid w:val="00D63194"/>
    <w:rsid w:val="00D7246F"/>
    <w:rsid w:val="00D86D43"/>
    <w:rsid w:val="00D97D95"/>
    <w:rsid w:val="00DB1C51"/>
    <w:rsid w:val="00DD3791"/>
    <w:rsid w:val="00DF0280"/>
    <w:rsid w:val="00E11993"/>
    <w:rsid w:val="00E33D41"/>
    <w:rsid w:val="00E67B55"/>
    <w:rsid w:val="00EB4775"/>
    <w:rsid w:val="00EF2B35"/>
    <w:rsid w:val="00F13042"/>
    <w:rsid w:val="00F75911"/>
    <w:rsid w:val="00F7643D"/>
    <w:rsid w:val="00F81010"/>
    <w:rsid w:val="00F84B77"/>
    <w:rsid w:val="00F974CE"/>
    <w:rsid w:val="00FD160A"/>
    <w:rsid w:val="00FF0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A48E00-FF68-4C76-93A8-8EC5450F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D41"/>
    <w:rPr>
      <w:rFonts w:ascii="Calibri" w:eastAsia="Calibri"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header">
    <w:name w:val="doc_header"/>
    <w:basedOn w:val="a0"/>
    <w:rsid w:val="00E33D41"/>
  </w:style>
  <w:style w:type="paragraph" w:styleId="a3">
    <w:name w:val="Normal (Web)"/>
    <w:basedOn w:val="a"/>
    <w:uiPriority w:val="99"/>
    <w:rsid w:val="00E33D41"/>
    <w:pPr>
      <w:spacing w:before="100" w:beforeAutospacing="1" w:after="100" w:afterAutospacing="1" w:line="240" w:lineRule="auto"/>
    </w:pPr>
    <w:rPr>
      <w:rFonts w:ascii="Times New Roman" w:eastAsia="Times New Roman" w:hAnsi="Times New Roman"/>
      <w:sz w:val="24"/>
      <w:szCs w:val="24"/>
      <w:lang w:val="en-US" w:eastAsia="en-US"/>
    </w:rPr>
  </w:style>
  <w:style w:type="paragraph" w:styleId="a4">
    <w:name w:val="No Spacing"/>
    <w:uiPriority w:val="1"/>
    <w:qFormat/>
    <w:rsid w:val="00E33D41"/>
    <w:pPr>
      <w:spacing w:after="0" w:line="240" w:lineRule="auto"/>
    </w:pPr>
    <w:rPr>
      <w:rFonts w:eastAsiaTheme="minorHAnsi"/>
      <w:lang w:eastAsia="en-US"/>
    </w:rPr>
  </w:style>
  <w:style w:type="character" w:styleId="a5">
    <w:name w:val="Hyperlink"/>
    <w:rsid w:val="00B3644A"/>
    <w:rPr>
      <w:color w:val="0563C1"/>
      <w:u w:val="single"/>
    </w:rPr>
  </w:style>
  <w:style w:type="paragraph" w:styleId="3">
    <w:name w:val="Body Text Indent 3"/>
    <w:basedOn w:val="a"/>
    <w:link w:val="30"/>
    <w:rsid w:val="007F6158"/>
    <w:pPr>
      <w:spacing w:after="120" w:line="240" w:lineRule="auto"/>
      <w:ind w:left="360"/>
    </w:pPr>
    <w:rPr>
      <w:rFonts w:ascii="Times New Roman" w:eastAsia="Times New Roman" w:hAnsi="Times New Roman"/>
      <w:sz w:val="16"/>
      <w:szCs w:val="16"/>
      <w:lang w:val="en-US" w:eastAsia="en-US"/>
    </w:rPr>
  </w:style>
  <w:style w:type="character" w:customStyle="1" w:styleId="30">
    <w:name w:val="Основной текст с отступом 3 Знак"/>
    <w:basedOn w:val="a0"/>
    <w:link w:val="3"/>
    <w:rsid w:val="007F6158"/>
    <w:rPr>
      <w:rFonts w:ascii="Times New Roman" w:eastAsia="Times New Roman" w:hAnsi="Times New Roman" w:cs="Times New Roman"/>
      <w:sz w:val="16"/>
      <w:szCs w:val="16"/>
      <w:lang w:eastAsia="en-US"/>
    </w:rPr>
  </w:style>
  <w:style w:type="character" w:customStyle="1" w:styleId="docbody1">
    <w:name w:val="doc_body1"/>
    <w:uiPriority w:val="99"/>
    <w:rsid w:val="007F6158"/>
    <w:rPr>
      <w:rFonts w:ascii="Times New Roman" w:hAnsi="Times New Roman"/>
      <w:color w:val="000000"/>
      <w:sz w:val="24"/>
    </w:rPr>
  </w:style>
  <w:style w:type="paragraph" w:styleId="a6">
    <w:name w:val="Balloon Text"/>
    <w:basedOn w:val="a"/>
    <w:link w:val="a7"/>
    <w:uiPriority w:val="99"/>
    <w:semiHidden/>
    <w:unhideWhenUsed/>
    <w:rsid w:val="0063398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3398B"/>
    <w:rPr>
      <w:rFonts w:ascii="Segoe UI" w:eastAsia="Calibr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cadii.andronic@mecc.gov.md" TargetMode="External"/><Relationship Id="rId3" Type="http://schemas.openxmlformats.org/officeDocument/2006/relationships/styles" Target="styles.xml"/><Relationship Id="rId7" Type="http://schemas.openxmlformats.org/officeDocument/2006/relationships/hyperlink" Target="https://particip.gov.md/ro/document/stages/anunt-privind-elaborarea-proiectului-hotararii-guvernului-cu-privire-la-aprobarea-listelor-studentilor-din-institutiile-de-invatamant-superior-si-elevilor-din-institutiile-de-invatamant-profesional-tehnic-postsecundar-carora-li-se-acorda-burse-de-merit-in-anul-de-studii-2023-2024-este-elaborat-de-catre-ministerul-educatiei-si-cercetarii/1079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ec.gov.md/ro/content/anunturi-privind-initierea-elaborarii-deciziilo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31FCC6-458E-472E-AED0-390A47734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1086</Words>
  <Characters>6195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Dediu</dc:creator>
  <cp:lastModifiedBy>MECC</cp:lastModifiedBy>
  <cp:revision>3</cp:revision>
  <cp:lastPrinted>2023-08-02T12:28:00Z</cp:lastPrinted>
  <dcterms:created xsi:type="dcterms:W3CDTF">2023-08-10T12:21:00Z</dcterms:created>
  <dcterms:modified xsi:type="dcterms:W3CDTF">2023-08-10T12:38:00Z</dcterms:modified>
</cp:coreProperties>
</file>