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A955" w14:textId="77777777" w:rsidR="00F772B2" w:rsidRDefault="00000000">
      <w:pPr>
        <w:tabs>
          <w:tab w:val="center" w:pos="6786"/>
        </w:tabs>
        <w:spacing w:line="240" w:lineRule="auto"/>
        <w:rPr>
          <w:b/>
        </w:rPr>
      </w:pPr>
      <w:r>
        <w:rPr>
          <w:b/>
        </w:rPr>
        <w:tab/>
        <w:t>Descrierea problemelor și identificarea soluțiilor la proiectul de Lege cu privire modificarea unor acte normative </w:t>
      </w:r>
    </w:p>
    <w:p w14:paraId="169E0DDA" w14:textId="77777777" w:rsidR="00F772B2" w:rsidRDefault="00000000">
      <w:pPr>
        <w:shd w:val="clear" w:color="auto" w:fill="FFFFFF"/>
        <w:spacing w:after="0" w:line="240" w:lineRule="auto"/>
        <w:jc w:val="center"/>
      </w:pPr>
      <w:r>
        <w:t>(</w:t>
      </w:r>
      <w:r>
        <w:rPr>
          <w:i/>
        </w:rPr>
        <w:t>facilitarea activității mediului de afaceri / pachetul dereglementare 4</w:t>
      </w:r>
      <w:r>
        <w:t>)</w:t>
      </w:r>
    </w:p>
    <w:p w14:paraId="48863438" w14:textId="77777777" w:rsidR="00F772B2" w:rsidRDefault="00F772B2">
      <w:pPr>
        <w:spacing w:after="120" w:line="240" w:lineRule="auto"/>
        <w:jc w:val="both"/>
        <w:rPr>
          <w:b/>
        </w:rPr>
      </w:pPr>
    </w:p>
    <w:p w14:paraId="5F8E21E2" w14:textId="097298A8" w:rsidR="00F772B2" w:rsidRDefault="00000000">
      <w:pPr>
        <w:spacing w:after="120" w:line="240" w:lineRule="auto"/>
        <w:jc w:val="both"/>
        <w:rPr>
          <w:b/>
        </w:rPr>
      </w:pPr>
      <w:r>
        <w:rPr>
          <w:b/>
        </w:rPr>
        <w:t>Data: 1</w:t>
      </w:r>
      <w:r w:rsidR="00C03710">
        <w:rPr>
          <w:b/>
        </w:rPr>
        <w:t>4</w:t>
      </w:r>
      <w:r>
        <w:rPr>
          <w:b/>
        </w:rPr>
        <w:t>.08.2023</w:t>
      </w:r>
    </w:p>
    <w:p w14:paraId="6AB6B743" w14:textId="77777777" w:rsidR="00F772B2" w:rsidRDefault="00F772B2">
      <w:pPr>
        <w:spacing w:line="240" w:lineRule="auto"/>
      </w:pPr>
    </w:p>
    <w:tbl>
      <w:tblPr>
        <w:tblStyle w:val="a2"/>
        <w:tblW w:w="1386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4283"/>
        <w:gridCol w:w="1422"/>
        <w:gridCol w:w="4776"/>
        <w:gridCol w:w="33"/>
        <w:gridCol w:w="2796"/>
        <w:gridCol w:w="22"/>
      </w:tblGrid>
      <w:tr w:rsidR="00F772B2" w14:paraId="7F6C884F" w14:textId="77777777">
        <w:trPr>
          <w:tblHeader/>
        </w:trPr>
        <w:tc>
          <w:tcPr>
            <w:tcW w:w="529" w:type="dxa"/>
            <w:shd w:val="clear" w:color="auto" w:fill="auto"/>
          </w:tcPr>
          <w:p w14:paraId="7EA16F36" w14:textId="77777777" w:rsidR="00F772B2" w:rsidRDefault="00000000">
            <w:pPr>
              <w:jc w:val="center"/>
              <w:rPr>
                <w:b/>
              </w:rPr>
            </w:pPr>
            <w:r>
              <w:rPr>
                <w:b/>
              </w:rPr>
              <w:t>Nr.</w:t>
            </w:r>
          </w:p>
        </w:tc>
        <w:tc>
          <w:tcPr>
            <w:tcW w:w="4283" w:type="dxa"/>
            <w:shd w:val="clear" w:color="auto" w:fill="auto"/>
          </w:tcPr>
          <w:p w14:paraId="12345DB6" w14:textId="77777777" w:rsidR="00F772B2" w:rsidRDefault="00000000">
            <w:pPr>
              <w:jc w:val="center"/>
              <w:rPr>
                <w:b/>
              </w:rPr>
            </w:pPr>
            <w:r>
              <w:rPr>
                <w:b/>
              </w:rPr>
              <w:t>Problema/propunerea înaintată de mediul de afaceri</w:t>
            </w:r>
          </w:p>
        </w:tc>
        <w:tc>
          <w:tcPr>
            <w:tcW w:w="1422" w:type="dxa"/>
            <w:shd w:val="clear" w:color="auto" w:fill="auto"/>
          </w:tcPr>
          <w:p w14:paraId="7DFBC297" w14:textId="77777777" w:rsidR="00F772B2" w:rsidRDefault="00000000">
            <w:pPr>
              <w:jc w:val="center"/>
              <w:rPr>
                <w:b/>
              </w:rPr>
            </w:pPr>
            <w:r>
              <w:rPr>
                <w:b/>
              </w:rPr>
              <w:t>Autorul</w:t>
            </w:r>
          </w:p>
        </w:tc>
        <w:tc>
          <w:tcPr>
            <w:tcW w:w="4809" w:type="dxa"/>
            <w:gridSpan w:val="2"/>
            <w:shd w:val="clear" w:color="auto" w:fill="auto"/>
          </w:tcPr>
          <w:p w14:paraId="3E6512E4" w14:textId="77777777" w:rsidR="00F772B2" w:rsidRDefault="00000000">
            <w:pPr>
              <w:jc w:val="center"/>
              <w:rPr>
                <w:b/>
              </w:rPr>
            </w:pPr>
            <w:r>
              <w:rPr>
                <w:b/>
              </w:rPr>
              <w:t>Soluția, Modificări în legislație</w:t>
            </w:r>
          </w:p>
        </w:tc>
        <w:tc>
          <w:tcPr>
            <w:tcW w:w="2818" w:type="dxa"/>
            <w:gridSpan w:val="2"/>
            <w:shd w:val="clear" w:color="auto" w:fill="auto"/>
          </w:tcPr>
          <w:p w14:paraId="46928E5E" w14:textId="77777777" w:rsidR="00F772B2" w:rsidRDefault="00000000">
            <w:pPr>
              <w:jc w:val="center"/>
              <w:rPr>
                <w:b/>
              </w:rPr>
            </w:pPr>
            <w:r>
              <w:rPr>
                <w:b/>
              </w:rPr>
              <w:t>Impactul/rezultatul scontat</w:t>
            </w:r>
          </w:p>
        </w:tc>
      </w:tr>
      <w:tr w:rsidR="00F772B2" w14:paraId="443F5C34" w14:textId="77777777">
        <w:trPr>
          <w:gridAfter w:val="1"/>
          <w:wAfter w:w="22" w:type="dxa"/>
        </w:trPr>
        <w:tc>
          <w:tcPr>
            <w:tcW w:w="13839" w:type="dxa"/>
            <w:gridSpan w:val="6"/>
          </w:tcPr>
          <w:p w14:paraId="01B62894" w14:textId="77777777" w:rsidR="00F772B2" w:rsidRDefault="00000000">
            <w:pPr>
              <w:jc w:val="center"/>
              <w:rPr>
                <w:b/>
              </w:rPr>
            </w:pPr>
            <w:r>
              <w:rPr>
                <w:b/>
              </w:rPr>
              <w:t>Domeniul achiziții publice</w:t>
            </w:r>
          </w:p>
        </w:tc>
      </w:tr>
      <w:tr w:rsidR="00F772B2" w14:paraId="6CDC6434" w14:textId="77777777">
        <w:trPr>
          <w:gridAfter w:val="1"/>
          <w:wAfter w:w="22" w:type="dxa"/>
          <w:trHeight w:val="4263"/>
        </w:trPr>
        <w:tc>
          <w:tcPr>
            <w:tcW w:w="529" w:type="dxa"/>
          </w:tcPr>
          <w:p w14:paraId="4DC117B3" w14:textId="77777777" w:rsidR="00F772B2" w:rsidRDefault="00000000">
            <w:pPr>
              <w:numPr>
                <w:ilvl w:val="0"/>
                <w:numId w:val="2"/>
              </w:numPr>
              <w:pBdr>
                <w:top w:val="nil"/>
                <w:left w:val="nil"/>
                <w:bottom w:val="nil"/>
                <w:right w:val="nil"/>
                <w:between w:val="nil"/>
              </w:pBdr>
              <w:spacing w:after="160"/>
              <w:jc w:val="both"/>
              <w:rPr>
                <w:b/>
                <w:color w:val="000000"/>
              </w:rPr>
            </w:pPr>
            <w:r>
              <w:rPr>
                <w:b/>
                <w:color w:val="000000"/>
              </w:rPr>
              <w:t>1</w:t>
            </w:r>
          </w:p>
          <w:p w14:paraId="03B71296" w14:textId="77777777" w:rsidR="00F772B2" w:rsidRDefault="00000000">
            <w:pPr>
              <w:jc w:val="both"/>
              <w:rPr>
                <w:b/>
              </w:rPr>
            </w:pPr>
            <w:r>
              <w:rPr>
                <w:b/>
              </w:rPr>
              <w:t>1.</w:t>
            </w:r>
          </w:p>
        </w:tc>
        <w:tc>
          <w:tcPr>
            <w:tcW w:w="4283" w:type="dxa"/>
            <w:shd w:val="clear" w:color="auto" w:fill="auto"/>
          </w:tcPr>
          <w:p w14:paraId="2150AED4" w14:textId="77777777" w:rsidR="00F772B2" w:rsidRDefault="00000000">
            <w:pPr>
              <w:jc w:val="both"/>
            </w:pPr>
            <w:r>
              <w:rPr>
                <w:b/>
              </w:rPr>
              <w:t>Din cauza că în achiziții publice criteriul de bază este prețul cel mai mic, se creează foarte des problema cînd unii agenți economici propun prețuri nereal de mici doar pentru a ieși cîștigător</w:t>
            </w:r>
            <w:r>
              <w:t xml:space="preserve">i, ca mai apoi, prin diverse metode, prețul final să ajungă la un nivel departe de cel propus inițial, fie calitatea lucrării să fie una precară. Astfel se favorizează nu doar corupția dar și practici de concurență neloială, în baza unor reguli imperfecte în domeniul achizițiilor publice, care este unul foarte important pentru mulți agenți economici.  </w:t>
            </w:r>
          </w:p>
        </w:tc>
        <w:tc>
          <w:tcPr>
            <w:tcW w:w="1422" w:type="dxa"/>
            <w:shd w:val="clear" w:color="auto" w:fill="auto"/>
          </w:tcPr>
          <w:p w14:paraId="2F4FC68B" w14:textId="77777777" w:rsidR="00F772B2" w:rsidRDefault="00000000">
            <w:pPr>
              <w:jc w:val="both"/>
            </w:pPr>
            <w:r>
              <w:t>Timpul (clubul oamenilor de afaceri)</w:t>
            </w:r>
          </w:p>
        </w:tc>
        <w:tc>
          <w:tcPr>
            <w:tcW w:w="4809" w:type="dxa"/>
            <w:gridSpan w:val="2"/>
            <w:shd w:val="clear" w:color="auto" w:fill="auto"/>
          </w:tcPr>
          <w:p w14:paraId="22809FEF" w14:textId="77777777" w:rsidR="00F772B2" w:rsidRDefault="00000000">
            <w:pPr>
              <w:jc w:val="both"/>
            </w:pPr>
            <w:r>
              <w:t>În baza modificărilor la Legea nr.131/2015:</w:t>
            </w:r>
          </w:p>
          <w:p w14:paraId="3B845AB5" w14:textId="77777777" w:rsidR="00F772B2" w:rsidRDefault="00000000">
            <w:pPr>
              <w:jc w:val="both"/>
            </w:pPr>
            <w:r>
              <w:t>- De a stabili că nu doar prețul este criteriul decisiv, dar este important un cumul de factori (preț-calitate-timp-cost mentenanță etc.).</w:t>
            </w:r>
          </w:p>
          <w:p w14:paraId="5F98A526" w14:textId="77777777" w:rsidR="00F772B2" w:rsidRDefault="00000000">
            <w:pPr>
              <w:jc w:val="both"/>
            </w:pPr>
            <w:r>
              <w:t>- Includerea unor marje plafon ale ofertelor de preț, raportate la prețul de piață pentru lucrări/bunuri similare (ex. să nu fie mai mici de 20% decît mediu pe piață);</w:t>
            </w:r>
          </w:p>
          <w:p w14:paraId="7E048302" w14:textId="77777777" w:rsidR="00F772B2" w:rsidRDefault="00000000">
            <w:pPr>
              <w:jc w:val="both"/>
            </w:pPr>
            <w:r>
              <w:t>- Limitarea diferenței de valoare în privința lucrărilor din ofertă, celor estimate în contract și celor executate în final, pentru a evita situațiile cînd la început ofertantul promite cel mai mic preț însă în final lucrarea se dovedește mult mai scumpă decît la alți contracandidați</w:t>
            </w:r>
          </w:p>
        </w:tc>
        <w:tc>
          <w:tcPr>
            <w:tcW w:w="2796" w:type="dxa"/>
            <w:shd w:val="clear" w:color="auto" w:fill="auto"/>
          </w:tcPr>
          <w:p w14:paraId="0E22ECA0" w14:textId="77777777" w:rsidR="00F772B2" w:rsidRDefault="00000000">
            <w:pPr>
              <w:jc w:val="both"/>
            </w:pPr>
            <w:r>
              <w:t>Prevenirea abuzurilor și situațiilor în care este învingătoare o ofertă fictivă/nereală în achiziții publice. Reguli mai bune în achiziții publice vor asigura nu doar concurență loială pe unele piețe importante pentru economia țării dar și vor spori calitatea lucrărilor/bunurilor achiziționate și utilizarea eficientă a resurselor publice. Propunerea este în corespundere cu Directiva UE 2014/24 care prevede expres la art. 67 că statele membre pot prevedea ca autoritățile contractante să nu poată utiliza numai prețul sau costul drept criteriu unic de atribuire.</w:t>
            </w:r>
          </w:p>
        </w:tc>
      </w:tr>
      <w:tr w:rsidR="00F772B2" w14:paraId="427E03DB" w14:textId="77777777">
        <w:trPr>
          <w:gridAfter w:val="1"/>
          <w:wAfter w:w="22" w:type="dxa"/>
          <w:trHeight w:val="4263"/>
        </w:trPr>
        <w:tc>
          <w:tcPr>
            <w:tcW w:w="529" w:type="dxa"/>
          </w:tcPr>
          <w:p w14:paraId="5DFD13ED" w14:textId="77777777" w:rsidR="00F772B2" w:rsidRDefault="00000000">
            <w:pPr>
              <w:pBdr>
                <w:top w:val="nil"/>
                <w:left w:val="nil"/>
                <w:bottom w:val="nil"/>
                <w:right w:val="nil"/>
                <w:between w:val="nil"/>
              </w:pBdr>
              <w:spacing w:after="160"/>
              <w:ind w:left="786" w:hanging="360"/>
              <w:jc w:val="both"/>
              <w:rPr>
                <w:b/>
                <w:color w:val="000000"/>
              </w:rPr>
            </w:pPr>
            <w:r>
              <w:rPr>
                <w:b/>
              </w:rPr>
              <w:lastRenderedPageBreak/>
              <w:t>2</w:t>
            </w:r>
          </w:p>
          <w:p w14:paraId="50F260CF" w14:textId="77777777" w:rsidR="00F772B2" w:rsidRDefault="00000000">
            <w:pPr>
              <w:rPr>
                <w:b/>
              </w:rPr>
            </w:pPr>
            <w:r>
              <w:rPr>
                <w:b/>
              </w:rPr>
              <w:t>2.</w:t>
            </w:r>
          </w:p>
        </w:tc>
        <w:tc>
          <w:tcPr>
            <w:tcW w:w="4283" w:type="dxa"/>
            <w:shd w:val="clear" w:color="auto" w:fill="auto"/>
          </w:tcPr>
          <w:p w14:paraId="7D78CCBF" w14:textId="77777777" w:rsidR="00F772B2" w:rsidRDefault="00000000">
            <w:pPr>
              <w:spacing w:after="120"/>
              <w:jc w:val="both"/>
            </w:pPr>
            <w:r>
              <w:t xml:space="preserve">Datorită piețelor limitate în Moldova dar și a situațiilor de criză economică, de multe ori în practică </w:t>
            </w:r>
            <w:r>
              <w:rPr>
                <w:b/>
              </w:rPr>
              <w:t>se atestă situațiile în care în licitațiile inițiale organizate de autoritățile contractante  nu sunt înaintate oferte adecvate sau nicio ofertă nu este înaintată sau achizițiile necesită să fie efectuate în situații de maximă urgență ca urmare a unor evenimente excepționale</w:t>
            </w:r>
            <w:r>
              <w:t xml:space="preserve">. În prezent legea stabilește într-un mod eronat și incert că, în aceste situații, astfel de achiziții în baza negocierilor fără publicarea prealabilă a unui anunț de participare pot fi efectuate prin „bursă de materii prime” care nu există în Moldova, ori această sintagmă nu corespunde cu cadrul normativ național și nici cel european.  </w:t>
            </w:r>
          </w:p>
        </w:tc>
        <w:tc>
          <w:tcPr>
            <w:tcW w:w="1422" w:type="dxa"/>
            <w:shd w:val="clear" w:color="auto" w:fill="auto"/>
          </w:tcPr>
          <w:p w14:paraId="1E53BCA4" w14:textId="77777777" w:rsidR="00F772B2" w:rsidRDefault="00000000">
            <w:pPr>
              <w:jc w:val="center"/>
            </w:pPr>
            <w:r>
              <w:t>EBA</w:t>
            </w:r>
          </w:p>
          <w:p w14:paraId="0D789FCC" w14:textId="77777777" w:rsidR="00F772B2" w:rsidRDefault="00F772B2">
            <w:pPr>
              <w:jc w:val="center"/>
            </w:pPr>
          </w:p>
        </w:tc>
        <w:tc>
          <w:tcPr>
            <w:tcW w:w="4809" w:type="dxa"/>
            <w:gridSpan w:val="2"/>
            <w:shd w:val="clear" w:color="auto" w:fill="auto"/>
          </w:tcPr>
          <w:p w14:paraId="6796FBC5" w14:textId="77777777" w:rsidR="00F772B2" w:rsidRDefault="00000000">
            <w:pPr>
              <w:spacing w:after="120"/>
              <w:jc w:val="both"/>
            </w:pPr>
            <w:r>
              <w:t>Acordarea posibilității de efectuare a achizițiilor publice prin intermediul burselor de mărfuri în cazul achizițiilor de bunuri, doar în situațiile în care se îndeplinesc cerințele legale pentru a derula achiziții în baza negocierilor fără publicarea prealabilă a unui anunț de participare. În acest sens este necesară completarea art.56 din Legea nr.131/2015 privind achizițiile publice și art.40 din Legea nr.74/2020 privind achiziţiile în sectoarele energeticii, apei, transporturilor şi serviciilor poştale.</w:t>
            </w:r>
          </w:p>
          <w:p w14:paraId="2645AA48" w14:textId="77777777" w:rsidR="00F772B2" w:rsidRDefault="00F772B2">
            <w:pPr>
              <w:spacing w:after="120"/>
              <w:jc w:val="both"/>
            </w:pPr>
          </w:p>
        </w:tc>
        <w:tc>
          <w:tcPr>
            <w:tcW w:w="2796" w:type="dxa"/>
            <w:shd w:val="clear" w:color="auto" w:fill="auto"/>
          </w:tcPr>
          <w:p w14:paraId="59A24D58" w14:textId="77777777" w:rsidR="00F772B2" w:rsidRDefault="00000000">
            <w:pPr>
              <w:jc w:val="both"/>
            </w:pPr>
            <w:r>
              <w:t xml:space="preserve">Posibilitatea reală pentru autoritățile contractante de a efectua achiziții la cel mai bun preț și în cele mai bune condiții, prin intermediul bursei de mărfuri, în situațiile în care licitația inițială a eșuat. </w:t>
            </w:r>
          </w:p>
        </w:tc>
      </w:tr>
      <w:tr w:rsidR="00F772B2" w14:paraId="3E225EDF" w14:textId="77777777">
        <w:trPr>
          <w:gridAfter w:val="1"/>
          <w:wAfter w:w="22" w:type="dxa"/>
        </w:trPr>
        <w:tc>
          <w:tcPr>
            <w:tcW w:w="13839" w:type="dxa"/>
            <w:gridSpan w:val="6"/>
          </w:tcPr>
          <w:p w14:paraId="7766CF0F" w14:textId="77777777" w:rsidR="00F772B2" w:rsidRDefault="00000000">
            <w:pPr>
              <w:jc w:val="center"/>
              <w:rPr>
                <w:b/>
              </w:rPr>
            </w:pPr>
            <w:r>
              <w:rPr>
                <w:b/>
              </w:rPr>
              <w:t>Domeniul burse de mărfuri</w:t>
            </w:r>
          </w:p>
        </w:tc>
      </w:tr>
      <w:tr w:rsidR="00F772B2" w14:paraId="63812435" w14:textId="77777777">
        <w:trPr>
          <w:gridAfter w:val="1"/>
          <w:wAfter w:w="22" w:type="dxa"/>
        </w:trPr>
        <w:tc>
          <w:tcPr>
            <w:tcW w:w="529" w:type="dxa"/>
          </w:tcPr>
          <w:p w14:paraId="479E648E" w14:textId="77777777" w:rsidR="00F772B2" w:rsidRDefault="00000000">
            <w:pPr>
              <w:pBdr>
                <w:top w:val="nil"/>
                <w:left w:val="nil"/>
                <w:bottom w:val="nil"/>
                <w:right w:val="nil"/>
                <w:between w:val="nil"/>
              </w:pBdr>
              <w:spacing w:after="160"/>
              <w:ind w:left="786" w:hanging="360"/>
              <w:jc w:val="center"/>
            </w:pPr>
            <w:r>
              <w:t>2</w:t>
            </w:r>
          </w:p>
          <w:p w14:paraId="228489BC" w14:textId="77777777" w:rsidR="00F772B2" w:rsidRDefault="00000000">
            <w:pPr>
              <w:rPr>
                <w:b/>
              </w:rPr>
            </w:pPr>
            <w:r>
              <w:rPr>
                <w:b/>
              </w:rPr>
              <w:t>3.</w:t>
            </w:r>
          </w:p>
        </w:tc>
        <w:tc>
          <w:tcPr>
            <w:tcW w:w="4283" w:type="dxa"/>
            <w:shd w:val="clear" w:color="auto" w:fill="auto"/>
          </w:tcPr>
          <w:p w14:paraId="51A4A539" w14:textId="77777777" w:rsidR="00F772B2" w:rsidRDefault="00000000">
            <w:pPr>
              <w:numPr>
                <w:ilvl w:val="0"/>
                <w:numId w:val="5"/>
              </w:numPr>
              <w:spacing w:after="120"/>
              <w:ind w:left="57"/>
              <w:jc w:val="both"/>
            </w:pPr>
            <w:r>
              <w:t xml:space="preserve">Cu toate că Legea nr.1117/1997 privind bursele de mărfuri a fost publicată încă din 1998, se constată </w:t>
            </w:r>
            <w:r>
              <w:rPr>
                <w:b/>
              </w:rPr>
              <w:t>lipsa burselor de mărfuri active în Moldova</w:t>
            </w:r>
            <w:r>
              <w:t>. Acest fapt îngreunează substanțial comerțul cu ridicata între profesioniști, crează costuri tranzacționale enorme și duce la stagnarea unor piețe importante pentru dezvoltarea economică a statului (cum ar fi piața energetică, piața cerealelor ș.a.).</w:t>
            </w:r>
          </w:p>
          <w:p w14:paraId="346350D4" w14:textId="77777777" w:rsidR="00F772B2" w:rsidRDefault="00F772B2">
            <w:pPr>
              <w:numPr>
                <w:ilvl w:val="0"/>
                <w:numId w:val="5"/>
              </w:numPr>
              <w:spacing w:after="120"/>
              <w:ind w:left="57"/>
              <w:jc w:val="both"/>
            </w:pPr>
          </w:p>
        </w:tc>
        <w:tc>
          <w:tcPr>
            <w:tcW w:w="1422" w:type="dxa"/>
            <w:shd w:val="clear" w:color="auto" w:fill="auto"/>
          </w:tcPr>
          <w:p w14:paraId="612095AD" w14:textId="77777777" w:rsidR="00F772B2" w:rsidRDefault="00000000">
            <w:pPr>
              <w:jc w:val="center"/>
            </w:pPr>
            <w:r>
              <w:t xml:space="preserve">EBA </w:t>
            </w:r>
          </w:p>
          <w:p w14:paraId="3A1B04AF" w14:textId="77777777" w:rsidR="00F772B2" w:rsidRDefault="00F772B2">
            <w:pPr>
              <w:jc w:val="center"/>
            </w:pPr>
          </w:p>
        </w:tc>
        <w:tc>
          <w:tcPr>
            <w:tcW w:w="4809" w:type="dxa"/>
            <w:gridSpan w:val="2"/>
            <w:shd w:val="clear" w:color="auto" w:fill="auto"/>
          </w:tcPr>
          <w:p w14:paraId="398F8A90" w14:textId="77777777" w:rsidR="00F772B2" w:rsidRDefault="00000000">
            <w:pPr>
              <w:jc w:val="both"/>
            </w:pPr>
            <w:r>
              <w:t>Recunoașterea burselor de mărfuri autorizate în UE. Completarea legii cu următoarele - se consideră burse de mărfuri și întreprinderile care întrunesc, în mod cumulativ, următoarele cerințe:</w:t>
            </w:r>
          </w:p>
          <w:p w14:paraId="52C379BF" w14:textId="77777777" w:rsidR="00F772B2" w:rsidRDefault="00000000">
            <w:pPr>
              <w:jc w:val="both"/>
            </w:pPr>
            <w:r>
              <w:t>a) sunt fondate în conformitate cu Legea nr.220/2007 privind înregistrarea de stat a persoanelor juridice și a întreprinzătorilor individuali și sunt deținute integral de burse de mărfuri care la rândul lor activează și sunt fondate în statele membre ale Uniunii Europene;</w:t>
            </w:r>
          </w:p>
          <w:p w14:paraId="30228082" w14:textId="77777777" w:rsidR="00F772B2" w:rsidRDefault="00000000">
            <w:pPr>
              <w:jc w:val="both"/>
            </w:pPr>
            <w:r>
              <w:t>b) întreprinderile fondatoare îndeplinesc în țara de origine condițiile de înființare prevăzute de prezentul articol;</w:t>
            </w:r>
          </w:p>
          <w:p w14:paraId="36A8D930" w14:textId="77777777" w:rsidR="00F772B2" w:rsidRDefault="00000000">
            <w:pPr>
              <w:jc w:val="both"/>
            </w:pPr>
            <w:r>
              <w:t xml:space="preserve">c) întreprinderile fondatoare sunt recunoscute în calitate de burse de mărfuri funcționale de autoritățile publice abilitate cu supravegherea sau reglementarea burselor de mărfuri din statul de </w:t>
            </w:r>
            <w:r>
              <w:lastRenderedPageBreak/>
              <w:t>origine sau Camera de Comerț și Industrie din statul de origine.</w:t>
            </w:r>
          </w:p>
        </w:tc>
        <w:tc>
          <w:tcPr>
            <w:tcW w:w="2796" w:type="dxa"/>
            <w:shd w:val="clear" w:color="auto" w:fill="auto"/>
          </w:tcPr>
          <w:p w14:paraId="06A0D7BD" w14:textId="77777777" w:rsidR="00F772B2" w:rsidRDefault="00000000">
            <w:pPr>
              <w:numPr>
                <w:ilvl w:val="0"/>
                <w:numId w:val="5"/>
              </w:numPr>
              <w:spacing w:after="120"/>
              <w:ind w:left="57"/>
              <w:jc w:val="both"/>
            </w:pPr>
            <w:r>
              <w:lastRenderedPageBreak/>
              <w:t>Această măsură vine să motiveze formarea burselor de mărfuri în Moldova de către burse de renume, cu experiență, din spațiul UE. Corespunzător va permite formarea, cu riscuri minime, în Moldova a unor burse deja funcționale în statele cu economii și piețe mult mai dezvoltate. Va permite importul celor mai bune practici comerciale și accesul direct al producătorilor din Moldova la piețe de desfacere din cadrul UE.</w:t>
            </w:r>
          </w:p>
        </w:tc>
      </w:tr>
      <w:tr w:rsidR="00F772B2" w14:paraId="300E76F6" w14:textId="77777777">
        <w:trPr>
          <w:gridAfter w:val="1"/>
          <w:wAfter w:w="22" w:type="dxa"/>
        </w:trPr>
        <w:tc>
          <w:tcPr>
            <w:tcW w:w="529" w:type="dxa"/>
          </w:tcPr>
          <w:p w14:paraId="6C56E815" w14:textId="77777777" w:rsidR="00F772B2" w:rsidRDefault="00F772B2">
            <w:pPr>
              <w:pBdr>
                <w:top w:val="nil"/>
                <w:left w:val="nil"/>
                <w:bottom w:val="nil"/>
                <w:right w:val="nil"/>
                <w:between w:val="nil"/>
              </w:pBdr>
              <w:spacing w:after="160"/>
              <w:ind w:left="786" w:hanging="360"/>
              <w:jc w:val="center"/>
            </w:pPr>
          </w:p>
          <w:p w14:paraId="5D125DDF" w14:textId="77777777" w:rsidR="00F772B2" w:rsidRDefault="00000000">
            <w:pPr>
              <w:rPr>
                <w:b/>
              </w:rPr>
            </w:pPr>
            <w:r>
              <w:rPr>
                <w:b/>
              </w:rPr>
              <w:t>4.</w:t>
            </w:r>
          </w:p>
        </w:tc>
        <w:tc>
          <w:tcPr>
            <w:tcW w:w="4283" w:type="dxa"/>
            <w:shd w:val="clear" w:color="auto" w:fill="auto"/>
          </w:tcPr>
          <w:p w14:paraId="24A811C0" w14:textId="77777777" w:rsidR="00F772B2" w:rsidRDefault="00000000">
            <w:pPr>
              <w:numPr>
                <w:ilvl w:val="0"/>
                <w:numId w:val="3"/>
              </w:numPr>
              <w:spacing w:after="120"/>
              <w:ind w:left="57"/>
              <w:jc w:val="both"/>
            </w:pPr>
            <w:r>
              <w:rPr>
                <w:b/>
              </w:rPr>
              <w:t xml:space="preserve">Legea actuală operează cu modelul de bursă din secolul trecut, care-și petrece activitatea </w:t>
            </w:r>
            <w:r>
              <w:t>într-un loc fizic (sala bursei), exclusiv în baza licitațiilor cu strigare cu un set de operațiuni și funcții restrînse. Cel puțin lipsa posibilităților de organizare a operațiunilor pe platforme electronice, lipsa drepturilor pentru bursă de a organiza piețe la disponibil, piețe a creanțelor, a licitațiilor și a opera cu o varietate mai mare de contracte de bursă sunt printre cauzele ce au dus la lipsa unei burse de mărfuri viabile în Moldova.</w:t>
            </w:r>
          </w:p>
        </w:tc>
        <w:tc>
          <w:tcPr>
            <w:tcW w:w="1422" w:type="dxa"/>
            <w:shd w:val="clear" w:color="auto" w:fill="auto"/>
          </w:tcPr>
          <w:p w14:paraId="5EBDAF24" w14:textId="77777777" w:rsidR="00F772B2" w:rsidRDefault="00000000">
            <w:pPr>
              <w:jc w:val="center"/>
            </w:pPr>
            <w:r>
              <w:t xml:space="preserve">EBA </w:t>
            </w:r>
          </w:p>
          <w:p w14:paraId="2DF4E15B" w14:textId="77777777" w:rsidR="00F772B2" w:rsidRDefault="00F772B2">
            <w:pPr>
              <w:jc w:val="center"/>
            </w:pPr>
          </w:p>
        </w:tc>
        <w:tc>
          <w:tcPr>
            <w:tcW w:w="4809" w:type="dxa"/>
            <w:gridSpan w:val="2"/>
            <w:shd w:val="clear" w:color="auto" w:fill="auto"/>
          </w:tcPr>
          <w:p w14:paraId="26761B67" w14:textId="77777777" w:rsidR="00F772B2" w:rsidRDefault="00000000">
            <w:pPr>
              <w:numPr>
                <w:ilvl w:val="0"/>
                <w:numId w:val="6"/>
              </w:numPr>
              <w:spacing w:after="120"/>
              <w:ind w:left="57"/>
              <w:jc w:val="both"/>
            </w:pPr>
            <w:r>
              <w:t>Modernizarea conceptului de „bursă de mărfuri” pentru a fi racordat la modelele de burse de mărfuri actuale, prin completarea substanțială a Legii nr.1117/1997. Printre cele mai importante elemente ale noului concept de bursă se propun: admiterea comerțului sub forma de proceduri de achiziție pe o platforma electronică administrată de o bursă de mărfuri;  bursa administrează mai multe categorii de piețe - piața la disponibil, piața licitațiilor, piața creanțelor; se operează cu o varietate mai mare de contracte de bursă - forward, spot, etc.; se acordă un rol mai mare pentru cotațiile emise de bursă; ș.a.</w:t>
            </w:r>
          </w:p>
        </w:tc>
        <w:tc>
          <w:tcPr>
            <w:tcW w:w="2796" w:type="dxa"/>
            <w:shd w:val="clear" w:color="auto" w:fill="auto"/>
          </w:tcPr>
          <w:p w14:paraId="1C0612DD" w14:textId="77777777" w:rsidR="00F772B2" w:rsidRDefault="00000000">
            <w:pPr>
              <w:jc w:val="both"/>
            </w:pPr>
            <w:r>
              <w:t xml:space="preserve">Reconceptualizarea burselor de mărfuri va permite formarea și dezvoltarea unor burse moderne de mărfuri, cu toate elementele necesare în acest sens. </w:t>
            </w:r>
          </w:p>
        </w:tc>
      </w:tr>
      <w:tr w:rsidR="00F772B2" w14:paraId="4E2EB64A" w14:textId="77777777">
        <w:trPr>
          <w:gridAfter w:val="1"/>
          <w:wAfter w:w="22" w:type="dxa"/>
        </w:trPr>
        <w:tc>
          <w:tcPr>
            <w:tcW w:w="13839" w:type="dxa"/>
            <w:gridSpan w:val="6"/>
          </w:tcPr>
          <w:p w14:paraId="35F68A91" w14:textId="77777777" w:rsidR="00F772B2" w:rsidRDefault="00000000">
            <w:pPr>
              <w:jc w:val="center"/>
              <w:rPr>
                <w:b/>
              </w:rPr>
            </w:pPr>
            <w:r>
              <w:rPr>
                <w:b/>
              </w:rPr>
              <w:t>Domeniul construcții și urbanism</w:t>
            </w:r>
          </w:p>
        </w:tc>
      </w:tr>
      <w:tr w:rsidR="00F772B2" w14:paraId="4DCF9CC0" w14:textId="77777777">
        <w:trPr>
          <w:gridAfter w:val="1"/>
          <w:wAfter w:w="22" w:type="dxa"/>
        </w:trPr>
        <w:tc>
          <w:tcPr>
            <w:tcW w:w="529" w:type="dxa"/>
          </w:tcPr>
          <w:p w14:paraId="71141803" w14:textId="77777777" w:rsidR="00F772B2" w:rsidRDefault="00F772B2">
            <w:pPr>
              <w:numPr>
                <w:ilvl w:val="0"/>
                <w:numId w:val="2"/>
              </w:numPr>
              <w:pBdr>
                <w:top w:val="nil"/>
                <w:left w:val="nil"/>
                <w:bottom w:val="nil"/>
                <w:right w:val="nil"/>
                <w:between w:val="nil"/>
              </w:pBdr>
              <w:spacing w:after="160"/>
              <w:jc w:val="center"/>
              <w:rPr>
                <w:b/>
                <w:color w:val="000000"/>
              </w:rPr>
            </w:pPr>
          </w:p>
          <w:p w14:paraId="2AEA10D8" w14:textId="77777777" w:rsidR="00F772B2" w:rsidRDefault="00000000">
            <w:pPr>
              <w:rPr>
                <w:b/>
              </w:rPr>
            </w:pPr>
            <w:r>
              <w:rPr>
                <w:b/>
              </w:rPr>
              <w:t>5.</w:t>
            </w:r>
          </w:p>
        </w:tc>
        <w:tc>
          <w:tcPr>
            <w:tcW w:w="4283" w:type="dxa"/>
            <w:shd w:val="clear" w:color="auto" w:fill="auto"/>
          </w:tcPr>
          <w:p w14:paraId="7094FBB8" w14:textId="77777777" w:rsidR="00F772B2" w:rsidRDefault="00000000">
            <w:pPr>
              <w:jc w:val="both"/>
            </w:pPr>
            <w:r>
              <w:rPr>
                <w:b/>
              </w:rPr>
              <w:t>Conform prevederilor Legii nr.163/2010 (după modificările din 2020) pot fi  autorizate și executate lucrări de construcții doar în localitățile care dețin cel puțin Planuri urbanistice generale (PUG)</w:t>
            </w:r>
            <w:r>
              <w:t>. Însă marea majoritatea localităților rurale în prezent nu dispun de PUG-uri și nici nu au resursele necesare pentru elaborarea acestora, fiind foarte costisitoare. Arhitecții și primarii din aceste localități sunt puși în situația fie să refuze autorizarea posibililor lucrări sau să emită totuși certificate de urbanism și autorizații cu încălcarea Legii nr.163/2010.</w:t>
            </w:r>
          </w:p>
          <w:p w14:paraId="1E89A61A" w14:textId="77777777" w:rsidR="00F772B2" w:rsidRDefault="00000000">
            <w:pPr>
              <w:jc w:val="both"/>
            </w:pPr>
            <w:r>
              <w:t>Aceste aspecte sunt bariere nu doar pentru dezvoltarea localităților dar în special pentru antreprenori, inclusiv și cei din segmentul turismului rural, care intenționează să investească și să deschidă afaceri mici la sat.</w:t>
            </w:r>
          </w:p>
        </w:tc>
        <w:tc>
          <w:tcPr>
            <w:tcW w:w="1422" w:type="dxa"/>
            <w:shd w:val="clear" w:color="auto" w:fill="auto"/>
          </w:tcPr>
          <w:p w14:paraId="21B5E86C" w14:textId="77777777" w:rsidR="00F772B2" w:rsidRDefault="00000000">
            <w:pPr>
              <w:jc w:val="center"/>
            </w:pPr>
            <w:r>
              <w:t>PNUD, asociații în domeniul turismului, Consecon</w:t>
            </w:r>
          </w:p>
        </w:tc>
        <w:tc>
          <w:tcPr>
            <w:tcW w:w="4809" w:type="dxa"/>
            <w:gridSpan w:val="2"/>
            <w:shd w:val="clear" w:color="auto" w:fill="auto"/>
          </w:tcPr>
          <w:p w14:paraId="5AA23AD2" w14:textId="77777777" w:rsidR="00F772B2" w:rsidRDefault="00000000">
            <w:pPr>
              <w:jc w:val="both"/>
            </w:pPr>
            <w:r>
              <w:t>Pentru a debloca situația existentă se propune de a reveni la prevederile legii de pînă la 2020, conform cărora era posibilă obținerea certificatului de urbanism și în cazul lipsei documentației de urbanism. Însă pentru a nu admite abuzurile care s-au atestat în trecut, aceasta excepție se propune pentru o categorie restrînsă de clădiri ca și mărime și ca și impact asupra mediului și sănătății publice. Astfel în modificări la art.4 din Legea nr.163/2010 se completează cu următoarea excepție:</w:t>
            </w:r>
          </w:p>
          <w:p w14:paraId="1CB75DFD" w14:textId="77777777" w:rsidR="00F772B2" w:rsidRDefault="00000000">
            <w:pPr>
              <w:jc w:val="both"/>
            </w:pPr>
            <w:r>
              <w:t xml:space="preserve">„În localitățile rurale (sate, comune) în care lipsește documentaţia de urbanism şi de amenajare a teritoriului pot fi elaborate certificate de urbanism pentru proiectare de construcții cu regim de înălțime de pînă la 3 nivele - case individuale și încăperi auxiliare la acestea sau clădiri care vor fi destinate activităților comerciale, de prestări servicii, producere sau prelucrare care nu vor avea impact semnificativ asupra mediului și sănătății </w:t>
            </w:r>
            <w:r>
              <w:lastRenderedPageBreak/>
              <w:t>populației și nu necesită efectuarea evaluării de mediu conform Legii nr.86/2014 privind evaluarea impactului asupra mediului.”</w:t>
            </w:r>
          </w:p>
        </w:tc>
        <w:tc>
          <w:tcPr>
            <w:tcW w:w="2796" w:type="dxa"/>
            <w:shd w:val="clear" w:color="auto" w:fill="auto"/>
          </w:tcPr>
          <w:p w14:paraId="419D6244" w14:textId="77777777" w:rsidR="00F772B2" w:rsidRDefault="00000000">
            <w:pPr>
              <w:jc w:val="both"/>
            </w:pPr>
            <w:r>
              <w:lastRenderedPageBreak/>
              <w:t>Deblocarea situației actuale, acordarea posibilității de a elabora proiecte și executa lucrări de construcții în zonele rurale. Acordarea posibilității investițiilor în afaceri din domeniul rural, cel puțin pînă noul Cod al construcțiilor și urbanismului va veni cu soluții mai sustenabile.</w:t>
            </w:r>
          </w:p>
        </w:tc>
      </w:tr>
      <w:tr w:rsidR="00F772B2" w14:paraId="3E0E3372" w14:textId="77777777">
        <w:trPr>
          <w:gridAfter w:val="1"/>
          <w:wAfter w:w="22" w:type="dxa"/>
        </w:trPr>
        <w:tc>
          <w:tcPr>
            <w:tcW w:w="529" w:type="dxa"/>
          </w:tcPr>
          <w:p w14:paraId="30BD479E" w14:textId="77777777" w:rsidR="00F772B2" w:rsidRDefault="00F772B2">
            <w:pPr>
              <w:pBdr>
                <w:top w:val="nil"/>
                <w:left w:val="nil"/>
                <w:bottom w:val="nil"/>
                <w:right w:val="nil"/>
                <w:between w:val="nil"/>
              </w:pBdr>
              <w:spacing w:after="160"/>
              <w:ind w:left="786" w:hanging="360"/>
              <w:jc w:val="center"/>
              <w:rPr>
                <w:b/>
                <w:color w:val="000000"/>
              </w:rPr>
            </w:pPr>
          </w:p>
          <w:p w14:paraId="68715861" w14:textId="77777777" w:rsidR="00F772B2" w:rsidRDefault="00000000">
            <w:pPr>
              <w:rPr>
                <w:b/>
              </w:rPr>
            </w:pPr>
            <w:r>
              <w:rPr>
                <w:b/>
              </w:rPr>
              <w:t>6.</w:t>
            </w:r>
          </w:p>
        </w:tc>
        <w:tc>
          <w:tcPr>
            <w:tcW w:w="4283" w:type="dxa"/>
            <w:shd w:val="clear" w:color="auto" w:fill="auto"/>
          </w:tcPr>
          <w:p w14:paraId="5F58753A" w14:textId="77777777" w:rsidR="00F772B2" w:rsidRDefault="00000000">
            <w:pPr>
              <w:jc w:val="both"/>
            </w:pPr>
            <w:r>
              <w:t xml:space="preserve">Legea nr. 163/2010 privind autorizarea executării lucrărilor de construcție prevede lucrările de construcţie care se pot executa fără certificat de urbanism pentru proiectare şi fără autorizaţie de construire (art. 14). În afară de lucrările prevăzute la art. 14, </w:t>
            </w:r>
            <w:r>
              <w:rPr>
                <w:b/>
              </w:rPr>
              <w:t>există și alte lucrări neînsemnate executarea cărora poate fi exceptată de la obținerea certificatului de urbanism și autorizației de construire</w:t>
            </w:r>
            <w:r>
              <w:t>. Spre exemplu, utilizarea tehnologică a clădirilor, inclusiv instalarea sistemelor de automatizare și semnalizare. Totodată unele lucrări prevăzute la art. 14 necesită a fi concretizate pentru a nu admite interpretări discreționare, spre exemplu instalarea mobilierului urban.</w:t>
            </w:r>
          </w:p>
        </w:tc>
        <w:tc>
          <w:tcPr>
            <w:tcW w:w="1422" w:type="dxa"/>
            <w:shd w:val="clear" w:color="auto" w:fill="auto"/>
          </w:tcPr>
          <w:p w14:paraId="5F9612CD" w14:textId="77777777" w:rsidR="00F772B2" w:rsidRDefault="00000000">
            <w:pPr>
              <w:jc w:val="center"/>
            </w:pPr>
            <w:r>
              <w:t>Consecon</w:t>
            </w:r>
          </w:p>
        </w:tc>
        <w:tc>
          <w:tcPr>
            <w:tcW w:w="4809" w:type="dxa"/>
            <w:gridSpan w:val="2"/>
            <w:shd w:val="clear" w:color="auto" w:fill="auto"/>
          </w:tcPr>
          <w:p w14:paraId="1B5C2F6C" w14:textId="77777777" w:rsidR="00F772B2" w:rsidRDefault="00000000">
            <w:pPr>
              <w:jc w:val="both"/>
            </w:pPr>
            <w:r>
              <w:t xml:space="preserve">Pentru a facilita executarea unor lucrări de construcție se propune modificarea alin. (1) al art. 14 din Legea 163/2010. - Litera j) va avea următorul cuprins: </w:t>
            </w:r>
          </w:p>
          <w:p w14:paraId="3A93F9C2" w14:textId="77777777" w:rsidR="00F772B2" w:rsidRDefault="00000000">
            <w:pPr>
              <w:jc w:val="both"/>
            </w:pPr>
            <w:r>
              <w:t>j) instalarea mobilierului urban (standuri stradale mici, cabinele modulare sau telefonice, elemente decorative ale grădinilor publice, rampele pentru pietoni, băncile stradale, stîlpii de iluminat, barierele de acces, coşurile de gunoi, echipamentele sportive şi ansamblurile de joacă pentru copii și alte echipamente similare ușor demontabile, amenajarea gazoanelor, plantarea arborilor și arbuștilor inclusiv sistemul de irigare și iluminare decorativă aferent)</w:t>
            </w:r>
          </w:p>
          <w:p w14:paraId="59E151CE" w14:textId="77777777" w:rsidR="00F772B2" w:rsidRDefault="00000000">
            <w:pPr>
              <w:jc w:val="both"/>
            </w:pPr>
            <w:r>
              <w:t>- lit. m), după cuvintele ”pozări subterane noi” de completat cu cuvintele ”în afara limitelor terenului privat”</w:t>
            </w:r>
          </w:p>
          <w:p w14:paraId="340C2CDE" w14:textId="77777777" w:rsidR="00F772B2" w:rsidRDefault="00000000">
            <w:pPr>
              <w:jc w:val="both"/>
            </w:pPr>
            <w:r>
              <w:t>- alineatul se completează cu lit. q) cu următorul cuprins: ”q) utilizarea tehnologică a clădirilor, inclusiv instalarea sistemelor de automatizare și semnalizare cu respectarea rigorilor sanitare fără schimbarea clasei funcționale a pericolului de incendiu a clădirii/încăperii, cu excepția cazurilor când utilajul tehnologic se încadrează în categoriile expuse la art. 4 din Legea nr. 151/2022 privind funcţionarea în condiţii de siguranţă a obiectivelor industriale şi a instalaţiilor tehnice potenţial periculoase”</w:t>
            </w:r>
          </w:p>
          <w:p w14:paraId="5222231A" w14:textId="77777777" w:rsidR="00F772B2" w:rsidRDefault="00F772B2">
            <w:pPr>
              <w:jc w:val="both"/>
            </w:pPr>
          </w:p>
        </w:tc>
        <w:tc>
          <w:tcPr>
            <w:tcW w:w="2796" w:type="dxa"/>
            <w:shd w:val="clear" w:color="auto" w:fill="auto"/>
          </w:tcPr>
          <w:p w14:paraId="02A99037" w14:textId="77777777" w:rsidR="00F772B2" w:rsidRDefault="00000000">
            <w:pPr>
              <w:jc w:val="both"/>
            </w:pPr>
            <w:r>
              <w:t>Evitarea costurilor nejustificate pentru obținerea certificatului de urbanism și autorizației de construire pentru unele lucrări care pot fi executate fără obținerea actelor permisive respective</w:t>
            </w:r>
          </w:p>
        </w:tc>
      </w:tr>
      <w:tr w:rsidR="00F772B2" w14:paraId="38F6C54C" w14:textId="77777777">
        <w:trPr>
          <w:gridAfter w:val="1"/>
          <w:wAfter w:w="22" w:type="dxa"/>
        </w:trPr>
        <w:tc>
          <w:tcPr>
            <w:tcW w:w="529" w:type="dxa"/>
          </w:tcPr>
          <w:p w14:paraId="41D86F5D" w14:textId="77777777" w:rsidR="00F772B2" w:rsidRDefault="00F772B2">
            <w:pPr>
              <w:pBdr>
                <w:top w:val="nil"/>
                <w:left w:val="nil"/>
                <w:bottom w:val="nil"/>
                <w:right w:val="nil"/>
                <w:between w:val="nil"/>
              </w:pBdr>
              <w:spacing w:after="160"/>
              <w:ind w:left="786" w:hanging="360"/>
              <w:jc w:val="center"/>
              <w:rPr>
                <w:b/>
                <w:color w:val="000000"/>
              </w:rPr>
            </w:pPr>
          </w:p>
          <w:p w14:paraId="27351030" w14:textId="77777777" w:rsidR="00F772B2" w:rsidRDefault="00000000">
            <w:pPr>
              <w:rPr>
                <w:b/>
              </w:rPr>
            </w:pPr>
            <w:r>
              <w:rPr>
                <w:b/>
              </w:rPr>
              <w:t>7.</w:t>
            </w:r>
          </w:p>
        </w:tc>
        <w:tc>
          <w:tcPr>
            <w:tcW w:w="4283" w:type="dxa"/>
            <w:shd w:val="clear" w:color="auto" w:fill="auto"/>
          </w:tcPr>
          <w:p w14:paraId="39BACD44" w14:textId="77777777" w:rsidR="00F772B2" w:rsidRDefault="00000000">
            <w:pPr>
              <w:pBdr>
                <w:top w:val="nil"/>
                <w:left w:val="nil"/>
                <w:bottom w:val="nil"/>
                <w:right w:val="nil"/>
                <w:between w:val="nil"/>
              </w:pBdr>
              <w:jc w:val="both"/>
            </w:pPr>
            <w:r>
              <w:t xml:space="preserve">Una din probleme este </w:t>
            </w:r>
            <w:r>
              <w:rPr>
                <w:b/>
              </w:rPr>
              <w:t xml:space="preserve">menținerea comunicării pe hârtie cu operatorii rețelelor edilitare, cât și cu autoritățile publice locale </w:t>
            </w:r>
            <w:r>
              <w:rPr>
                <w:b/>
              </w:rPr>
              <w:lastRenderedPageBreak/>
              <w:t>emitente de acte permisive în domeniul construcției</w:t>
            </w:r>
            <w:r>
              <w:t>, în pofida existenței legislației privind comunicarea electronică și statutul documentului electronic.</w:t>
            </w:r>
          </w:p>
          <w:p w14:paraId="4E617CA6" w14:textId="77777777" w:rsidR="00F772B2" w:rsidRDefault="00000000">
            <w:pPr>
              <w:spacing w:before="240" w:after="240"/>
              <w:jc w:val="both"/>
            </w:pPr>
            <w:r>
              <w:t>O altă problemă conturată este menținerea caracterului birocratic al procedurilor de obținere a actelor permisive, cât și a celor de conectare/reconectare la rețelele edilitare, manifestat prin impunerea solicitanților/beneficiarilor/consumatorilor de servicii edilitare la prezentarea unor acte care conțin informații înregistrate în registre publice de evidență sau în sisteme informaționale guvernamentale.</w:t>
            </w:r>
          </w:p>
          <w:p w14:paraId="0CF7C912" w14:textId="77777777" w:rsidR="00F772B2" w:rsidRDefault="00F772B2">
            <w:pPr>
              <w:jc w:val="both"/>
            </w:pPr>
          </w:p>
        </w:tc>
        <w:tc>
          <w:tcPr>
            <w:tcW w:w="1422" w:type="dxa"/>
            <w:shd w:val="clear" w:color="auto" w:fill="auto"/>
          </w:tcPr>
          <w:p w14:paraId="18E96612" w14:textId="77777777" w:rsidR="00F772B2" w:rsidRDefault="00000000">
            <w:pPr>
              <w:jc w:val="center"/>
            </w:pPr>
            <w:r>
              <w:lastRenderedPageBreak/>
              <w:t>Consecon</w:t>
            </w:r>
          </w:p>
        </w:tc>
        <w:tc>
          <w:tcPr>
            <w:tcW w:w="4809" w:type="dxa"/>
            <w:gridSpan w:val="2"/>
            <w:shd w:val="clear" w:color="auto" w:fill="auto"/>
          </w:tcPr>
          <w:p w14:paraId="4CFD92A9" w14:textId="77777777" w:rsidR="00F772B2" w:rsidRDefault="00000000">
            <w:pPr>
              <w:jc w:val="both"/>
            </w:pPr>
            <w:r>
              <w:t xml:space="preserve">Pentru a diminua sarcina pe solicitanții de acte permisive în domeniul construcțiilor, cât și celor care solicită conectarea/reconectarea la rețelele </w:t>
            </w:r>
            <w:r>
              <w:lastRenderedPageBreak/>
              <w:t>edilitare, este necesară revizuirea actelor anexate la cererile depuse în acest sens, cât și stabilirea unor prevederi în cadrul legal pentru facilitarea utilizării rețelelor de comunicații electronice, precum și a documentelor electronice în cadrul raporturilor aferente conectării/reconectării la rețelele edilitare. Astfel, sunt necesare modificări la Legea nr.163/2010 privind autorizarea executării lucrărilor de construcție, Legea nr. 303/2013 privind serviciul public de alimentare cu apă și de canalizare, Legea nr. 107/2016 cu privire la energia electrică, Legea nr. 108/2016 cu privire la gazele naturale.</w:t>
            </w:r>
          </w:p>
        </w:tc>
        <w:tc>
          <w:tcPr>
            <w:tcW w:w="2796" w:type="dxa"/>
            <w:shd w:val="clear" w:color="auto" w:fill="auto"/>
          </w:tcPr>
          <w:p w14:paraId="36F03A3B" w14:textId="77777777" w:rsidR="00F772B2" w:rsidRDefault="00000000">
            <w:pPr>
              <w:jc w:val="both"/>
            </w:pPr>
            <w:r>
              <w:lastRenderedPageBreak/>
              <w:t xml:space="preserve">Diminuarea sarcinii birocratice la emiterea actelor permisive în </w:t>
            </w:r>
            <w:r>
              <w:lastRenderedPageBreak/>
              <w:t>domeniul construcțiilor și la conectarea/reconectarea la serviciile edilitare, precum și facilitarea procedurilor administrative și de comunicare cu autoritățile emitente și operatorii de rețele edilitare. Astfel, vor fi create premise pentru micșorarea costurilor afacerii.</w:t>
            </w:r>
          </w:p>
        </w:tc>
      </w:tr>
      <w:tr w:rsidR="00F772B2" w14:paraId="6E65B7E1" w14:textId="77777777">
        <w:trPr>
          <w:gridAfter w:val="1"/>
          <w:wAfter w:w="22" w:type="dxa"/>
        </w:trPr>
        <w:tc>
          <w:tcPr>
            <w:tcW w:w="13839" w:type="dxa"/>
            <w:gridSpan w:val="6"/>
          </w:tcPr>
          <w:p w14:paraId="6DFBC29B" w14:textId="77777777" w:rsidR="00F772B2" w:rsidRDefault="00000000">
            <w:pPr>
              <w:jc w:val="center"/>
            </w:pPr>
            <w:r>
              <w:rPr>
                <w:b/>
              </w:rPr>
              <w:lastRenderedPageBreak/>
              <w:t>Domeniul protecția consumatorilor</w:t>
            </w:r>
          </w:p>
        </w:tc>
      </w:tr>
      <w:tr w:rsidR="00F772B2" w14:paraId="348DC54F" w14:textId="77777777">
        <w:trPr>
          <w:gridAfter w:val="1"/>
          <w:wAfter w:w="22" w:type="dxa"/>
        </w:trPr>
        <w:tc>
          <w:tcPr>
            <w:tcW w:w="529" w:type="dxa"/>
          </w:tcPr>
          <w:p w14:paraId="4F4C3171" w14:textId="77777777" w:rsidR="00F772B2" w:rsidRDefault="00F772B2">
            <w:pPr>
              <w:numPr>
                <w:ilvl w:val="0"/>
                <w:numId w:val="2"/>
              </w:numPr>
              <w:pBdr>
                <w:top w:val="nil"/>
                <w:left w:val="nil"/>
                <w:bottom w:val="nil"/>
                <w:right w:val="nil"/>
                <w:between w:val="nil"/>
              </w:pBdr>
              <w:spacing w:after="160"/>
              <w:jc w:val="center"/>
              <w:rPr>
                <w:b/>
                <w:color w:val="000000"/>
              </w:rPr>
            </w:pPr>
          </w:p>
          <w:p w14:paraId="39119BE3" w14:textId="77777777" w:rsidR="00F772B2" w:rsidRDefault="00000000">
            <w:pPr>
              <w:rPr>
                <w:b/>
              </w:rPr>
            </w:pPr>
            <w:r>
              <w:rPr>
                <w:b/>
              </w:rPr>
              <w:t>8.</w:t>
            </w:r>
          </w:p>
        </w:tc>
        <w:tc>
          <w:tcPr>
            <w:tcW w:w="4283" w:type="dxa"/>
            <w:shd w:val="clear" w:color="auto" w:fill="auto"/>
          </w:tcPr>
          <w:p w14:paraId="73961327" w14:textId="77777777" w:rsidR="00F772B2" w:rsidRDefault="00000000">
            <w:pPr>
              <w:jc w:val="both"/>
              <w:rPr>
                <w:b/>
              </w:rPr>
            </w:pPr>
            <w:r>
              <w:rPr>
                <w:b/>
              </w:rPr>
              <w:t>Costuri nejustificate pentru mediul de afaceri prin obligativitatea ținerii registrului de reclamații</w:t>
            </w:r>
          </w:p>
        </w:tc>
        <w:tc>
          <w:tcPr>
            <w:tcW w:w="1422" w:type="dxa"/>
            <w:shd w:val="clear" w:color="auto" w:fill="auto"/>
          </w:tcPr>
          <w:p w14:paraId="5F69A824" w14:textId="77777777" w:rsidR="00F772B2" w:rsidRDefault="00000000">
            <w:pPr>
              <w:jc w:val="center"/>
            </w:pPr>
            <w:r>
              <w:t>AIMM, MDED</w:t>
            </w:r>
          </w:p>
        </w:tc>
        <w:tc>
          <w:tcPr>
            <w:tcW w:w="4809" w:type="dxa"/>
            <w:gridSpan w:val="2"/>
            <w:shd w:val="clear" w:color="auto" w:fill="auto"/>
          </w:tcPr>
          <w:p w14:paraId="73645959" w14:textId="77777777" w:rsidR="00F772B2" w:rsidRDefault="00000000">
            <w:r>
              <w:t>Legea nr.105/2003 privind protecția consumatorilor, se modifică după cum urmează:</w:t>
            </w:r>
          </w:p>
          <w:p w14:paraId="6BC4973A" w14:textId="77777777" w:rsidR="00F772B2" w:rsidRDefault="00000000">
            <w:pPr>
              <w:jc w:val="both"/>
            </w:pPr>
            <w:r>
              <w:t>de la la articolul 9 litera g) și  art.10 litera h) se exclude obligația de a deține registrul de reclamații, însă se păstrează obligația de a recepționa și  înregistra reclamațiile</w:t>
            </w:r>
          </w:p>
          <w:p w14:paraId="6FEA7B7C" w14:textId="77777777" w:rsidR="00F772B2" w:rsidRDefault="00000000">
            <w:pPr>
              <w:jc w:val="both"/>
            </w:pPr>
            <w:r>
              <w:t>La articolul 344 alineatul (3) din Codul contravențional al Republicii Moldova nr.218/2008 litera a) va avea următorul cuprins: ”a) ne înregistrarea de către vânzător, prestator a reclamației consumatorului, ne soluționarea reclamației în termenele stabilite de lege;”</w:t>
            </w:r>
          </w:p>
        </w:tc>
        <w:tc>
          <w:tcPr>
            <w:tcW w:w="2796" w:type="dxa"/>
            <w:shd w:val="clear" w:color="auto" w:fill="auto"/>
          </w:tcPr>
          <w:p w14:paraId="11904826" w14:textId="77777777" w:rsidR="00F772B2" w:rsidRDefault="00000000">
            <w:pPr>
              <w:jc w:val="both"/>
            </w:pPr>
            <w:r>
              <w:t>Beneficii pentru agenții economici de ordin financiar și administrativ, fără a crea riscuri adiționale pentru consumatori.</w:t>
            </w:r>
          </w:p>
          <w:p w14:paraId="672C9645" w14:textId="77777777" w:rsidR="00F772B2" w:rsidRDefault="00000000">
            <w:pPr>
              <w:jc w:val="both"/>
            </w:pPr>
            <w:r>
              <w:t>Micșorarea riscurilor pentru încălcarea protecției datelor cu caracter personal pentru consumatorii care au utilizat registrul de reclamații.</w:t>
            </w:r>
          </w:p>
        </w:tc>
      </w:tr>
      <w:tr w:rsidR="00F772B2" w14:paraId="401ADCB7" w14:textId="77777777">
        <w:trPr>
          <w:gridAfter w:val="1"/>
          <w:wAfter w:w="22" w:type="dxa"/>
        </w:trPr>
        <w:tc>
          <w:tcPr>
            <w:tcW w:w="529" w:type="dxa"/>
          </w:tcPr>
          <w:p w14:paraId="3DD74549" w14:textId="77777777" w:rsidR="00F772B2" w:rsidRDefault="00F772B2">
            <w:pPr>
              <w:numPr>
                <w:ilvl w:val="0"/>
                <w:numId w:val="2"/>
              </w:numPr>
              <w:pBdr>
                <w:top w:val="nil"/>
                <w:left w:val="nil"/>
                <w:bottom w:val="nil"/>
                <w:right w:val="nil"/>
                <w:between w:val="nil"/>
              </w:pBdr>
              <w:spacing w:after="160"/>
              <w:jc w:val="center"/>
              <w:rPr>
                <w:b/>
                <w:color w:val="000000"/>
              </w:rPr>
            </w:pPr>
          </w:p>
          <w:p w14:paraId="0689D658" w14:textId="77777777" w:rsidR="00F772B2" w:rsidRDefault="00000000">
            <w:pPr>
              <w:rPr>
                <w:b/>
              </w:rPr>
            </w:pPr>
            <w:r>
              <w:rPr>
                <w:b/>
              </w:rPr>
              <w:t>9.</w:t>
            </w:r>
          </w:p>
        </w:tc>
        <w:tc>
          <w:tcPr>
            <w:tcW w:w="4283" w:type="dxa"/>
            <w:shd w:val="clear" w:color="auto" w:fill="auto"/>
          </w:tcPr>
          <w:p w14:paraId="70F092C2" w14:textId="77777777" w:rsidR="00F772B2" w:rsidRDefault="00000000">
            <w:pPr>
              <w:jc w:val="both"/>
            </w:pPr>
            <w:r>
              <w:rPr>
                <w:b/>
              </w:rPr>
              <w:t>Perioada de timp pentru repararea sau preschimbarea produsului trebuie să fie adecvată, reală și suficientă</w:t>
            </w:r>
            <w:r>
              <w:t xml:space="preserve">. Deseori vânzătorul recunoscând viciul produsului și fiind de acord să efectueze reparația acestuia, se ciocnește cu problema respectării acestui </w:t>
            </w:r>
            <w:r>
              <w:lastRenderedPageBreak/>
              <w:t>termen (</w:t>
            </w:r>
            <w:r>
              <w:rPr>
                <w:b/>
              </w:rPr>
              <w:t>de 14 zile</w:t>
            </w:r>
            <w:r>
              <w:t>). Vânzător, sau eventual centrul de deservire, nu are posibilitate de a asigura stocuri cu absolut toate piesele pentru orice produs și, în acest caz, piesele se comandă și se aduc de la producător, de peste hotare. Logistica transporturilor, în special în contextul acțiunilor militare din Ucraina, a extins toți termenii de câteva ori.</w:t>
            </w:r>
          </w:p>
        </w:tc>
        <w:tc>
          <w:tcPr>
            <w:tcW w:w="1422" w:type="dxa"/>
            <w:shd w:val="clear" w:color="auto" w:fill="auto"/>
          </w:tcPr>
          <w:p w14:paraId="583AFD6F" w14:textId="77777777" w:rsidR="00F772B2" w:rsidRDefault="00000000">
            <w:pPr>
              <w:jc w:val="center"/>
            </w:pPr>
            <w:r>
              <w:lastRenderedPageBreak/>
              <w:t>ATIC</w:t>
            </w:r>
          </w:p>
        </w:tc>
        <w:tc>
          <w:tcPr>
            <w:tcW w:w="4809" w:type="dxa"/>
            <w:gridSpan w:val="2"/>
            <w:shd w:val="clear" w:color="auto" w:fill="auto"/>
          </w:tcPr>
          <w:p w14:paraId="6A1966F6" w14:textId="77777777" w:rsidR="00F772B2" w:rsidRDefault="00000000">
            <w:pPr>
              <w:jc w:val="both"/>
            </w:pPr>
            <w:r>
              <w:t xml:space="preserve">În Legea nr.105/2003 la art.18 se completează, pe lîngă termenul de bază de 14 zile, cu prevederea că termenul „poate fi prelungit din inițiativa vînzătorului, cu 14 zile suplimentar, în cazul bunurilor care nu se produc în Republica Moldova și </w:t>
            </w:r>
            <w:r>
              <w:lastRenderedPageBreak/>
              <w:t>reparația sau preschimbarea cărora necesită import de piese sau produse similare”</w:t>
            </w:r>
          </w:p>
          <w:p w14:paraId="6B8FCAD3" w14:textId="77777777" w:rsidR="00F772B2" w:rsidRDefault="00F772B2">
            <w:pPr>
              <w:jc w:val="both"/>
            </w:pPr>
          </w:p>
          <w:p w14:paraId="0664EA3B" w14:textId="77777777" w:rsidR="00F772B2" w:rsidRDefault="00F772B2">
            <w:pPr>
              <w:jc w:val="both"/>
            </w:pPr>
          </w:p>
        </w:tc>
        <w:tc>
          <w:tcPr>
            <w:tcW w:w="2796" w:type="dxa"/>
            <w:shd w:val="clear" w:color="auto" w:fill="auto"/>
          </w:tcPr>
          <w:p w14:paraId="687A8A5C" w14:textId="77777777" w:rsidR="00F772B2" w:rsidRDefault="00000000">
            <w:pPr>
              <w:jc w:val="both"/>
            </w:pPr>
            <w:r>
              <w:lastRenderedPageBreak/>
              <w:t xml:space="preserve">Acordarea unui termen mai mare, asigură că vînzătorul va putea să-și îndeplinească obligațiile de reparație sau înlocuire a produsului, în special cînd sunt necesare </w:t>
            </w:r>
            <w:r>
              <w:lastRenderedPageBreak/>
              <w:t>importuri suplimentare de piese sau de produse.</w:t>
            </w:r>
          </w:p>
        </w:tc>
      </w:tr>
      <w:tr w:rsidR="00F772B2" w14:paraId="50371206" w14:textId="77777777">
        <w:trPr>
          <w:gridAfter w:val="1"/>
          <w:wAfter w:w="22" w:type="dxa"/>
        </w:trPr>
        <w:tc>
          <w:tcPr>
            <w:tcW w:w="529" w:type="dxa"/>
          </w:tcPr>
          <w:p w14:paraId="61922488" w14:textId="77777777" w:rsidR="00F772B2" w:rsidRDefault="00F772B2">
            <w:pPr>
              <w:numPr>
                <w:ilvl w:val="0"/>
                <w:numId w:val="2"/>
              </w:numPr>
              <w:pBdr>
                <w:top w:val="nil"/>
                <w:left w:val="nil"/>
                <w:bottom w:val="nil"/>
                <w:right w:val="nil"/>
                <w:between w:val="nil"/>
              </w:pBdr>
              <w:spacing w:after="160"/>
              <w:jc w:val="center"/>
              <w:rPr>
                <w:b/>
                <w:color w:val="000000"/>
              </w:rPr>
            </w:pPr>
          </w:p>
          <w:p w14:paraId="3E905D42" w14:textId="77777777" w:rsidR="00F772B2" w:rsidRDefault="00000000">
            <w:pPr>
              <w:rPr>
                <w:b/>
              </w:rPr>
            </w:pPr>
            <w:r>
              <w:rPr>
                <w:b/>
              </w:rPr>
              <w:t>10.</w:t>
            </w:r>
          </w:p>
        </w:tc>
        <w:tc>
          <w:tcPr>
            <w:tcW w:w="4283" w:type="dxa"/>
            <w:shd w:val="clear" w:color="auto" w:fill="auto"/>
          </w:tcPr>
          <w:p w14:paraId="43567D60" w14:textId="77777777" w:rsidR="00F772B2" w:rsidRDefault="00000000">
            <w:pPr>
              <w:jc w:val="both"/>
            </w:pPr>
            <w:r>
              <w:rPr>
                <w:b/>
              </w:rPr>
              <w:t>Norma conform căreia consumatorul la orice defect apărut în primele 6 luni de utilizare a bunului, poate opta pentru returnare (cu restituirea banilor) este inechitabilă</w:t>
            </w:r>
            <w:r>
              <w:t xml:space="preserve"> pentru vânzător, fiind o sursă de abuz din partea consumatorilor. O astfel de normă nu este în cadrul UE și garanțiile existente sunt suficiente.</w:t>
            </w:r>
          </w:p>
          <w:p w14:paraId="6814A1E4" w14:textId="77777777" w:rsidR="00F772B2" w:rsidRDefault="00000000">
            <w:pPr>
              <w:jc w:val="both"/>
            </w:pPr>
            <w:r>
              <w:t>Termenul de 6 luni era prevăzut în Directiva 1999/44/CE care în prezent e abrogată.</w:t>
            </w:r>
          </w:p>
        </w:tc>
        <w:tc>
          <w:tcPr>
            <w:tcW w:w="1422" w:type="dxa"/>
            <w:shd w:val="clear" w:color="auto" w:fill="auto"/>
          </w:tcPr>
          <w:p w14:paraId="7A9395BF" w14:textId="77777777" w:rsidR="00F772B2" w:rsidRDefault="00000000">
            <w:pPr>
              <w:jc w:val="center"/>
            </w:pPr>
            <w:r>
              <w:t>ATIC</w:t>
            </w:r>
          </w:p>
        </w:tc>
        <w:tc>
          <w:tcPr>
            <w:tcW w:w="4809" w:type="dxa"/>
            <w:gridSpan w:val="2"/>
            <w:shd w:val="clear" w:color="auto" w:fill="auto"/>
          </w:tcPr>
          <w:p w14:paraId="0AE4AC23" w14:textId="77777777" w:rsidR="00F772B2" w:rsidRDefault="00000000">
            <w:pPr>
              <w:jc w:val="both"/>
            </w:pPr>
            <w:r>
              <w:t>De abrogat lit. e) din art.18 alin.(4), Legea nr.105/2003. Unde se specifică expres dreptul consumatorului „poate solicita o reducere corespunzătoare a preţului sau restituirea contravalorii produsului prin rezoluţiunea contractului la depistarea neconformităţii produsului în termen de 6 luni de la livrarea produsului, dacă consumatorul a refuzat repararea sau înlocuirea produsului.”</w:t>
            </w:r>
          </w:p>
        </w:tc>
        <w:tc>
          <w:tcPr>
            <w:tcW w:w="2796" w:type="dxa"/>
            <w:shd w:val="clear" w:color="auto" w:fill="auto"/>
          </w:tcPr>
          <w:p w14:paraId="01AC75FD" w14:textId="77777777" w:rsidR="00F772B2" w:rsidRDefault="00000000">
            <w:pPr>
              <w:jc w:val="both"/>
            </w:pPr>
            <w:r>
              <w:t>Excluderea practicilor abuzive din partea consumatorului</w:t>
            </w:r>
          </w:p>
        </w:tc>
      </w:tr>
      <w:tr w:rsidR="00F772B2" w14:paraId="757ED7DC" w14:textId="77777777">
        <w:trPr>
          <w:gridAfter w:val="1"/>
          <w:wAfter w:w="22" w:type="dxa"/>
        </w:trPr>
        <w:tc>
          <w:tcPr>
            <w:tcW w:w="529" w:type="dxa"/>
          </w:tcPr>
          <w:p w14:paraId="6BBB42FA" w14:textId="77777777" w:rsidR="00F772B2" w:rsidRDefault="00F772B2">
            <w:pPr>
              <w:numPr>
                <w:ilvl w:val="0"/>
                <w:numId w:val="2"/>
              </w:numPr>
              <w:pBdr>
                <w:top w:val="nil"/>
                <w:left w:val="nil"/>
                <w:bottom w:val="nil"/>
                <w:right w:val="nil"/>
                <w:between w:val="nil"/>
              </w:pBdr>
              <w:spacing w:after="160"/>
              <w:jc w:val="center"/>
              <w:rPr>
                <w:b/>
                <w:color w:val="000000"/>
              </w:rPr>
            </w:pPr>
          </w:p>
          <w:p w14:paraId="0A0556A7" w14:textId="77777777" w:rsidR="00F772B2" w:rsidRDefault="00000000">
            <w:pPr>
              <w:rPr>
                <w:b/>
              </w:rPr>
            </w:pPr>
            <w:r>
              <w:rPr>
                <w:b/>
              </w:rPr>
              <w:t>11.</w:t>
            </w:r>
          </w:p>
        </w:tc>
        <w:tc>
          <w:tcPr>
            <w:tcW w:w="4283" w:type="dxa"/>
            <w:shd w:val="clear" w:color="auto" w:fill="auto"/>
          </w:tcPr>
          <w:p w14:paraId="09D9F274" w14:textId="77777777" w:rsidR="00F772B2" w:rsidRDefault="00000000">
            <w:pPr>
              <w:jc w:val="both"/>
            </w:pPr>
            <w:r>
              <w:rPr>
                <w:b/>
              </w:rPr>
              <w:t>Nu este justificată o listă exhaustivă a bunurilor care nu sunt de folosință îndelungată</w:t>
            </w:r>
            <w:r>
              <w:t>, pentru care se acordă garanție legală restrînsă, de 30 zile. Mai multe produse, care nu sunt de folosință îndelungată, ar intra în această categorie (cablurile, becurile, bateriile, etc.).</w:t>
            </w:r>
          </w:p>
        </w:tc>
        <w:tc>
          <w:tcPr>
            <w:tcW w:w="1422" w:type="dxa"/>
            <w:shd w:val="clear" w:color="auto" w:fill="auto"/>
          </w:tcPr>
          <w:p w14:paraId="0936FEF2" w14:textId="77777777" w:rsidR="00F772B2" w:rsidRDefault="00000000">
            <w:pPr>
              <w:jc w:val="center"/>
            </w:pPr>
            <w:r>
              <w:t>ATIC</w:t>
            </w:r>
          </w:p>
        </w:tc>
        <w:tc>
          <w:tcPr>
            <w:tcW w:w="4809" w:type="dxa"/>
            <w:gridSpan w:val="2"/>
            <w:shd w:val="clear" w:color="auto" w:fill="auto"/>
          </w:tcPr>
          <w:p w14:paraId="1DDF433D" w14:textId="77777777" w:rsidR="00F772B2" w:rsidRDefault="00000000">
            <w:pPr>
              <w:jc w:val="both"/>
            </w:pPr>
            <w:r>
              <w:t>De modificat la art.18/3 alin.(2/1) Legea nr.105/2003, lista de exemple de completat și inclus termenul „etc.”. Inclusiv, se va completa legea cu criterii care definesc bunurile ce nu sunt de folosință îndelungată - nu sunt de folosință îndelungată bunurile care nu sunt constituie dintr-un ansamblu de piese, schimbul cărora permit reparația și întreținerea, și care, fiind utilizate conform destinației chiar la începutul termenului de uzură își pot schimba structura, culoarea, forma, compoziția și restabilirea lor la starea inițială necesită un efort disproporționat</w:t>
            </w:r>
          </w:p>
        </w:tc>
        <w:tc>
          <w:tcPr>
            <w:tcW w:w="2796" w:type="dxa"/>
            <w:shd w:val="clear" w:color="auto" w:fill="auto"/>
          </w:tcPr>
          <w:p w14:paraId="19232CEA" w14:textId="77777777" w:rsidR="00F772B2" w:rsidRDefault="00000000">
            <w:pPr>
              <w:jc w:val="both"/>
            </w:pPr>
            <w:r>
              <w:t>Micșorarea numărului de dispute între consumatori și vînzător în privința categoriilor de bunuri care sunt sau nu considerate de folosință îndelungată.</w:t>
            </w:r>
          </w:p>
        </w:tc>
      </w:tr>
      <w:tr w:rsidR="00F772B2" w14:paraId="448FD0C9" w14:textId="77777777">
        <w:trPr>
          <w:gridAfter w:val="1"/>
          <w:wAfter w:w="22" w:type="dxa"/>
        </w:trPr>
        <w:tc>
          <w:tcPr>
            <w:tcW w:w="529" w:type="dxa"/>
          </w:tcPr>
          <w:p w14:paraId="1E2BFE5F" w14:textId="77777777" w:rsidR="00F772B2" w:rsidRDefault="00F772B2">
            <w:pPr>
              <w:numPr>
                <w:ilvl w:val="0"/>
                <w:numId w:val="2"/>
              </w:numPr>
              <w:pBdr>
                <w:top w:val="nil"/>
                <w:left w:val="nil"/>
                <w:bottom w:val="nil"/>
                <w:right w:val="nil"/>
                <w:between w:val="nil"/>
              </w:pBdr>
              <w:spacing w:after="160"/>
              <w:jc w:val="center"/>
              <w:rPr>
                <w:b/>
                <w:color w:val="000000"/>
              </w:rPr>
            </w:pPr>
          </w:p>
          <w:p w14:paraId="18CA4846" w14:textId="77777777" w:rsidR="00F772B2" w:rsidRDefault="00000000">
            <w:pPr>
              <w:rPr>
                <w:b/>
              </w:rPr>
            </w:pPr>
            <w:r>
              <w:rPr>
                <w:b/>
              </w:rPr>
              <w:t>12.</w:t>
            </w:r>
          </w:p>
        </w:tc>
        <w:tc>
          <w:tcPr>
            <w:tcW w:w="4283" w:type="dxa"/>
            <w:shd w:val="clear" w:color="auto" w:fill="auto"/>
          </w:tcPr>
          <w:p w14:paraId="23435D07" w14:textId="77777777" w:rsidR="00F772B2" w:rsidRDefault="00000000">
            <w:pPr>
              <w:jc w:val="both"/>
            </w:pPr>
            <w:r>
              <w:rPr>
                <w:b/>
              </w:rPr>
              <w:t>Legea impune ca deficiențele apărute (și vina consumatorului la acestea) să fie dovedite prin expertiză tehnică efectuată de o terţă parte competentă în domeniu, abilitată în conformitate cu legea</w:t>
            </w:r>
            <w:r>
              <w:t xml:space="preserve">. </w:t>
            </w:r>
          </w:p>
          <w:p w14:paraId="6A54A6D7" w14:textId="77777777" w:rsidR="00F772B2" w:rsidRDefault="00000000">
            <w:pPr>
              <w:jc w:val="both"/>
            </w:pPr>
            <w:r>
              <w:lastRenderedPageBreak/>
              <w:t>La moment doar expertii camerei de comert și industrie efectuiază aceste expertize, ei neavând nici utiliaj și nici specialiști suficient instruiți. Centrele de deservire, autorizate de producător sunt mai competente și mai dotate în soluționarea acestor întrebări. Cu atît mai mult că agenţii economici care importă şi/sau comercializează produse de folosinţă îndelungată şi piese de schimb aferente sînt obligaţi să încheie cu întreprinderile specializate în deservirea tehnică şi reparaţia produselor respective contracte pentru deservirea tehnică a produselor comercializate pe teritoriul ţării în perioada de garanţie şi postgaranţie.</w:t>
            </w:r>
          </w:p>
        </w:tc>
        <w:tc>
          <w:tcPr>
            <w:tcW w:w="1422" w:type="dxa"/>
            <w:shd w:val="clear" w:color="auto" w:fill="auto"/>
          </w:tcPr>
          <w:p w14:paraId="4C916304" w14:textId="77777777" w:rsidR="00F772B2" w:rsidRDefault="00000000">
            <w:pPr>
              <w:jc w:val="center"/>
            </w:pPr>
            <w:r>
              <w:lastRenderedPageBreak/>
              <w:t>ATIC</w:t>
            </w:r>
          </w:p>
        </w:tc>
        <w:tc>
          <w:tcPr>
            <w:tcW w:w="4809" w:type="dxa"/>
            <w:gridSpan w:val="2"/>
            <w:shd w:val="clear" w:color="auto" w:fill="auto"/>
          </w:tcPr>
          <w:p w14:paraId="0090734A" w14:textId="77777777" w:rsidR="00F772B2" w:rsidRDefault="00000000">
            <w:pPr>
              <w:keepLines/>
            </w:pPr>
            <w:r>
              <w:t>Art.18/5 din Legea nr.105/2003 de completat cu un alineat suplimentar în care de stabilit o diversitate de entități care pot efectua expertiza tehnică.</w:t>
            </w:r>
          </w:p>
          <w:p w14:paraId="40A38166" w14:textId="77777777" w:rsidR="00F772B2" w:rsidRDefault="00000000">
            <w:pPr>
              <w:keepLines/>
            </w:pPr>
            <w:r>
              <w:lastRenderedPageBreak/>
              <w:t xml:space="preserve">Expertiza tehnică, specificată la alin.(3), poate fi efectuată: </w:t>
            </w:r>
          </w:p>
          <w:p w14:paraId="5BA803A4" w14:textId="77777777" w:rsidR="00F772B2" w:rsidRDefault="00000000">
            <w:pPr>
              <w:keepLines/>
            </w:pPr>
            <w:r>
              <w:t xml:space="preserve">a) de o terță parte competentă în domeniu, abilitată în conformitatea cu legea; </w:t>
            </w:r>
          </w:p>
          <w:p w14:paraId="57A08ADC" w14:textId="77777777" w:rsidR="00F772B2" w:rsidRDefault="00000000">
            <w:pPr>
              <w:keepLines/>
            </w:pPr>
            <w:r>
              <w:t>b) de o întreprindere specializată și autorizată de producător, în deservirea tehnică și reparația produselor pentru care se solicită expertiza;</w:t>
            </w:r>
          </w:p>
          <w:p w14:paraId="44FC036C" w14:textId="77777777" w:rsidR="00F772B2" w:rsidRDefault="00000000">
            <w:pPr>
              <w:keepLines/>
            </w:pPr>
            <w:r>
              <w:t>c)cu acordul scris al consumatorului, de o întreprindere specializată în deservirea tehnică și reparația produselor sau categoriilor de produse pentru care se solicită expertiza, cu care vînzătorul nu are și nu a avut în ultimii 3 ani tranzacții comerciale</w:t>
            </w:r>
          </w:p>
        </w:tc>
        <w:tc>
          <w:tcPr>
            <w:tcW w:w="2796" w:type="dxa"/>
            <w:shd w:val="clear" w:color="auto" w:fill="auto"/>
          </w:tcPr>
          <w:p w14:paraId="131C167C" w14:textId="77777777" w:rsidR="00F772B2" w:rsidRDefault="00000000">
            <w:pPr>
              <w:jc w:val="both"/>
            </w:pPr>
            <w:r>
              <w:lastRenderedPageBreak/>
              <w:t>Va fi mult mai simplu, mai ieftin și mai calitativ efectuată expertiza în raport cu defectele bunului, natura și gravitatea defectelor.</w:t>
            </w:r>
          </w:p>
          <w:p w14:paraId="37975B21" w14:textId="77777777" w:rsidR="00F772B2" w:rsidRDefault="00F772B2">
            <w:pPr>
              <w:jc w:val="both"/>
            </w:pPr>
          </w:p>
        </w:tc>
      </w:tr>
      <w:tr w:rsidR="00F772B2" w14:paraId="0EA673FB" w14:textId="77777777">
        <w:trPr>
          <w:gridAfter w:val="1"/>
          <w:wAfter w:w="22" w:type="dxa"/>
          <w:trHeight w:val="220"/>
        </w:trPr>
        <w:tc>
          <w:tcPr>
            <w:tcW w:w="13839" w:type="dxa"/>
            <w:gridSpan w:val="6"/>
          </w:tcPr>
          <w:p w14:paraId="5C499A04" w14:textId="77777777" w:rsidR="00F772B2" w:rsidRDefault="00000000">
            <w:pPr>
              <w:pBdr>
                <w:top w:val="nil"/>
                <w:left w:val="nil"/>
                <w:bottom w:val="nil"/>
                <w:right w:val="nil"/>
                <w:between w:val="nil"/>
              </w:pBdr>
              <w:spacing w:after="160"/>
              <w:ind w:left="786" w:hanging="360"/>
              <w:jc w:val="center"/>
              <w:rPr>
                <w:b/>
                <w:color w:val="000000"/>
              </w:rPr>
            </w:pPr>
            <w:r>
              <w:rPr>
                <w:b/>
              </w:rPr>
              <w:lastRenderedPageBreak/>
              <w:t>Domeniul - legiferarea în raport cu mediul de afaceri</w:t>
            </w:r>
          </w:p>
        </w:tc>
      </w:tr>
      <w:tr w:rsidR="00F772B2" w14:paraId="59EA64B1" w14:textId="77777777">
        <w:trPr>
          <w:gridAfter w:val="1"/>
          <w:wAfter w:w="22" w:type="dxa"/>
        </w:trPr>
        <w:tc>
          <w:tcPr>
            <w:tcW w:w="529" w:type="dxa"/>
          </w:tcPr>
          <w:p w14:paraId="22BC2692" w14:textId="77777777" w:rsidR="00F772B2" w:rsidRDefault="00F772B2">
            <w:pPr>
              <w:pBdr>
                <w:top w:val="nil"/>
                <w:left w:val="nil"/>
                <w:bottom w:val="nil"/>
                <w:right w:val="nil"/>
                <w:between w:val="nil"/>
              </w:pBdr>
              <w:spacing w:after="160"/>
              <w:ind w:left="786" w:hanging="360"/>
              <w:jc w:val="center"/>
              <w:rPr>
                <w:b/>
                <w:color w:val="000000"/>
              </w:rPr>
            </w:pPr>
          </w:p>
          <w:p w14:paraId="27208655" w14:textId="77777777" w:rsidR="00F772B2" w:rsidRDefault="00000000">
            <w:pPr>
              <w:rPr>
                <w:b/>
              </w:rPr>
            </w:pPr>
            <w:r>
              <w:rPr>
                <w:b/>
              </w:rPr>
              <w:t>13.</w:t>
            </w:r>
          </w:p>
        </w:tc>
        <w:tc>
          <w:tcPr>
            <w:tcW w:w="4283" w:type="dxa"/>
            <w:shd w:val="clear" w:color="auto" w:fill="auto"/>
          </w:tcPr>
          <w:p w14:paraId="25CE35CF" w14:textId="77777777" w:rsidR="00F772B2" w:rsidRDefault="00000000">
            <w:pPr>
              <w:jc w:val="both"/>
            </w:pPr>
            <w:r>
              <w:rPr>
                <w:b/>
              </w:rPr>
              <w:t>Reglementările frecvente, în special în contextul procesului de armonizare, modifică foarte des regulile și cerințele pentru agenții economici,  fără să fie acordată o perioadă rațională pentru conformare</w:t>
            </w:r>
            <w:r>
              <w:t xml:space="preserve"> și ajustarea proceselor interne în întreprindere. De multe ori autoritățile la elaborarea modificărilor legislative nu parcurg calitativ analiza de impact și procesul de consultări, corespunzător, nu identifică perioada real necesară pentru conformare.</w:t>
            </w:r>
          </w:p>
        </w:tc>
        <w:tc>
          <w:tcPr>
            <w:tcW w:w="1422" w:type="dxa"/>
            <w:shd w:val="clear" w:color="auto" w:fill="auto"/>
          </w:tcPr>
          <w:p w14:paraId="72F31240" w14:textId="77777777" w:rsidR="00F772B2" w:rsidRDefault="00000000">
            <w:pPr>
              <w:jc w:val="center"/>
            </w:pPr>
            <w:r>
              <w:t>Consecon</w:t>
            </w:r>
          </w:p>
        </w:tc>
        <w:tc>
          <w:tcPr>
            <w:tcW w:w="4809" w:type="dxa"/>
            <w:gridSpan w:val="2"/>
            <w:shd w:val="clear" w:color="auto" w:fill="auto"/>
          </w:tcPr>
          <w:p w14:paraId="72100919" w14:textId="77777777" w:rsidR="00F772B2" w:rsidRDefault="00000000">
            <w:pPr>
              <w:keepLines/>
            </w:pPr>
            <w:r>
              <w:t>Se propune de a include regula generală în Legea nr.100/2017 ca legile care reglementează activitatea de întreprinzător în partea ce se referă la stabilirea de obligații, cerințe sau interdicții suplimentare în desfășurarea activității economice să intre în vigoare nu mai devreme de 6 luni de la data publicării, așa cum în prezent este prevăzut și pentru legile din domeniul fiscal și vamal.</w:t>
            </w:r>
          </w:p>
        </w:tc>
        <w:tc>
          <w:tcPr>
            <w:tcW w:w="2796" w:type="dxa"/>
            <w:shd w:val="clear" w:color="auto" w:fill="auto"/>
          </w:tcPr>
          <w:p w14:paraId="6C39FAFE" w14:textId="77777777" w:rsidR="00F772B2" w:rsidRDefault="00000000">
            <w:pPr>
              <w:spacing w:after="240"/>
              <w:jc w:val="both"/>
            </w:pPr>
            <w:r>
              <w:t>Această propunere vine să faciliteze conformarea și adaptarea mediului de afaceri la schimbările constante ale cadrului legislativ, luând în considerație că foarte multe proiecte sunt promovate în termeni restrânși și nu sunt totdeauna consultate suficient.</w:t>
            </w:r>
          </w:p>
          <w:p w14:paraId="075EC64E" w14:textId="77777777" w:rsidR="00F772B2" w:rsidRDefault="00F772B2">
            <w:pPr>
              <w:jc w:val="both"/>
            </w:pPr>
          </w:p>
        </w:tc>
      </w:tr>
      <w:tr w:rsidR="00F772B2" w14:paraId="14B595A3" w14:textId="77777777">
        <w:trPr>
          <w:gridAfter w:val="1"/>
          <w:wAfter w:w="22" w:type="dxa"/>
        </w:trPr>
        <w:tc>
          <w:tcPr>
            <w:tcW w:w="13839" w:type="dxa"/>
            <w:gridSpan w:val="6"/>
          </w:tcPr>
          <w:p w14:paraId="1025C9A6" w14:textId="77777777" w:rsidR="00F772B2" w:rsidRDefault="00000000">
            <w:pPr>
              <w:jc w:val="center"/>
              <w:rPr>
                <w:b/>
              </w:rPr>
            </w:pPr>
            <w:r>
              <w:rPr>
                <w:b/>
              </w:rPr>
              <w:t>Turism Rural</w:t>
            </w:r>
          </w:p>
        </w:tc>
      </w:tr>
      <w:tr w:rsidR="00F772B2" w14:paraId="71A1B2EB" w14:textId="77777777">
        <w:trPr>
          <w:gridAfter w:val="1"/>
          <w:wAfter w:w="22" w:type="dxa"/>
        </w:trPr>
        <w:tc>
          <w:tcPr>
            <w:tcW w:w="529" w:type="dxa"/>
          </w:tcPr>
          <w:p w14:paraId="153A47C3" w14:textId="77777777" w:rsidR="00F772B2" w:rsidRDefault="00000000">
            <w:pPr>
              <w:pBdr>
                <w:top w:val="nil"/>
                <w:left w:val="nil"/>
                <w:bottom w:val="nil"/>
                <w:right w:val="nil"/>
                <w:between w:val="nil"/>
              </w:pBdr>
              <w:spacing w:after="160"/>
              <w:ind w:left="786" w:hanging="360"/>
              <w:jc w:val="center"/>
              <w:rPr>
                <w:b/>
                <w:color w:val="000000"/>
              </w:rPr>
            </w:pPr>
            <w:r>
              <w:rPr>
                <w:b/>
                <w:color w:val="000000"/>
              </w:rPr>
              <w:t>1</w:t>
            </w:r>
          </w:p>
          <w:p w14:paraId="77DFCA7F" w14:textId="77777777" w:rsidR="00F772B2" w:rsidRDefault="00000000">
            <w:pPr>
              <w:rPr>
                <w:b/>
              </w:rPr>
            </w:pPr>
            <w:r>
              <w:rPr>
                <w:b/>
              </w:rPr>
              <w:t>14.</w:t>
            </w:r>
          </w:p>
        </w:tc>
        <w:tc>
          <w:tcPr>
            <w:tcW w:w="4283" w:type="dxa"/>
          </w:tcPr>
          <w:p w14:paraId="5F684EFD" w14:textId="77777777" w:rsidR="00F772B2" w:rsidRDefault="00000000">
            <w:pPr>
              <w:jc w:val="both"/>
            </w:pPr>
            <w:r>
              <w:rPr>
                <w:b/>
              </w:rPr>
              <w:t>O problemă ține de imposibilitatea preparării unor bucate care nu au proveniență din propria gospodărie</w:t>
            </w:r>
            <w:r>
              <w:t xml:space="preserve">. Problema derivă din definiția expusă în Legea nr.352/2006 care prevede că casă rurală este </w:t>
            </w:r>
            <w:r>
              <w:lastRenderedPageBreak/>
              <w:t>o structură de cazare turistică şi, după caz, de alimentare, organizată în baza unei case (gospodării) proprietate privată amplasată în sat sau în oraș cu o populație de până la 15 mii de locuitori, care respectă stilul arhitectural tradițional (regional, zonal sau local), cu o capacitate de pînă la 3 camere pentru cazarea a maximum 10 persoane, respectînd în deservirea turiştilor tradiţiile populare de trai, muncă şi odihnă. Alimentaţia turiştilor la casa rurală se asigură cu produse din producţia proprie sau cu produse crescute în gospodăriile din localitate ori din localităţile din preajmă. Prin urmare nu este justificată o astfel de limitarea în asortimentul produselor care este utilizat în alimentarea turiștilor.</w:t>
            </w:r>
          </w:p>
        </w:tc>
        <w:tc>
          <w:tcPr>
            <w:tcW w:w="1422" w:type="dxa"/>
          </w:tcPr>
          <w:p w14:paraId="3FAB2CA2" w14:textId="77777777" w:rsidR="00F772B2" w:rsidRDefault="00000000">
            <w:pPr>
              <w:spacing w:before="240" w:after="240"/>
              <w:jc w:val="center"/>
            </w:pPr>
            <w:r>
              <w:lastRenderedPageBreak/>
              <w:t>MDED</w:t>
            </w:r>
          </w:p>
          <w:p w14:paraId="24DC0BD5" w14:textId="77777777" w:rsidR="00F772B2" w:rsidRDefault="00000000">
            <w:pPr>
              <w:jc w:val="center"/>
            </w:pPr>
            <w:r>
              <w:t>Consecon</w:t>
            </w:r>
          </w:p>
        </w:tc>
        <w:tc>
          <w:tcPr>
            <w:tcW w:w="4776" w:type="dxa"/>
          </w:tcPr>
          <w:p w14:paraId="28BEC113" w14:textId="77777777" w:rsidR="00F772B2" w:rsidRDefault="00000000">
            <w:pPr>
              <w:jc w:val="both"/>
            </w:pPr>
            <w:r>
              <w:t>Este necesar de a modifica definiția de ”casă rurală” de la art.3 din Legea nr.352/2006 în felul următor:</w:t>
            </w:r>
          </w:p>
          <w:p w14:paraId="3901AF73" w14:textId="77777777" w:rsidR="00F772B2" w:rsidRDefault="00000000">
            <w:pPr>
              <w:jc w:val="both"/>
            </w:pPr>
            <w:r>
              <w:t>” „</w:t>
            </w:r>
            <w:r>
              <w:rPr>
                <w:i/>
              </w:rPr>
              <w:t>casă rurală</w:t>
            </w:r>
            <w:r>
              <w:t xml:space="preserve"> – structură de cazare turistică şi, după caz, de alimentare, organizată în baza unei sau mai multe case și/sau construcții ce aparțin unei </w:t>
            </w:r>
            <w:r>
              <w:lastRenderedPageBreak/>
              <w:t>gospodării înregistrate la aceeași adresă care respectă stilul arhitectural tradițional (regional, zonal sau local), precum și tradiţiile populare de trai, muncă şi odihnă în deservirea turiştilor. Alimentaţia turiştilor la casa rurală se asigură inclusiv cu produse din producția proprie, crescute în gospodăriile din localitate ori din localitățile din preajmă”</w:t>
            </w:r>
          </w:p>
          <w:p w14:paraId="10B49570" w14:textId="77777777" w:rsidR="00F772B2" w:rsidRDefault="00F772B2">
            <w:pPr>
              <w:jc w:val="both"/>
            </w:pPr>
          </w:p>
        </w:tc>
        <w:tc>
          <w:tcPr>
            <w:tcW w:w="2829" w:type="dxa"/>
            <w:gridSpan w:val="2"/>
          </w:tcPr>
          <w:p w14:paraId="7AD5A82D" w14:textId="77777777" w:rsidR="00F772B2" w:rsidRDefault="00000000">
            <w:pPr>
              <w:jc w:val="both"/>
            </w:pPr>
            <w:r>
              <w:lastRenderedPageBreak/>
              <w:t xml:space="preserve">Se va elimina o cerință nejustificată care limitează activitatea caselor rurale în ceea ce ține de asortimentul </w:t>
            </w:r>
            <w:r>
              <w:lastRenderedPageBreak/>
              <w:t>produselor utilizate în alimentarea turiștilor.</w:t>
            </w:r>
          </w:p>
        </w:tc>
      </w:tr>
      <w:tr w:rsidR="00F772B2" w14:paraId="05950B2D" w14:textId="77777777">
        <w:trPr>
          <w:gridAfter w:val="1"/>
          <w:wAfter w:w="22" w:type="dxa"/>
          <w:trHeight w:val="220"/>
        </w:trPr>
        <w:tc>
          <w:tcPr>
            <w:tcW w:w="13839" w:type="dxa"/>
            <w:gridSpan w:val="6"/>
          </w:tcPr>
          <w:p w14:paraId="6359C2DA" w14:textId="77777777" w:rsidR="00F772B2" w:rsidRDefault="00000000">
            <w:pPr>
              <w:jc w:val="center"/>
              <w:rPr>
                <w:b/>
                <w:color w:val="000000"/>
              </w:rPr>
            </w:pPr>
            <w:r>
              <w:rPr>
                <w:b/>
              </w:rPr>
              <w:lastRenderedPageBreak/>
              <w:t>Instruirea Igienică şi în domeniul Sănătății și Securității în Muncă</w:t>
            </w:r>
          </w:p>
        </w:tc>
      </w:tr>
      <w:tr w:rsidR="00F772B2" w14:paraId="611ADB12" w14:textId="77777777">
        <w:trPr>
          <w:gridAfter w:val="1"/>
          <w:wAfter w:w="22" w:type="dxa"/>
        </w:trPr>
        <w:tc>
          <w:tcPr>
            <w:tcW w:w="529" w:type="dxa"/>
          </w:tcPr>
          <w:p w14:paraId="41DA78FE" w14:textId="77777777" w:rsidR="00F772B2" w:rsidRDefault="00F772B2">
            <w:pPr>
              <w:numPr>
                <w:ilvl w:val="0"/>
                <w:numId w:val="4"/>
              </w:numPr>
              <w:pBdr>
                <w:top w:val="nil"/>
                <w:left w:val="nil"/>
                <w:bottom w:val="nil"/>
                <w:right w:val="nil"/>
                <w:between w:val="nil"/>
              </w:pBdr>
              <w:spacing w:after="160"/>
              <w:jc w:val="center"/>
              <w:rPr>
                <w:b/>
                <w:color w:val="000000"/>
              </w:rPr>
            </w:pPr>
          </w:p>
          <w:p w14:paraId="7560723A" w14:textId="77777777" w:rsidR="00F772B2" w:rsidRDefault="00000000">
            <w:pPr>
              <w:rPr>
                <w:b/>
              </w:rPr>
            </w:pPr>
            <w:r>
              <w:rPr>
                <w:b/>
              </w:rPr>
              <w:t>15.</w:t>
            </w:r>
          </w:p>
        </w:tc>
        <w:tc>
          <w:tcPr>
            <w:tcW w:w="4283" w:type="dxa"/>
          </w:tcPr>
          <w:p w14:paraId="100AFFA1" w14:textId="77777777" w:rsidR="00F772B2" w:rsidRDefault="00000000">
            <w:pPr>
              <w:jc w:val="both"/>
            </w:pPr>
            <w:r>
              <w:rPr>
                <w:b/>
              </w:rPr>
              <w:t>Instruirea igienică gratuit şi în format online.</w:t>
            </w:r>
            <w:r>
              <w:t xml:space="preserve"> În temeiul Legii nr. 10/2009 privind supravegherea de stat a sănătății publice, persoanele care urmează a fi angajate în funcții care implică activitatea cu produse alimentare sunt obligate să fie instruite la Agenția Națională pentru Sănătate Publică la Cursul privind Instruirea Igienică. Organizarea acestor cursuri se efectuează în temeiul prevederilor Hotărârii Agenției nr. 2/2014 cu privire la instruirea igienică a angajaților și depinde de agenda și planul anual al instituției, ceea ce necesită timp suplimentar pentru angajator. În atare condiții, dar și în contextul pandemiei COVID-19, pentru eficientizarea procesului, propunem efectuarea acestor instruiri în format online și gratuit. </w:t>
            </w:r>
          </w:p>
          <w:p w14:paraId="10FD6DFA" w14:textId="77777777" w:rsidR="00F772B2" w:rsidRDefault="00F772B2">
            <w:pPr>
              <w:jc w:val="both"/>
            </w:pPr>
          </w:p>
        </w:tc>
        <w:tc>
          <w:tcPr>
            <w:tcW w:w="1422" w:type="dxa"/>
          </w:tcPr>
          <w:p w14:paraId="6570C2EB" w14:textId="77777777" w:rsidR="00F772B2" w:rsidRDefault="00000000">
            <w:pPr>
              <w:jc w:val="center"/>
            </w:pPr>
            <w:r>
              <w:lastRenderedPageBreak/>
              <w:t>Asociația Investitorilor Străini  (FIA)</w:t>
            </w:r>
          </w:p>
        </w:tc>
        <w:tc>
          <w:tcPr>
            <w:tcW w:w="4776" w:type="dxa"/>
          </w:tcPr>
          <w:p w14:paraId="31F2ACEE" w14:textId="77777777" w:rsidR="00F772B2" w:rsidRDefault="00000000">
            <w:pPr>
              <w:jc w:val="both"/>
            </w:pPr>
            <w:r>
              <w:t>Acest fapt, poate fi implementat prin amendarea Legii nr. 10/2009 privind supravegherea de stat a sănătății publice prin stabilirea expresă că instruirea se face și în regim online și gratuit.</w:t>
            </w:r>
          </w:p>
        </w:tc>
        <w:tc>
          <w:tcPr>
            <w:tcW w:w="2829" w:type="dxa"/>
            <w:gridSpan w:val="2"/>
          </w:tcPr>
          <w:p w14:paraId="45E0EE18" w14:textId="77777777" w:rsidR="00F772B2" w:rsidRDefault="00000000">
            <w:pPr>
              <w:jc w:val="both"/>
            </w:pPr>
            <w:r>
              <w:t>Eliminarea costurilor legate de efectuarea instruirilor în domeniul igienic.</w:t>
            </w:r>
          </w:p>
        </w:tc>
      </w:tr>
      <w:tr w:rsidR="00F772B2" w14:paraId="00873B08" w14:textId="77777777">
        <w:trPr>
          <w:gridAfter w:val="1"/>
          <w:wAfter w:w="22" w:type="dxa"/>
        </w:trPr>
        <w:tc>
          <w:tcPr>
            <w:tcW w:w="529" w:type="dxa"/>
          </w:tcPr>
          <w:p w14:paraId="5E531EE6" w14:textId="77777777" w:rsidR="00F772B2" w:rsidRDefault="00F772B2">
            <w:pPr>
              <w:numPr>
                <w:ilvl w:val="0"/>
                <w:numId w:val="4"/>
              </w:numPr>
              <w:pBdr>
                <w:top w:val="nil"/>
                <w:left w:val="nil"/>
                <w:bottom w:val="nil"/>
                <w:right w:val="nil"/>
                <w:between w:val="nil"/>
              </w:pBdr>
              <w:spacing w:after="160"/>
              <w:jc w:val="center"/>
              <w:rPr>
                <w:b/>
                <w:color w:val="000000"/>
              </w:rPr>
            </w:pPr>
          </w:p>
          <w:p w14:paraId="35D543D5" w14:textId="77777777" w:rsidR="00F772B2" w:rsidRDefault="00000000">
            <w:pPr>
              <w:rPr>
                <w:b/>
              </w:rPr>
            </w:pPr>
            <w:r>
              <w:rPr>
                <w:b/>
              </w:rPr>
              <w:t>16.</w:t>
            </w:r>
          </w:p>
        </w:tc>
        <w:tc>
          <w:tcPr>
            <w:tcW w:w="4283" w:type="dxa"/>
          </w:tcPr>
          <w:p w14:paraId="519819E5" w14:textId="77777777" w:rsidR="00F772B2" w:rsidRDefault="00000000">
            <w:pPr>
              <w:jc w:val="both"/>
              <w:rPr>
                <w:b/>
              </w:rPr>
            </w:pPr>
            <w:r>
              <w:rPr>
                <w:b/>
              </w:rPr>
              <w:t xml:space="preserve">Eliminarea obligativității instruirii repetate/periodice a conducătorilor unității la instruirea în domeniul Sănătății și Securității în Muncă, care are loc o dată la 3 ani. </w:t>
            </w:r>
          </w:p>
          <w:p w14:paraId="53264606" w14:textId="77777777" w:rsidR="00F772B2" w:rsidRDefault="00000000">
            <w:pPr>
              <w:jc w:val="both"/>
            </w:pPr>
            <w:r>
              <w:t>În conformitate cu art. 17 din Legea nr.186/2008</w:t>
            </w:r>
            <w:r>
              <w:rPr>
                <w:b/>
              </w:rPr>
              <w:t xml:space="preserve"> </w:t>
            </w:r>
            <w:r>
              <w:t xml:space="preserve">securității şi sănătății în muncă instruirea conducătorilor de unități, conducătorilor locurilor de muncă, specialiștilor, lucrătorilor desemnați şi reprezentanților lucrătorilor se efectuează îndată după numirea lor în funcțiile respective și periodic, </w:t>
            </w:r>
            <w:r>
              <w:rPr>
                <w:b/>
                <w:u w:val="single"/>
              </w:rPr>
              <w:t>cel puţin o dată în 36 de luni</w:t>
            </w:r>
            <w:r>
              <w:t>.</w:t>
            </w:r>
          </w:p>
          <w:p w14:paraId="7E593A3B" w14:textId="77777777" w:rsidR="00F772B2" w:rsidRDefault="00000000">
            <w:pPr>
              <w:jc w:val="both"/>
            </w:pPr>
            <w:r>
              <w:t>Costul mediu pentru cursul de nivelul 2 (pentru specialiștii pe protecția muncii și persoanele desemnate) constituie 1100 MDL.</w:t>
            </w:r>
          </w:p>
          <w:p w14:paraId="401BD269" w14:textId="77777777" w:rsidR="00F772B2" w:rsidRDefault="00000000">
            <w:pPr>
              <w:jc w:val="both"/>
            </w:pPr>
            <w:hyperlink r:id="rId6">
              <w:r>
                <w:rPr>
                  <w:color w:val="0563C1"/>
                  <w:u w:val="single"/>
                </w:rPr>
                <w:t>https://www.cidrm.md/p/despre-cidrm.html</w:t>
              </w:r>
            </w:hyperlink>
          </w:p>
          <w:p w14:paraId="0663CC0E" w14:textId="77777777" w:rsidR="00F772B2" w:rsidRDefault="00000000">
            <w:pPr>
              <w:jc w:val="both"/>
            </w:pPr>
            <w:r>
              <w:t>Prin urmare, fiecare entitate din RM urmează să achite o dată la 3 ani costul cursului pentru instruirea conducătorilor unității sau conducătorilor locurilor de muncă, sau lucrătorilor desemnați.</w:t>
            </w:r>
          </w:p>
          <w:p w14:paraId="3D97FA9F" w14:textId="77777777" w:rsidR="00F772B2" w:rsidRDefault="00000000">
            <w:pPr>
              <w:jc w:val="both"/>
            </w:pPr>
            <w:r>
              <w:t>Instruirea se efectuează folosindu-se de același program de instruire și utilizând același material cu excepția cazurilor dacă au avut careva modificări în legislația SSM.</w:t>
            </w:r>
          </w:p>
          <w:p w14:paraId="0A766ED2" w14:textId="77777777" w:rsidR="00F772B2" w:rsidRDefault="00000000">
            <w:pPr>
              <w:jc w:val="both"/>
            </w:pPr>
            <w:r>
              <w:t xml:space="preserve">Astfel, norma respectivă creează următoarele impedimente: </w:t>
            </w:r>
          </w:p>
          <w:p w14:paraId="7C862595" w14:textId="77777777" w:rsidR="00F772B2" w:rsidRDefault="00000000">
            <w:pPr>
              <w:numPr>
                <w:ilvl w:val="0"/>
                <w:numId w:val="1"/>
              </w:numPr>
              <w:pBdr>
                <w:top w:val="nil"/>
                <w:left w:val="nil"/>
                <w:bottom w:val="nil"/>
                <w:right w:val="nil"/>
                <w:between w:val="nil"/>
              </w:pBdr>
              <w:jc w:val="both"/>
              <w:rPr>
                <w:color w:val="000000"/>
              </w:rPr>
            </w:pPr>
            <w:r>
              <w:rPr>
                <w:color w:val="000000"/>
              </w:rPr>
              <w:t>Cheltuieli suplimentare ale entităților.</w:t>
            </w:r>
          </w:p>
          <w:p w14:paraId="415CC748" w14:textId="77777777" w:rsidR="00F772B2" w:rsidRDefault="00000000">
            <w:pPr>
              <w:numPr>
                <w:ilvl w:val="0"/>
                <w:numId w:val="1"/>
              </w:numPr>
              <w:pBdr>
                <w:top w:val="nil"/>
                <w:left w:val="nil"/>
                <w:bottom w:val="nil"/>
                <w:right w:val="nil"/>
                <w:between w:val="nil"/>
              </w:pBdr>
              <w:spacing w:after="160"/>
              <w:jc w:val="both"/>
              <w:rPr>
                <w:color w:val="000000"/>
              </w:rPr>
            </w:pPr>
            <w:r>
              <w:rPr>
                <w:color w:val="000000"/>
              </w:rPr>
              <w:t>Lipsa persoanei (conducătorul sau persoana desemnată) de la serviciu cel puțin o săptămână, deoarece se dedică 40 ore pentru instruire</w:t>
            </w:r>
          </w:p>
          <w:p w14:paraId="1F55DC44" w14:textId="77777777" w:rsidR="00F772B2" w:rsidRDefault="00000000">
            <w:pPr>
              <w:jc w:val="both"/>
            </w:pPr>
            <w:r>
              <w:lastRenderedPageBreak/>
              <w:t>Propunerea dată se bazează și pe instruiri similare cum ar fi acele a conducătorilor mijloacelor de transport auto, cursurile cărora se efectuează o dată în viață și, cu toate că, careva reguli din Regulamentul de circulație rutieră se schimbă, persoanele nu fac instruirea la fiecare 3 ani. Nu se face instruire periodică nici în cazul studiilor gimnaziale, universitare, studiilor de recalificare, studiilor de altă natură.</w:t>
            </w:r>
          </w:p>
          <w:p w14:paraId="3BEFDEA4" w14:textId="77777777" w:rsidR="00F772B2" w:rsidRDefault="00000000">
            <w:pPr>
              <w:jc w:val="both"/>
            </w:pPr>
            <w:r>
              <w:t>De asemenea, DIRECTIVA CONSILIULUI din 12 iunie 1989 privind punerea în aplicare de măsuri pentru promovarea îmbunătățirii securității și sănătății lucrătorilor la locul de muncă (89/391/CEE) nu stipulează obligativitatea efectuării instruirii periodice a persoanelor desemnate sau a conducătorului unității.</w:t>
            </w:r>
          </w:p>
          <w:p w14:paraId="7C3D0D6B" w14:textId="77777777" w:rsidR="00F772B2" w:rsidRDefault="00000000">
            <w:pPr>
              <w:jc w:val="both"/>
            </w:pPr>
            <w:r>
              <w:t>Similar este și în România unde conform HG nr.1425/2006 pentru aprobarea Normelor metodologice de aplicare a prevederilor Legii securității și sănătății în muncă nr. 319 din 2006 (art. 16, art. 17) persoana trebuie să dețină document de absolvire a programului de pregătire în domeniul securității și sănătății în muncă, cu o durată minima de 40 de ore, valabil pe toată viața.</w:t>
            </w:r>
          </w:p>
          <w:p w14:paraId="4D38CBE3" w14:textId="77777777" w:rsidR="00F772B2" w:rsidRDefault="00000000">
            <w:pPr>
              <w:pBdr>
                <w:top w:val="nil"/>
                <w:left w:val="nil"/>
                <w:bottom w:val="nil"/>
                <w:right w:val="nil"/>
                <w:between w:val="nil"/>
              </w:pBdr>
              <w:shd w:val="clear" w:color="auto" w:fill="FFFFFF"/>
              <w:jc w:val="both"/>
            </w:pPr>
            <w:r>
              <w:rPr>
                <w:color w:val="333333"/>
              </w:rPr>
              <w:t xml:space="preserve">Conform </w:t>
            </w:r>
            <w:r>
              <w:rPr>
                <w:color w:val="000000"/>
              </w:rPr>
              <w:t>alin. 3,</w:t>
            </w:r>
            <w:r>
              <w:rPr>
                <w:color w:val="333333"/>
              </w:rPr>
              <w:t xml:space="preserve"> Articolul 17. </w:t>
            </w:r>
            <w:r>
              <w:rPr>
                <w:color w:val="000000"/>
              </w:rPr>
              <w:t>din Legea nr.186/2008</w:t>
            </w:r>
            <w:r>
              <w:rPr>
                <w:b/>
                <w:color w:val="000000"/>
              </w:rPr>
              <w:t xml:space="preserve"> </w:t>
            </w:r>
            <w:r>
              <w:rPr>
                <w:color w:val="000000"/>
              </w:rPr>
              <w:t>securității și sănătății în muncă</w:t>
            </w:r>
            <w:r>
              <w:rPr>
                <w:b/>
                <w:color w:val="000000"/>
              </w:rPr>
              <w:t xml:space="preserve"> </w:t>
            </w:r>
            <w:r>
              <w:rPr>
                <w:color w:val="000000"/>
              </w:rPr>
              <w:t>i</w:t>
            </w:r>
            <w:r>
              <w:rPr>
                <w:color w:val="333333"/>
              </w:rPr>
              <w:t>nstruirea lucrătorilor, instruirea periodică a muncitorilor se va efectua la intervale ce nu vor depăși 6 luni. Iar potrivit pct</w:t>
            </w:r>
            <w:r>
              <w:rPr>
                <w:color w:val="000000"/>
              </w:rPr>
              <w:t>. 96 din HG 1425/2006 (</w:t>
            </w:r>
            <w:r>
              <w:t>România</w:t>
            </w:r>
            <w:r>
              <w:rPr>
                <w:color w:val="000000"/>
              </w:rPr>
              <w:t>) prevede că intervalul dintre dou</w:t>
            </w:r>
            <w:r>
              <w:t>ă</w:t>
            </w:r>
            <w:r>
              <w:rPr>
                <w:color w:val="000000"/>
              </w:rPr>
              <w:t xml:space="preserve"> instruiri periodice nu va fi mai mare de 6 luni, iar pentru personalul tehnico-</w:t>
            </w:r>
            <w:r>
              <w:rPr>
                <w:color w:val="000000"/>
              </w:rPr>
              <w:lastRenderedPageBreak/>
              <w:t>administrativ intervalul dintre dou</w:t>
            </w:r>
            <w:r>
              <w:t>ă</w:t>
            </w:r>
            <w:r>
              <w:rPr>
                <w:color w:val="000000"/>
              </w:rPr>
              <w:t xml:space="preserve"> instruiri periodice</w:t>
            </w:r>
            <w:r>
              <w:rPr>
                <w:color w:val="000000"/>
                <w:u w:val="single"/>
              </w:rPr>
              <w:t xml:space="preserve"> va fi de cel mult 12 luni</w:t>
            </w:r>
            <w:r>
              <w:rPr>
                <w:b/>
                <w:color w:val="000000"/>
                <w:u w:val="single"/>
              </w:rPr>
              <w:t>.</w:t>
            </w:r>
          </w:p>
        </w:tc>
        <w:tc>
          <w:tcPr>
            <w:tcW w:w="1422" w:type="dxa"/>
          </w:tcPr>
          <w:p w14:paraId="16F2B3C9" w14:textId="77777777" w:rsidR="00F772B2" w:rsidRDefault="00000000">
            <w:pPr>
              <w:pBdr>
                <w:top w:val="nil"/>
                <w:left w:val="nil"/>
                <w:bottom w:val="nil"/>
                <w:right w:val="nil"/>
                <w:between w:val="nil"/>
              </w:pBdr>
              <w:shd w:val="clear" w:color="auto" w:fill="FFFFFF"/>
              <w:ind w:firstLine="218"/>
              <w:jc w:val="center"/>
              <w:rPr>
                <w:color w:val="333333"/>
              </w:rPr>
            </w:pPr>
            <w:r>
              <w:rPr>
                <w:color w:val="333333"/>
              </w:rPr>
              <w:lastRenderedPageBreak/>
              <w:t>ATIC</w:t>
            </w:r>
          </w:p>
        </w:tc>
        <w:tc>
          <w:tcPr>
            <w:tcW w:w="4776" w:type="dxa"/>
          </w:tcPr>
          <w:p w14:paraId="77E7E435" w14:textId="77777777" w:rsidR="00F772B2" w:rsidRDefault="00000000">
            <w:pPr>
              <w:jc w:val="both"/>
            </w:pPr>
            <w:r>
              <w:t xml:space="preserve">Propunem ajustarea art. 17 din Legea nr.186/2008 prin care se va stabili că </w:t>
            </w:r>
            <w:r>
              <w:rPr>
                <w:color w:val="333333"/>
              </w:rPr>
              <w:t xml:space="preserve">instruirea periodică a muncitorilor se va efectua la intervale ce nu vor depăşi 6 luni, iar </w:t>
            </w:r>
            <w:r>
              <w:rPr>
                <w:color w:val="444444"/>
              </w:rPr>
              <w:t>pentru personalul tehnico-administrativ şi de birou i</w:t>
            </w:r>
            <w:r>
              <w:rPr>
                <w:color w:val="333333"/>
              </w:rPr>
              <w:t>nstruirea periodică a muncitorilor se va efectua la intervale ce nu vor depăşi 12 luni. La fel se va elimina  obligația instruirii periodice obligatorii odată la 3 luni pentru o categorie anumită de salariati pentru care actele de instruire obținute nu vor avea termen de valabilitate.</w:t>
            </w:r>
          </w:p>
        </w:tc>
        <w:tc>
          <w:tcPr>
            <w:tcW w:w="2829" w:type="dxa"/>
            <w:gridSpan w:val="2"/>
          </w:tcPr>
          <w:p w14:paraId="162ABC51" w14:textId="77777777" w:rsidR="00F772B2" w:rsidRDefault="00000000">
            <w:pPr>
              <w:spacing w:before="120"/>
              <w:jc w:val="both"/>
            </w:pPr>
            <w:r>
              <w:t>Eliminarea costurilor de instruire odată la 3 ani (în mediu 1000 lei pentru un curs de 40 de ore) pentru companiile active. Precum şi eliminarea costurilor indirecte al instruirii prin lipsa de la locul de muncă a persoanei instruite (40 de ore).</w:t>
            </w:r>
          </w:p>
        </w:tc>
      </w:tr>
      <w:tr w:rsidR="00F772B2" w14:paraId="469DB00A" w14:textId="77777777">
        <w:trPr>
          <w:gridAfter w:val="1"/>
          <w:wAfter w:w="22" w:type="dxa"/>
        </w:trPr>
        <w:tc>
          <w:tcPr>
            <w:tcW w:w="13839" w:type="dxa"/>
            <w:gridSpan w:val="6"/>
          </w:tcPr>
          <w:p w14:paraId="5EF05FF2" w14:textId="77777777" w:rsidR="00F772B2" w:rsidRDefault="00000000">
            <w:pPr>
              <w:ind w:left="786"/>
              <w:jc w:val="center"/>
              <w:rPr>
                <w:b/>
              </w:rPr>
            </w:pPr>
            <w:r>
              <w:rPr>
                <w:b/>
              </w:rPr>
              <w:lastRenderedPageBreak/>
              <w:t>Transport rutier</w:t>
            </w:r>
          </w:p>
        </w:tc>
      </w:tr>
      <w:tr w:rsidR="00F772B2" w14:paraId="448C3AB5" w14:textId="77777777">
        <w:trPr>
          <w:gridAfter w:val="1"/>
          <w:wAfter w:w="22" w:type="dxa"/>
        </w:trPr>
        <w:tc>
          <w:tcPr>
            <w:tcW w:w="529" w:type="dxa"/>
          </w:tcPr>
          <w:p w14:paraId="2A774EDE" w14:textId="77777777" w:rsidR="00F772B2" w:rsidRDefault="00F772B2">
            <w:pPr>
              <w:pBdr>
                <w:top w:val="nil"/>
                <w:left w:val="nil"/>
                <w:bottom w:val="nil"/>
                <w:right w:val="nil"/>
                <w:between w:val="nil"/>
              </w:pBdr>
              <w:spacing w:after="160"/>
              <w:ind w:left="786" w:hanging="360"/>
              <w:jc w:val="center"/>
              <w:rPr>
                <w:b/>
                <w:color w:val="000000"/>
              </w:rPr>
            </w:pPr>
          </w:p>
          <w:p w14:paraId="3E196F51" w14:textId="77777777" w:rsidR="00F772B2" w:rsidRDefault="00000000">
            <w:pPr>
              <w:rPr>
                <w:b/>
              </w:rPr>
            </w:pPr>
            <w:r>
              <w:rPr>
                <w:b/>
              </w:rPr>
              <w:t>17.</w:t>
            </w:r>
          </w:p>
        </w:tc>
        <w:tc>
          <w:tcPr>
            <w:tcW w:w="4283" w:type="dxa"/>
          </w:tcPr>
          <w:p w14:paraId="70D05A01" w14:textId="77777777" w:rsidR="00F772B2" w:rsidRDefault="00000000">
            <w:pPr>
              <w:jc w:val="both"/>
            </w:pPr>
            <w:r>
              <w:t xml:space="preserve">Prevederile lit. i) al art. 49 din Codul transporturilor rutiere nr. 150 din 17.07.2014  impune </w:t>
            </w:r>
            <w:r>
              <w:rPr>
                <w:b/>
              </w:rPr>
              <w:t>obligativitatea de a elibera foaie de parcurs valabilă pentru un termen limitat</w:t>
            </w:r>
            <w:r>
              <w:t>. Astfel, sunt prevăzute următoarele limite de timp:</w:t>
            </w:r>
          </w:p>
          <w:p w14:paraId="0419C191" w14:textId="77777777" w:rsidR="00F772B2" w:rsidRDefault="00000000">
            <w:pPr>
              <w:jc w:val="both"/>
            </w:pPr>
            <w:r>
              <w:t>- Pentru transporturile rutiere de mărfuri în trafic național, foaia de parcurs este valabilă pentru o perioada de 48 de ore din momentul eliberării;</w:t>
            </w:r>
          </w:p>
          <w:p w14:paraId="6B238C0C" w14:textId="77777777" w:rsidR="00F772B2" w:rsidRDefault="00000000">
            <w:pPr>
              <w:jc w:val="both"/>
            </w:pPr>
            <w:r>
              <w:t>- Pentru transporturile rutiere de persoane în trafic național, foaia de parcurs este valabilă pentru 36 de ore (cu excepția transporturilor în regim de taxi, la care valabilitatea foii de parcurs nu poate depăși 24 de ore);</w:t>
            </w:r>
          </w:p>
          <w:p w14:paraId="4DC0A74A" w14:textId="77777777" w:rsidR="00F772B2" w:rsidRDefault="00000000">
            <w:pPr>
              <w:jc w:val="both"/>
            </w:pPr>
            <w:r>
              <w:t>- Pentru transporturile rutiere de mărfuri și persoane în trafic internațional, foaia de parcurs este valabilă până la efectuarea cursei tur-retur.</w:t>
            </w:r>
          </w:p>
          <w:p w14:paraId="72DE9054" w14:textId="77777777" w:rsidR="00F772B2" w:rsidRDefault="00000000">
            <w:pPr>
              <w:jc w:val="both"/>
            </w:pPr>
            <w:r>
              <w:t xml:space="preserve">Prevederile respective  complică activitatea contribuabililor, fără a aduce plus valoare procesului de business sau de evidență și raportare. </w:t>
            </w:r>
          </w:p>
          <w:p w14:paraId="5F53ED89" w14:textId="77777777" w:rsidR="00F772B2" w:rsidRDefault="00000000">
            <w:pPr>
              <w:jc w:val="both"/>
            </w:pPr>
            <w:r>
              <w:t>Totodată, impunerea necesității tipăririi frecvente a foii de parcurs, în situația în care aceasta poate fi utilizată pînă la completarea definitivă crează costuri suplimentare nejustificate mediului de afaceri, iar procedurile birocratice excesive reprezintă și un risc sporit de corupție, simplificarea acestora eliminând gradual și corupția în cadrul inspecțiilor de stat.</w:t>
            </w:r>
          </w:p>
          <w:p w14:paraId="31CC86E6" w14:textId="77777777" w:rsidR="00F772B2" w:rsidRDefault="00F772B2">
            <w:pPr>
              <w:jc w:val="both"/>
            </w:pPr>
          </w:p>
          <w:p w14:paraId="0E5FEF23" w14:textId="77777777" w:rsidR="00F772B2" w:rsidRDefault="00F772B2">
            <w:pPr>
              <w:jc w:val="both"/>
              <w:rPr>
                <w:b/>
              </w:rPr>
            </w:pPr>
          </w:p>
        </w:tc>
        <w:tc>
          <w:tcPr>
            <w:tcW w:w="1422" w:type="dxa"/>
          </w:tcPr>
          <w:p w14:paraId="1165D36E" w14:textId="77777777" w:rsidR="00F772B2" w:rsidRDefault="00000000">
            <w:pPr>
              <w:jc w:val="center"/>
            </w:pPr>
            <w:r>
              <w:lastRenderedPageBreak/>
              <w:t>Consecon</w:t>
            </w:r>
          </w:p>
        </w:tc>
        <w:tc>
          <w:tcPr>
            <w:tcW w:w="4776" w:type="dxa"/>
          </w:tcPr>
          <w:p w14:paraId="0A6CE1E8" w14:textId="77777777" w:rsidR="00F772B2" w:rsidRDefault="00000000">
            <w:pPr>
              <w:jc w:val="both"/>
            </w:pPr>
            <w:r>
              <w:t>La articolul 49 din Codul transporturilor rutiere nr. 150/2014 (Monitorul Oficial al Republicii Moldova, 2014, nr. 247–248, art. 568), cu modificările ulterioare, lit. i) se modifică și va avea următorul cuprins:</w:t>
            </w:r>
          </w:p>
          <w:p w14:paraId="0E232493" w14:textId="77777777" w:rsidR="00F772B2" w:rsidRDefault="00000000">
            <w:pPr>
              <w:jc w:val="both"/>
            </w:pPr>
            <w:r>
              <w:t xml:space="preserve"> i) să asigure efectuarea controlului medical al conducătorilor auto nu mai rar de o dată la 12 ore de muncă, cu excepţia conducătorilor auto care activează pe rutele internaţionale, aceştia fiind supuşi controlului medical cu cel mult 3 ore pînă la plecarea în cursă. Criteriile conform cărora conducătorii auto vor fi supuşi controlului medical se aprobă prin instrucţiune de către organul central de specialitate, după consultarea Ministerului Sănătăţii; să asigure efectuarea verificării tehnice generale a fiecărui vehicul rutier nu mai rar de o dată la 20 de ore de lucru, cu excepţia celor de pe rutele internaţionale care vor fi supuse controlului tehnic înainte de plecarea în fiecare cursă. Criteriile privind controlul tehnic al vehiculelor rutiere se aprobă prin instrucţiune de către organul central de specialitate.</w:t>
            </w:r>
          </w:p>
          <w:p w14:paraId="753EE414" w14:textId="77777777" w:rsidR="00F772B2" w:rsidRDefault="00F772B2">
            <w:pPr>
              <w:jc w:val="both"/>
            </w:pPr>
          </w:p>
        </w:tc>
        <w:tc>
          <w:tcPr>
            <w:tcW w:w="2829" w:type="dxa"/>
            <w:gridSpan w:val="2"/>
          </w:tcPr>
          <w:p w14:paraId="08C0DAD1" w14:textId="77777777" w:rsidR="00F772B2" w:rsidRDefault="00000000">
            <w:pPr>
              <w:jc w:val="both"/>
            </w:pPr>
            <w:r>
              <w:t>Simplificarea procesului de întocmire a foilor de parcurs și raționalizarea cheltuielilor suportate de către persoanele care sunt obligate prin lege să completeze foaia de parcurs frecvent, fiind excluse limitele de timp pentru care sunt valabile foile de parcurs.</w:t>
            </w:r>
          </w:p>
          <w:p w14:paraId="699727AA" w14:textId="77777777" w:rsidR="00F772B2" w:rsidRDefault="00000000">
            <w:pPr>
              <w:jc w:val="both"/>
            </w:pPr>
            <w:r>
              <w:t>Îmbunătățirea climatului mediului de afaceri în sensul eliminării unor obligații sau cerințe birocratice inutile și depășite de timp.</w:t>
            </w:r>
          </w:p>
          <w:p w14:paraId="66D9973F" w14:textId="77777777" w:rsidR="00F772B2" w:rsidRDefault="00F772B2">
            <w:pPr>
              <w:jc w:val="both"/>
            </w:pPr>
          </w:p>
        </w:tc>
      </w:tr>
      <w:tr w:rsidR="00F772B2" w14:paraId="04824F4D" w14:textId="77777777">
        <w:trPr>
          <w:gridAfter w:val="1"/>
          <w:wAfter w:w="22" w:type="dxa"/>
        </w:trPr>
        <w:tc>
          <w:tcPr>
            <w:tcW w:w="13839" w:type="dxa"/>
            <w:gridSpan w:val="6"/>
          </w:tcPr>
          <w:p w14:paraId="52B4FE08" w14:textId="77777777" w:rsidR="00F772B2" w:rsidRDefault="00000000">
            <w:pPr>
              <w:ind w:left="786"/>
              <w:jc w:val="center"/>
              <w:rPr>
                <w:rFonts w:ascii="Arial" w:eastAsia="Arial" w:hAnsi="Arial" w:cs="Arial"/>
                <w:color w:val="000000"/>
              </w:rPr>
            </w:pPr>
            <w:r>
              <w:rPr>
                <w:b/>
              </w:rPr>
              <w:t>Certificarea cheii publice</w:t>
            </w:r>
          </w:p>
        </w:tc>
      </w:tr>
      <w:tr w:rsidR="00F772B2" w14:paraId="31152AC5" w14:textId="77777777">
        <w:trPr>
          <w:gridAfter w:val="1"/>
          <w:wAfter w:w="22" w:type="dxa"/>
        </w:trPr>
        <w:tc>
          <w:tcPr>
            <w:tcW w:w="529" w:type="dxa"/>
          </w:tcPr>
          <w:p w14:paraId="16290103" w14:textId="77777777" w:rsidR="00F772B2" w:rsidRDefault="00000000">
            <w:pPr>
              <w:pBdr>
                <w:top w:val="nil"/>
                <w:left w:val="nil"/>
                <w:bottom w:val="nil"/>
                <w:right w:val="nil"/>
                <w:between w:val="nil"/>
              </w:pBdr>
              <w:spacing w:after="160"/>
              <w:ind w:left="786" w:hanging="360"/>
              <w:jc w:val="center"/>
              <w:rPr>
                <w:b/>
                <w:color w:val="000000"/>
              </w:rPr>
            </w:pPr>
            <w:r>
              <w:rPr>
                <w:b/>
                <w:color w:val="000000"/>
              </w:rPr>
              <w:t>1</w:t>
            </w:r>
          </w:p>
          <w:p w14:paraId="3E1880DE" w14:textId="77777777" w:rsidR="00F772B2" w:rsidRDefault="00F772B2"/>
          <w:p w14:paraId="4D14A801" w14:textId="77777777" w:rsidR="00F772B2" w:rsidRDefault="00000000">
            <w:pPr>
              <w:rPr>
                <w:b/>
              </w:rPr>
            </w:pPr>
            <w:bookmarkStart w:id="0" w:name="_heading=h.gjdgxs" w:colFirst="0" w:colLast="0"/>
            <w:bookmarkEnd w:id="0"/>
            <w:r>
              <w:rPr>
                <w:b/>
              </w:rPr>
              <w:t>18.</w:t>
            </w:r>
          </w:p>
        </w:tc>
        <w:tc>
          <w:tcPr>
            <w:tcW w:w="4283" w:type="dxa"/>
          </w:tcPr>
          <w:p w14:paraId="2C7E02A9" w14:textId="77777777" w:rsidR="00F772B2" w:rsidRDefault="00000000">
            <w:pPr>
              <w:jc w:val="both"/>
            </w:pPr>
            <w:r>
              <w:t xml:space="preserve">Articolul 11 alineatul (1) din Legea nr. 124/2022 privind identificarea electronică și serviciile de încredere stabilește că </w:t>
            </w:r>
            <w:r>
              <w:rPr>
                <w:b/>
              </w:rPr>
              <w:t>cererea de certificare a cheii publice poate fi depusă doar în formă electronică, semnată cu semnătură electronică sau căreia i s-a aplicat sigiliul electronic, și/sau în formă de document pe suport de hârtie, semnat cu semnătura olografă a solicitantului</w:t>
            </w:r>
            <w:r>
              <w:t>.</w:t>
            </w:r>
          </w:p>
          <w:p w14:paraId="7938CE21" w14:textId="77777777" w:rsidR="00F772B2" w:rsidRDefault="00000000">
            <w:pPr>
              <w:jc w:val="both"/>
            </w:pPr>
            <w:r>
              <w:t>Reieșind din prevederile existente și ținând cont de faptul că solicitanții de certificare a cheii publice nu dispun de instrumente de a semna electronic, este imposibilă utilizarea de către prestatorii de servicii de încredere a altor metode de identificare recunoscute la nivel național (eKYC), care să ofere un nivel de asigurare echivalent, din perspectiva fiabilității, cu prezența fizică (ex. soluții de identificare și recunoaștere facială etc.).</w:t>
            </w:r>
          </w:p>
          <w:p w14:paraId="1348C5CC" w14:textId="77777777" w:rsidR="00F772B2" w:rsidRDefault="00000000">
            <w:pPr>
              <w:jc w:val="both"/>
            </w:pPr>
            <w:r>
              <w:t>În aceste condiții, se consideră oportună reglementarea posibilității de a depune cererea de certificare a cheii publice sub formă de imagini video, înregistrate de către solicitant prin intermediul unei soluții de identificare și verificare a identității la distanță, puse la dispoziție de un prestator de servicii de încredere calificat. Imaginile respective urmează a fi preluate și păstrate în conformitate cu prevederile legii și prezentate la necesitate în calitate de probe în procese judiciare.</w:t>
            </w:r>
          </w:p>
          <w:p w14:paraId="69D8D5AF" w14:textId="77777777" w:rsidR="00F772B2" w:rsidRDefault="00000000">
            <w:pPr>
              <w:jc w:val="both"/>
            </w:pPr>
            <w:r>
              <w:lastRenderedPageBreak/>
              <w:t>De asemenea, în condițiile utilizării de către prestatorii de servicii de încredere a unor servicii de identificare a persoanei la distanță care utilizează mijloace de verificare automatizate, fără operator uman pentru a identifica la distanță persoanele ce solicită furnizarea serviciilor de încredere, se propune reglementarea opțiunii de a genera și transmite în mod automatizat, sub formă de document electronic cererea de certificare a cheii publice.</w:t>
            </w:r>
          </w:p>
          <w:p w14:paraId="3E8A8BB7" w14:textId="77777777" w:rsidR="00F772B2" w:rsidRDefault="00F772B2">
            <w:pPr>
              <w:jc w:val="both"/>
              <w:rPr>
                <w:b/>
              </w:rPr>
            </w:pPr>
          </w:p>
        </w:tc>
        <w:tc>
          <w:tcPr>
            <w:tcW w:w="1422" w:type="dxa"/>
          </w:tcPr>
          <w:p w14:paraId="641ECFF5" w14:textId="77777777" w:rsidR="00F772B2" w:rsidRDefault="00000000">
            <w:pPr>
              <w:jc w:val="center"/>
            </w:pPr>
            <w:r>
              <w:lastRenderedPageBreak/>
              <w:t>Consecon</w:t>
            </w:r>
          </w:p>
        </w:tc>
        <w:tc>
          <w:tcPr>
            <w:tcW w:w="4776" w:type="dxa"/>
          </w:tcPr>
          <w:p w14:paraId="0D1CDA1A" w14:textId="77777777" w:rsidR="00F772B2" w:rsidRDefault="00000000">
            <w:r>
              <w:t>Se propune modificarea Legii nr. 124/2022 privind identificarea electronică și serviciile de încredere după cum urmează:</w:t>
            </w:r>
          </w:p>
          <w:p w14:paraId="26E7C0BC" w14:textId="77777777" w:rsidR="00F772B2" w:rsidRDefault="00000000">
            <w:r>
              <w:t>1)</w:t>
            </w:r>
            <w:r>
              <w:tab/>
              <w:t>Articolul 11:</w:t>
            </w:r>
          </w:p>
          <w:p w14:paraId="23D9A2FF" w14:textId="77777777" w:rsidR="00F772B2" w:rsidRDefault="00000000">
            <w:r>
              <w:t>alineatul (1) va avea următorul cuprins:</w:t>
            </w:r>
          </w:p>
          <w:p w14:paraId="6F4EDB0A" w14:textId="77777777" w:rsidR="00F772B2" w:rsidRDefault="00000000">
            <w:r>
              <w:t>„(1) Cererea de certificare a cheii publice se depune:</w:t>
            </w:r>
          </w:p>
          <w:p w14:paraId="3F35F6A2" w14:textId="77777777" w:rsidR="00F772B2" w:rsidRDefault="00000000">
            <w:pPr>
              <w:ind w:left="180" w:hanging="180"/>
            </w:pPr>
            <w:r>
              <w:t>a)</w:t>
            </w:r>
            <w:r>
              <w:tab/>
              <w:t>sub formă de document pe suport de hârtie, semnat cu semnătura olografă a solicitantului;</w:t>
            </w:r>
          </w:p>
          <w:p w14:paraId="14438330" w14:textId="77777777" w:rsidR="00F772B2" w:rsidRDefault="00000000">
            <w:pPr>
              <w:ind w:left="180" w:hanging="180"/>
            </w:pPr>
            <w:r>
              <w:t>b) sub formă de document electronic, semnată cu semnătură electronică sau căreia i s-a aplicat sigiliul electronic;</w:t>
            </w:r>
          </w:p>
          <w:p w14:paraId="7D0C9636" w14:textId="77777777" w:rsidR="00F772B2" w:rsidRDefault="00000000">
            <w:pPr>
              <w:ind w:left="180" w:hanging="180"/>
            </w:pPr>
            <w:r>
              <w:t>c)</w:t>
            </w:r>
            <w:r>
              <w:tab/>
              <w:t xml:space="preserve"> sub formă de document electronic, generat și transmis în mod automatizat după trecerea procedurii de identificare de către solicitant prin intermediul unui  serviciu de identificare a persoanei la distanță care utilizează mijloace de verificare automatizate, fără operator uman;</w:t>
            </w:r>
          </w:p>
          <w:p w14:paraId="66EB8449" w14:textId="77777777" w:rsidR="00F772B2" w:rsidRDefault="00000000">
            <w:pPr>
              <w:ind w:left="180" w:hanging="180"/>
            </w:pPr>
            <w:r>
              <w:t>d) sub formă de imagini video, înregistrate de către solicitant prin intermediul serviciu de identificare a persoanei la distanță care utilizează mijloace de verificare cu operator uman.”;</w:t>
            </w:r>
          </w:p>
          <w:p w14:paraId="743EC94C" w14:textId="77777777" w:rsidR="00F772B2" w:rsidRDefault="00000000">
            <w:pPr>
              <w:ind w:left="180" w:hanging="180"/>
            </w:pPr>
            <w:r>
              <w:t>alineatul (2) se completează cu litera c) cu următorul cuprins:</w:t>
            </w:r>
          </w:p>
          <w:p w14:paraId="27BD4E37" w14:textId="77777777" w:rsidR="00F772B2" w:rsidRDefault="00000000">
            <w:pPr>
              <w:ind w:left="180" w:hanging="180"/>
            </w:pPr>
            <w:r>
              <w:t>„c) consimțământul de prelucrare a datelor cu caracter personal.”;</w:t>
            </w:r>
          </w:p>
          <w:p w14:paraId="246E5326" w14:textId="77777777" w:rsidR="00F772B2" w:rsidRDefault="00000000">
            <w:r>
              <w:t>se completează cu alineatul (3) cu următorul cuprins:</w:t>
            </w:r>
          </w:p>
          <w:p w14:paraId="37789100" w14:textId="77777777" w:rsidR="00F772B2" w:rsidRDefault="00000000">
            <w:r>
              <w:t xml:space="preserve">„(3) Prin derogare de la prevederile Legii nr. 133/2011 privind protecția datelor cu caracter personal, consimțământul de prelucrare a datelor </w:t>
            </w:r>
            <w:r>
              <w:lastRenderedPageBreak/>
              <w:t>cu caracter personal se exprimă sub una din formele prevăzute la alin. (1).”.</w:t>
            </w:r>
          </w:p>
          <w:p w14:paraId="275F8FAF" w14:textId="77777777" w:rsidR="00F772B2" w:rsidRDefault="00000000">
            <w:pPr>
              <w:jc w:val="both"/>
            </w:pPr>
            <w:r>
              <w:t>2)Articolul 12 se completează cu alineatul (21) cu următorul cuprins:</w:t>
            </w:r>
          </w:p>
          <w:p w14:paraId="1817E885" w14:textId="77777777" w:rsidR="00F772B2" w:rsidRDefault="00000000">
            <w:pPr>
              <w:jc w:val="both"/>
            </w:pPr>
            <w:r>
              <w:t>„(21) În cazul cererilor depuse în conformitate cu art. 11 alin. (1) lit. b) și c), prestatorul de servicii de încredere este în drept să implementeze soluții de automatizare a procesului de examinare a cererii și de emitere a deciziei de certificare a cheii publice.”.</w:t>
            </w:r>
          </w:p>
          <w:p w14:paraId="683FF5C7" w14:textId="77777777" w:rsidR="00F772B2" w:rsidRDefault="00F772B2">
            <w:pPr>
              <w:jc w:val="both"/>
            </w:pPr>
          </w:p>
        </w:tc>
        <w:tc>
          <w:tcPr>
            <w:tcW w:w="2829" w:type="dxa"/>
            <w:gridSpan w:val="2"/>
          </w:tcPr>
          <w:p w14:paraId="78C4CDB9" w14:textId="77777777" w:rsidR="00F772B2" w:rsidRDefault="00000000">
            <w:pPr>
              <w:jc w:val="both"/>
            </w:pPr>
            <w:r>
              <w:lastRenderedPageBreak/>
              <w:t>Vor fi create oportunități pentru obținerea semnăturii electronice la distanță, atât pentru oameni de afaceri, dar în special pentru toți cetățenii. Astfel, ar putea fi deblocate situații când cetățenii și antreprenorii au nevoie urgentă de unele interacțiuni la distanță, fiind blocați peste hotarele țării sau izolați din cauza bolilor sau altor situații.</w:t>
            </w:r>
          </w:p>
        </w:tc>
      </w:tr>
    </w:tbl>
    <w:p w14:paraId="14168516" w14:textId="77777777" w:rsidR="00F772B2" w:rsidRDefault="00F772B2">
      <w:pPr>
        <w:spacing w:line="240" w:lineRule="auto"/>
      </w:pPr>
    </w:p>
    <w:sectPr w:rsidR="00F772B2">
      <w:pgSz w:w="15840" w:h="12240" w:orient="landscape"/>
      <w:pgMar w:top="1135" w:right="1134" w:bottom="85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699"/>
    <w:multiLevelType w:val="multilevel"/>
    <w:tmpl w:val="9ED49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BA406C"/>
    <w:multiLevelType w:val="multilevel"/>
    <w:tmpl w:val="63D8D8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BC07889"/>
    <w:multiLevelType w:val="multilevel"/>
    <w:tmpl w:val="EBC8F9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48B23A1"/>
    <w:multiLevelType w:val="multilevel"/>
    <w:tmpl w:val="FD80B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B470EDB"/>
    <w:multiLevelType w:val="multilevel"/>
    <w:tmpl w:val="26B8E33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FE4945"/>
    <w:multiLevelType w:val="multilevel"/>
    <w:tmpl w:val="3880E46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978964">
    <w:abstractNumId w:val="2"/>
  </w:num>
  <w:num w:numId="2" w16cid:durableId="382945584">
    <w:abstractNumId w:val="4"/>
  </w:num>
  <w:num w:numId="3" w16cid:durableId="329262955">
    <w:abstractNumId w:val="3"/>
  </w:num>
  <w:num w:numId="4" w16cid:durableId="1559592451">
    <w:abstractNumId w:val="5"/>
  </w:num>
  <w:num w:numId="5" w16cid:durableId="145632976">
    <w:abstractNumId w:val="0"/>
  </w:num>
  <w:num w:numId="6" w16cid:durableId="183279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B2"/>
    <w:rsid w:val="00951ADD"/>
    <w:rsid w:val="00C03710"/>
    <w:rsid w:val="00F77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B4DB"/>
  <w15:docId w15:val="{4923AD17-7FC0-4211-8B20-872EB26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C7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0BF"/>
    <w:pPr>
      <w:ind w:left="720"/>
      <w:contextualSpacing/>
    </w:pPr>
  </w:style>
  <w:style w:type="character" w:styleId="Hyperlink">
    <w:name w:val="Hyperlink"/>
    <w:basedOn w:val="DefaultParagraphFont"/>
    <w:uiPriority w:val="99"/>
    <w:unhideWhenUsed/>
    <w:rsid w:val="00F20D54"/>
    <w:rPr>
      <w:color w:val="0563C1" w:themeColor="hyperlink"/>
      <w:u w:val="single"/>
    </w:rPr>
  </w:style>
  <w:style w:type="paragraph" w:customStyle="1" w:styleId="Default">
    <w:name w:val="Default"/>
    <w:rsid w:val="00F20D54"/>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216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6A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drm.md/p/despre-cidr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z+HQd2ci5H2hQPIZMb94zVlYA==">CgMxLjAyCGguZ2pkZ3hzOAByITFPTEFBc3l3LTJVd0VLLWVFbVZ4V3Eyb1dqbmxwbk9ZcQ==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4902</Words>
  <Characters>27946</Characters>
  <Application>Microsoft Office Word</Application>
  <DocSecurity>0</DocSecurity>
  <Lines>232</Lines>
  <Paragraphs>65</Paragraphs>
  <ScaleCrop>false</ScaleCrop>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Roman Ladus</cp:lastModifiedBy>
  <cp:revision>3</cp:revision>
  <dcterms:created xsi:type="dcterms:W3CDTF">2023-08-14T07:29:00Z</dcterms:created>
  <dcterms:modified xsi:type="dcterms:W3CDTF">2023-08-14T07:51:00Z</dcterms:modified>
</cp:coreProperties>
</file>