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D9084C" w:rsidRDefault="00000000">
      <w:pPr>
        <w:spacing w:before="120" w:after="120" w:line="240" w:lineRule="auto"/>
        <w:ind w:firstLine="567"/>
        <w:jc w:val="center"/>
        <w:rPr>
          <w:b/>
          <w:i/>
        </w:rPr>
      </w:pPr>
      <w:r>
        <w:rPr>
          <w:b/>
          <w:i/>
        </w:rPr>
        <w:t>SUMAR</w:t>
      </w:r>
    </w:p>
    <w:p w14:paraId="00000002" w14:textId="77777777" w:rsidR="00D9084C" w:rsidRDefault="00000000">
      <w:pPr>
        <w:spacing w:before="120" w:after="120" w:line="240" w:lineRule="auto"/>
        <w:ind w:firstLine="567"/>
        <w:jc w:val="center"/>
        <w:rPr>
          <w:b/>
        </w:rPr>
      </w:pPr>
      <w:r>
        <w:rPr>
          <w:b/>
        </w:rPr>
        <w:t>la proiectul de Lege cu privire modificarea unor acte normative </w:t>
      </w:r>
    </w:p>
    <w:p w14:paraId="00000003" w14:textId="77777777" w:rsidR="00D9084C" w:rsidRDefault="00000000">
      <w:pPr>
        <w:shd w:val="clear" w:color="auto" w:fill="FFFFFF"/>
        <w:spacing w:after="0" w:line="240" w:lineRule="auto"/>
        <w:jc w:val="center"/>
      </w:pPr>
      <w:r>
        <w:t>(</w:t>
      </w:r>
      <w:r>
        <w:rPr>
          <w:i/>
        </w:rPr>
        <w:t xml:space="preserve">facilitarea activității mediului de afaceri / pachetul </w:t>
      </w:r>
      <w:proofErr w:type="spellStart"/>
      <w:r>
        <w:rPr>
          <w:i/>
        </w:rPr>
        <w:t>dereglementare</w:t>
      </w:r>
      <w:proofErr w:type="spellEnd"/>
      <w:r>
        <w:rPr>
          <w:i/>
        </w:rPr>
        <w:t xml:space="preserve"> 4</w:t>
      </w:r>
      <w:r>
        <w:t>)</w:t>
      </w:r>
    </w:p>
    <w:p w14:paraId="00000004" w14:textId="77777777" w:rsidR="00D9084C" w:rsidRDefault="00D9084C">
      <w:pPr>
        <w:spacing w:after="120" w:line="240" w:lineRule="auto"/>
        <w:jc w:val="both"/>
        <w:rPr>
          <w:b/>
        </w:rPr>
      </w:pPr>
    </w:p>
    <w:p w14:paraId="00000005" w14:textId="5CCC294D" w:rsidR="00D9084C" w:rsidRDefault="00000000">
      <w:pPr>
        <w:spacing w:after="120" w:line="240" w:lineRule="auto"/>
        <w:jc w:val="both"/>
        <w:rPr>
          <w:b/>
        </w:rPr>
      </w:pPr>
      <w:r>
        <w:rPr>
          <w:b/>
        </w:rPr>
        <w:t>Data: 1</w:t>
      </w:r>
      <w:r w:rsidR="00E043E3">
        <w:rPr>
          <w:b/>
        </w:rPr>
        <w:t>4</w:t>
      </w:r>
      <w:r>
        <w:rPr>
          <w:b/>
        </w:rPr>
        <w:t>.08.2023</w:t>
      </w:r>
    </w:p>
    <w:p w14:paraId="00000006" w14:textId="77777777" w:rsidR="00D9084C" w:rsidRDefault="00D9084C">
      <w:pPr>
        <w:spacing w:after="120" w:line="240" w:lineRule="auto"/>
        <w:jc w:val="both"/>
        <w:rPr>
          <w:b/>
        </w:rPr>
      </w:pPr>
    </w:p>
    <w:p w14:paraId="00000007" w14:textId="77777777" w:rsidR="00D9084C" w:rsidRDefault="00000000">
      <w:pPr>
        <w:spacing w:after="120" w:line="240" w:lineRule="auto"/>
        <w:jc w:val="both"/>
        <w:rPr>
          <w:rFonts w:ascii="Times New Roman" w:eastAsia="Times New Roman" w:hAnsi="Times New Roman" w:cs="Times New Roman"/>
          <w:sz w:val="24"/>
          <w:szCs w:val="24"/>
        </w:rPr>
      </w:pPr>
      <w:r>
        <w:rPr>
          <w:b/>
          <w:color w:val="000000"/>
        </w:rPr>
        <w:t>Domeniul – achiziții publice</w:t>
      </w:r>
    </w:p>
    <w:p w14:paraId="00000008" w14:textId="77777777" w:rsidR="00D9084C" w:rsidRDefault="00000000">
      <w:pPr>
        <w:numPr>
          <w:ilvl w:val="0"/>
          <w:numId w:val="1"/>
        </w:numPr>
        <w:spacing w:after="120" w:line="240" w:lineRule="auto"/>
        <w:ind w:left="57"/>
        <w:jc w:val="both"/>
        <w:rPr>
          <w:color w:val="000000"/>
        </w:rPr>
      </w:pPr>
      <w:r>
        <w:rPr>
          <w:b/>
          <w:color w:val="000000"/>
        </w:rPr>
        <w:t>Excluderea posibilității pentru autoritățile publice să utilizeze criteriul „prețul cel mai mic” drept unicul criteriu</w:t>
      </w:r>
      <w:r>
        <w:rPr>
          <w:color w:val="000000"/>
        </w:rPr>
        <w:t xml:space="preserve"> economic de selectare a ofertei în cadrul achizițiilor publice. Includerea obligației ca „prețul” să fie utilizat doar în cumul cu încă cel puțin un criteriu (ex. calitate-preț) unde „prețul” va avea o pondere maximă limitată. La fel, limitarea celui mai mic preț posibil ce poate fi oferit la achiziții de bunuri și servicii la cel mul</w:t>
      </w:r>
      <w:r>
        <w:t xml:space="preserve">t </w:t>
      </w:r>
      <w:r>
        <w:rPr>
          <w:color w:val="000000"/>
        </w:rPr>
        <w:t>20% sub prețul mediu pe piață. Intervenția vine să abordeze problema abuzurilor și practicilor de concurență neloială în achizițiile publice, în special situațiile în care ofertanții obțin contracte datorită prețului anormal de scăzut.</w:t>
      </w:r>
    </w:p>
    <w:p w14:paraId="00000009" w14:textId="77777777" w:rsidR="00D9084C" w:rsidRDefault="00000000">
      <w:pPr>
        <w:numPr>
          <w:ilvl w:val="0"/>
          <w:numId w:val="1"/>
        </w:numPr>
        <w:spacing w:after="120" w:line="240" w:lineRule="auto"/>
        <w:ind w:left="57"/>
        <w:jc w:val="both"/>
      </w:pPr>
      <w:r>
        <w:rPr>
          <w:b/>
          <w:color w:val="000000"/>
        </w:rPr>
        <w:t>Acordarea posibilității de efectuare a achizițiilor publice prin intermediul burselor de mărfuri în cazul achizițiilor de bunuri</w:t>
      </w:r>
      <w:r>
        <w:rPr>
          <w:color w:val="000000"/>
        </w:rPr>
        <w:t xml:space="preserve">, doar în situațiile în care se îndeplinesc cerințele legale pentru a derula achiziții în baza negocierilor fără publicarea prealabilă a unui anunț de participare. Acest drept vine să soluționeze situațiile în care în licitațiile inițiale nu sunt înaintate oferte adecvate sau nicio ofertă nu este </w:t>
      </w:r>
      <w:r>
        <w:t>înaintată</w:t>
      </w:r>
      <w:r>
        <w:rPr>
          <w:color w:val="000000"/>
        </w:rPr>
        <w:t xml:space="preserve"> sau achizițiile necesită să fie efectuate în situații de maximă urgență ca urmare a unor evenimente excepționale. În prezent legea stabilește într-un mod eronat și incert că astfel de achiziții pot fi efectuate prin „bursă de materii prime”, ceea ce nu corespunde cu cadrul normativ național și nici cel european.  </w:t>
      </w:r>
    </w:p>
    <w:p w14:paraId="0000000A" w14:textId="77777777" w:rsidR="00D9084C" w:rsidRDefault="00D9084C">
      <w:pPr>
        <w:spacing w:after="120" w:line="240" w:lineRule="auto"/>
        <w:jc w:val="both"/>
        <w:rPr>
          <w:color w:val="000000"/>
        </w:rPr>
      </w:pPr>
    </w:p>
    <w:p w14:paraId="0000000B" w14:textId="77777777" w:rsidR="00D9084C" w:rsidRDefault="00000000">
      <w:pPr>
        <w:spacing w:after="120" w:line="240" w:lineRule="auto"/>
        <w:jc w:val="both"/>
        <w:rPr>
          <w:b/>
          <w:color w:val="000000"/>
        </w:rPr>
      </w:pPr>
      <w:r>
        <w:rPr>
          <w:b/>
          <w:color w:val="000000"/>
        </w:rPr>
        <w:t>Domeniul - burse de mărfuri</w:t>
      </w:r>
    </w:p>
    <w:p w14:paraId="0000000C" w14:textId="77777777" w:rsidR="00D9084C" w:rsidRDefault="00000000">
      <w:pPr>
        <w:numPr>
          <w:ilvl w:val="0"/>
          <w:numId w:val="1"/>
        </w:numPr>
        <w:spacing w:after="120" w:line="240" w:lineRule="auto"/>
        <w:ind w:left="57"/>
        <w:jc w:val="both"/>
      </w:pPr>
      <w:r>
        <w:rPr>
          <w:b/>
          <w:color w:val="000000"/>
        </w:rPr>
        <w:t>Recunoașterea burselor de mărfuri autorizate în statele membre UE</w:t>
      </w:r>
      <w:r>
        <w:rPr>
          <w:color w:val="000000"/>
        </w:rPr>
        <w:t>, în situația în care acestea se înregistrează oficial în calitate de persoană juridică în Moldova și demonstrează că în țara de origine îndeplinesc cerințele minimale prevăzute de legea din Moldova. În lipsa unei burse naționale, cu toate că legea în acest sens este publicată încă din 1998, această măsură vine să motiveze formarea burselor de mărfuri în Moldova de către burse de renume, cu experiență, din spațiul UE.</w:t>
      </w:r>
    </w:p>
    <w:p w14:paraId="0000000D" w14:textId="77777777" w:rsidR="00D9084C" w:rsidRDefault="00000000">
      <w:pPr>
        <w:numPr>
          <w:ilvl w:val="0"/>
          <w:numId w:val="1"/>
        </w:numPr>
        <w:spacing w:after="120" w:line="240" w:lineRule="auto"/>
        <w:ind w:left="57"/>
        <w:jc w:val="both"/>
      </w:pPr>
      <w:r>
        <w:rPr>
          <w:b/>
          <w:color w:val="000000"/>
        </w:rPr>
        <w:t>Modernizarea conceptului de „bursă de mărfuri” pentru a fi racordat la modelele de burse de mărfuri actuale</w:t>
      </w:r>
      <w:r>
        <w:rPr>
          <w:color w:val="000000"/>
        </w:rPr>
        <w:t xml:space="preserve">. Legea actuală operează cu modelul de bursă din secolul trecut, care-și petrece activitatea într-un loc fizic (sala bursei), exclusiv în baza licitațiilor cu strigare cu un set de operațiuni și funcții </w:t>
      </w:r>
      <w:proofErr w:type="spellStart"/>
      <w:r>
        <w:rPr>
          <w:color w:val="000000"/>
        </w:rPr>
        <w:t>restrînse</w:t>
      </w:r>
      <w:proofErr w:type="spellEnd"/>
      <w:r>
        <w:rPr>
          <w:color w:val="000000"/>
        </w:rPr>
        <w:t>. Printre cele mai importante elemente ale noului concept de bursă se propun: admiterea comerțului sub forma de proceduri de achiziție pe o platforma electronica administrat</w:t>
      </w:r>
      <w:r>
        <w:t>ă</w:t>
      </w:r>
      <w:r>
        <w:rPr>
          <w:color w:val="000000"/>
        </w:rPr>
        <w:t xml:space="preserve"> de o burs</w:t>
      </w:r>
      <w:r>
        <w:t>ă</w:t>
      </w:r>
      <w:r>
        <w:rPr>
          <w:color w:val="000000"/>
        </w:rPr>
        <w:t xml:space="preserve"> de mărfuri;  bursa administrează mai multe categorii de piețe - piața la disponibil, piața licitațiilor, piața creanțelor; se operează cu o varietate mai mare de contracte de bursă - </w:t>
      </w:r>
      <w:proofErr w:type="spellStart"/>
      <w:r>
        <w:rPr>
          <w:color w:val="000000"/>
        </w:rPr>
        <w:t>forward</w:t>
      </w:r>
      <w:proofErr w:type="spellEnd"/>
      <w:r>
        <w:rPr>
          <w:color w:val="000000"/>
        </w:rPr>
        <w:t>, spot, etc.; se acordă un rol mai mare pentru cotațiile emise de bursă; ș.a.</w:t>
      </w:r>
    </w:p>
    <w:p w14:paraId="0000000E" w14:textId="77777777" w:rsidR="00D9084C" w:rsidRDefault="00D9084C">
      <w:pPr>
        <w:spacing w:after="0" w:line="240" w:lineRule="auto"/>
        <w:rPr>
          <w:rFonts w:ascii="Times New Roman" w:eastAsia="Times New Roman" w:hAnsi="Times New Roman" w:cs="Times New Roman"/>
          <w:sz w:val="24"/>
          <w:szCs w:val="24"/>
        </w:rPr>
      </w:pPr>
    </w:p>
    <w:p w14:paraId="0000000F" w14:textId="77777777" w:rsidR="00D9084C" w:rsidRDefault="00000000">
      <w:pPr>
        <w:spacing w:after="120" w:line="240" w:lineRule="auto"/>
        <w:jc w:val="both"/>
        <w:rPr>
          <w:rFonts w:ascii="Times New Roman" w:eastAsia="Times New Roman" w:hAnsi="Times New Roman" w:cs="Times New Roman"/>
          <w:sz w:val="24"/>
          <w:szCs w:val="24"/>
        </w:rPr>
      </w:pPr>
      <w:r>
        <w:rPr>
          <w:b/>
          <w:color w:val="000000"/>
        </w:rPr>
        <w:t>Domeniul – construcții și urbanism</w:t>
      </w:r>
    </w:p>
    <w:p w14:paraId="00000010" w14:textId="77777777" w:rsidR="00D9084C" w:rsidRDefault="00000000">
      <w:pPr>
        <w:numPr>
          <w:ilvl w:val="0"/>
          <w:numId w:val="1"/>
        </w:numPr>
        <w:pBdr>
          <w:top w:val="nil"/>
          <w:left w:val="nil"/>
          <w:bottom w:val="nil"/>
          <w:right w:val="nil"/>
          <w:between w:val="nil"/>
        </w:pBdr>
        <w:spacing w:after="120" w:line="240" w:lineRule="auto"/>
        <w:ind w:left="57"/>
        <w:jc w:val="both"/>
      </w:pPr>
      <w:r>
        <w:rPr>
          <w:b/>
        </w:rPr>
        <w:t>Acordarea</w:t>
      </w:r>
      <w:r>
        <w:rPr>
          <w:b/>
          <w:color w:val="000000"/>
        </w:rPr>
        <w:t xml:space="preserve"> excepției ca</w:t>
      </w:r>
      <w:r>
        <w:rPr>
          <w:color w:val="000000"/>
        </w:rPr>
        <w:t xml:space="preserve"> </w:t>
      </w:r>
      <w:r>
        <w:rPr>
          <w:b/>
          <w:color w:val="000000"/>
        </w:rPr>
        <w:t>în localitățile rurale să poată fi autorizate lucrări de construcții în lipsa planurilor de dezvoltare urbanistică</w:t>
      </w:r>
      <w:r>
        <w:rPr>
          <w:color w:val="000000"/>
        </w:rPr>
        <w:t xml:space="preserve"> pentru clădiri cu înălțime de până la 3 nivele care vor fi case individuale sau în care se va desfășura activitate de întreprinzător care nu va avea impact semnificativ asupra mediului și sănătății populației, deoarece în prezent legea nu admite autorizarea construcțiilor în lipsa planurilor urbanistice, care însă sunt costisitoare și nu sunt aprobate în o mare parte din sate și comune, ceea ce duce la bariere substanțiale pentru investire în construcții și deschiderea de noi afaceri în zonele rurale.</w:t>
      </w:r>
    </w:p>
    <w:p w14:paraId="00000011" w14:textId="77777777" w:rsidR="00D9084C" w:rsidRDefault="00000000">
      <w:pPr>
        <w:numPr>
          <w:ilvl w:val="0"/>
          <w:numId w:val="1"/>
        </w:numPr>
        <w:pBdr>
          <w:top w:val="nil"/>
          <w:left w:val="nil"/>
          <w:bottom w:val="nil"/>
          <w:right w:val="nil"/>
          <w:between w:val="nil"/>
        </w:pBdr>
        <w:spacing w:after="120" w:line="240" w:lineRule="auto"/>
        <w:ind w:left="57"/>
        <w:jc w:val="both"/>
      </w:pPr>
      <w:r>
        <w:rPr>
          <w:b/>
        </w:rPr>
        <w:lastRenderedPageBreak/>
        <w:t xml:space="preserve">Exceptarea de a obține certificat de urbanism pentru proiectare </w:t>
      </w:r>
      <w:proofErr w:type="spellStart"/>
      <w:r>
        <w:rPr>
          <w:b/>
        </w:rPr>
        <w:t>şi</w:t>
      </w:r>
      <w:proofErr w:type="spellEnd"/>
      <w:r>
        <w:rPr>
          <w:b/>
        </w:rPr>
        <w:t xml:space="preserve"> </w:t>
      </w:r>
      <w:proofErr w:type="spellStart"/>
      <w:r>
        <w:rPr>
          <w:b/>
        </w:rPr>
        <w:t>autorizaţie</w:t>
      </w:r>
      <w:proofErr w:type="spellEnd"/>
      <w:r>
        <w:rPr>
          <w:b/>
        </w:rPr>
        <w:t xml:space="preserve"> de construire pentru lucrările de instalare a </w:t>
      </w:r>
      <w:proofErr w:type="spellStart"/>
      <w:r>
        <w:rPr>
          <w:b/>
        </w:rPr>
        <w:t>reţelelor</w:t>
      </w:r>
      <w:proofErr w:type="spellEnd"/>
      <w:r>
        <w:rPr>
          <w:b/>
        </w:rPr>
        <w:t xml:space="preserve"> </w:t>
      </w:r>
      <w:proofErr w:type="spellStart"/>
      <w:r>
        <w:rPr>
          <w:b/>
        </w:rPr>
        <w:t>inginereşti</w:t>
      </w:r>
      <w:proofErr w:type="spellEnd"/>
      <w:r>
        <w:rPr>
          <w:b/>
        </w:rPr>
        <w:t xml:space="preserve"> </w:t>
      </w:r>
      <w:proofErr w:type="spellStart"/>
      <w:r>
        <w:rPr>
          <w:b/>
        </w:rPr>
        <w:t>şi</w:t>
      </w:r>
      <w:proofErr w:type="spellEnd"/>
      <w:r>
        <w:rPr>
          <w:b/>
        </w:rPr>
        <w:t xml:space="preserve"> de </w:t>
      </w:r>
      <w:proofErr w:type="spellStart"/>
      <w:r>
        <w:rPr>
          <w:b/>
        </w:rPr>
        <w:t>comunicaţii</w:t>
      </w:r>
      <w:proofErr w:type="spellEnd"/>
      <w:r>
        <w:rPr>
          <w:b/>
        </w:rPr>
        <w:t xml:space="preserve"> electronice care presupun pozări subterane noi în limitele terenului privat</w:t>
      </w:r>
      <w:r>
        <w:t xml:space="preserve"> prin modificarea Legii 163/2010, cât și pentru alte lucrări.</w:t>
      </w:r>
    </w:p>
    <w:p w14:paraId="00000012" w14:textId="77777777" w:rsidR="00D9084C" w:rsidRDefault="00000000">
      <w:pPr>
        <w:numPr>
          <w:ilvl w:val="0"/>
          <w:numId w:val="1"/>
        </w:numPr>
        <w:pBdr>
          <w:top w:val="nil"/>
          <w:left w:val="nil"/>
          <w:bottom w:val="nil"/>
          <w:right w:val="nil"/>
          <w:between w:val="nil"/>
        </w:pBdr>
        <w:spacing w:after="120" w:line="240" w:lineRule="auto"/>
        <w:ind w:left="57"/>
        <w:jc w:val="both"/>
      </w:pPr>
      <w:r>
        <w:rPr>
          <w:b/>
        </w:rPr>
        <w:t>Stabilirea unor condiții mai facilitare pentru obținerea actelor permisive în construcții și pentru conectare/reconectare la rețelele edilitare</w:t>
      </w:r>
      <w:r>
        <w:t>, prin modificarea Legilor nr.163/2010, nr. 303/2013, nr. 107/2016, nr. 108/2016, fiind create premise pentru micșorarea costurilor afacerii.</w:t>
      </w:r>
    </w:p>
    <w:p w14:paraId="00000013" w14:textId="77777777" w:rsidR="00D9084C" w:rsidRDefault="00D9084C">
      <w:pPr>
        <w:spacing w:after="0" w:line="240" w:lineRule="auto"/>
        <w:rPr>
          <w:rFonts w:ascii="Times New Roman" w:eastAsia="Times New Roman" w:hAnsi="Times New Roman" w:cs="Times New Roman"/>
          <w:sz w:val="24"/>
          <w:szCs w:val="24"/>
        </w:rPr>
      </w:pPr>
    </w:p>
    <w:p w14:paraId="00000014" w14:textId="77777777" w:rsidR="00D9084C" w:rsidRDefault="00000000">
      <w:pPr>
        <w:spacing w:after="120" w:line="240" w:lineRule="auto"/>
        <w:jc w:val="both"/>
        <w:rPr>
          <w:rFonts w:ascii="Times New Roman" w:eastAsia="Times New Roman" w:hAnsi="Times New Roman" w:cs="Times New Roman"/>
          <w:sz w:val="24"/>
          <w:szCs w:val="24"/>
        </w:rPr>
      </w:pPr>
      <w:r>
        <w:rPr>
          <w:b/>
          <w:color w:val="000000"/>
        </w:rPr>
        <w:t>Domeniul – comerț și protecția consumatorilor</w:t>
      </w:r>
    </w:p>
    <w:p w14:paraId="00000015" w14:textId="77777777" w:rsidR="00D9084C" w:rsidRDefault="00000000">
      <w:pPr>
        <w:numPr>
          <w:ilvl w:val="0"/>
          <w:numId w:val="1"/>
        </w:numPr>
        <w:pBdr>
          <w:top w:val="nil"/>
          <w:left w:val="nil"/>
          <w:bottom w:val="nil"/>
          <w:right w:val="nil"/>
          <w:between w:val="nil"/>
        </w:pBdr>
        <w:spacing w:after="120" w:line="240" w:lineRule="auto"/>
        <w:ind w:left="57"/>
        <w:jc w:val="both"/>
      </w:pPr>
      <w:r>
        <w:rPr>
          <w:b/>
        </w:rPr>
        <w:t>Anularea</w:t>
      </w:r>
      <w:r>
        <w:rPr>
          <w:b/>
          <w:color w:val="000000"/>
        </w:rPr>
        <w:t xml:space="preserve"> registrului de reclamații</w:t>
      </w:r>
      <w:r>
        <w:rPr>
          <w:color w:val="000000"/>
        </w:rPr>
        <w:t xml:space="preserve">, dat fiind că există informația de contact a Inspectoratului de Stat pentru Supravegherea Produselor Nealimentare și Protecția Consumatorilor în incinta unităților de comerț. Orice reclamație depusă în formă liberă la comerciant și la Inspectorat are </w:t>
      </w:r>
      <w:r>
        <w:t>aceeași</w:t>
      </w:r>
      <w:r>
        <w:rPr>
          <w:color w:val="000000"/>
        </w:rPr>
        <w:t xml:space="preserve"> valoare juridică ca și un înscris în Registrul de reclamații. Procurarea, înregistrarea Registrului la autoritatea publică locală și menținerea acestuia presupun costuri și povară administrativă nejustificată. </w:t>
      </w:r>
    </w:p>
    <w:p w14:paraId="00000016" w14:textId="77777777" w:rsidR="00D9084C" w:rsidRDefault="00000000">
      <w:pPr>
        <w:numPr>
          <w:ilvl w:val="0"/>
          <w:numId w:val="1"/>
        </w:numPr>
        <w:pBdr>
          <w:top w:val="nil"/>
          <w:left w:val="nil"/>
          <w:bottom w:val="nil"/>
          <w:right w:val="nil"/>
          <w:between w:val="nil"/>
        </w:pBdr>
        <w:spacing w:after="120" w:line="240" w:lineRule="auto"/>
        <w:ind w:left="57"/>
        <w:jc w:val="both"/>
      </w:pPr>
      <w:r>
        <w:rPr>
          <w:b/>
        </w:rPr>
        <w:t>Stabilirea</w:t>
      </w:r>
      <w:r>
        <w:rPr>
          <w:b/>
          <w:color w:val="000000"/>
        </w:rPr>
        <w:t xml:space="preserve"> unui</w:t>
      </w:r>
      <w:r>
        <w:rPr>
          <w:color w:val="000000"/>
        </w:rPr>
        <w:t xml:space="preserve"> </w:t>
      </w:r>
      <w:r>
        <w:rPr>
          <w:b/>
          <w:color w:val="000000"/>
        </w:rPr>
        <w:t>termen alternativ de până la 30 zile pentru unele situații, comparativ cu cel de 14 zile prevăzut în prezent, pentru repararea sau preschimbarea produsului</w:t>
      </w:r>
      <w:r>
        <w:rPr>
          <w:color w:val="000000"/>
        </w:rPr>
        <w:t xml:space="preserve"> de către vânzător. În cazul produsului neconform, perioada de timp pentru repararea sau preschimbarea produsului trebuie să fie adecvată, reală și suficientă. Deseori vânzătorul recunoscând viciul produsului și fiind de acord să efectueze reparația acestuia, se ciocnește cu problema respectării termenului de 14 zile impus de lege.</w:t>
      </w:r>
    </w:p>
    <w:p w14:paraId="00000017" w14:textId="77777777" w:rsidR="00D9084C" w:rsidRDefault="00000000">
      <w:pPr>
        <w:numPr>
          <w:ilvl w:val="0"/>
          <w:numId w:val="1"/>
        </w:numPr>
        <w:pBdr>
          <w:top w:val="nil"/>
          <w:left w:val="nil"/>
          <w:bottom w:val="nil"/>
          <w:right w:val="nil"/>
          <w:between w:val="nil"/>
        </w:pBdr>
        <w:spacing w:after="120" w:line="240" w:lineRule="auto"/>
        <w:ind w:left="57"/>
        <w:jc w:val="both"/>
      </w:pPr>
      <w:r>
        <w:rPr>
          <w:b/>
        </w:rPr>
        <w:t>Abrogarea</w:t>
      </w:r>
      <w:r>
        <w:rPr>
          <w:b/>
          <w:color w:val="000000"/>
        </w:rPr>
        <w:t xml:space="preserve"> dreptului consumatorului de returna bunul în primele 6 luni de la procurare, indiferent dacă neconformitatea este minoră sau dacă există posibilitatea reparației sau preschimbării bunului</w:t>
      </w:r>
      <w:r>
        <w:rPr>
          <w:color w:val="000000"/>
        </w:rPr>
        <w:t xml:space="preserve">. Norma conform căreia consumatorul la orice defect apărut în primele 6 luni de utilizare a bunului, poate opta pentru returnare (cu restituirea banilor) a fost exclusă și din cadrul normativ UE, fiind un impediment pentru lupta cu </w:t>
      </w:r>
      <w:proofErr w:type="spellStart"/>
      <w:r>
        <w:rPr>
          <w:i/>
          <w:color w:val="000000"/>
        </w:rPr>
        <w:t>consumerismul</w:t>
      </w:r>
      <w:proofErr w:type="spellEnd"/>
      <w:r>
        <w:rPr>
          <w:color w:val="000000"/>
        </w:rPr>
        <w:t>, o normă inechitabilă pentru vânzător și o sursă de abuz din partea consumatorilor. </w:t>
      </w:r>
    </w:p>
    <w:p w14:paraId="00000018" w14:textId="77777777" w:rsidR="00D9084C" w:rsidRDefault="00000000">
      <w:pPr>
        <w:numPr>
          <w:ilvl w:val="0"/>
          <w:numId w:val="1"/>
        </w:numPr>
        <w:pBdr>
          <w:top w:val="nil"/>
          <w:left w:val="nil"/>
          <w:bottom w:val="nil"/>
          <w:right w:val="nil"/>
          <w:between w:val="nil"/>
        </w:pBdr>
        <w:spacing w:after="120" w:line="240" w:lineRule="auto"/>
        <w:ind w:left="57"/>
        <w:jc w:val="both"/>
      </w:pPr>
      <w:r>
        <w:rPr>
          <w:b/>
        </w:rPr>
        <w:t>Includerea</w:t>
      </w:r>
      <w:r>
        <w:rPr>
          <w:b/>
          <w:color w:val="000000"/>
        </w:rPr>
        <w:t xml:space="preserve"> prevederilor care aduc claritate în distincția dintre categoriile de bunuri care sunt „de folosință îndelungată” sau nu sunt</w:t>
      </w:r>
      <w:r>
        <w:rPr>
          <w:color w:val="000000"/>
        </w:rPr>
        <w:t>, această distincție are importanță practică odată ce în dependență de categorie, bunul primește garanție legală de 2 ani sau doar de 30 de zile. Din cauza lipsei de claritate pentru diverse categorii de bunuri se iscă periodic dispute între vânzători și consumatori, numărul cărora poate scădea dacă legea va identifica mai clar în baza căror criterii se identifică bunurile care nu sunt de folosință îndelungată.</w:t>
      </w:r>
    </w:p>
    <w:p w14:paraId="00000019" w14:textId="77777777" w:rsidR="00D9084C" w:rsidRDefault="00000000">
      <w:pPr>
        <w:numPr>
          <w:ilvl w:val="0"/>
          <w:numId w:val="1"/>
        </w:numPr>
        <w:pBdr>
          <w:top w:val="nil"/>
          <w:left w:val="nil"/>
          <w:bottom w:val="nil"/>
          <w:right w:val="nil"/>
          <w:between w:val="nil"/>
        </w:pBdr>
        <w:spacing w:after="120" w:line="240" w:lineRule="auto"/>
        <w:ind w:left="57"/>
        <w:jc w:val="both"/>
      </w:pPr>
      <w:r>
        <w:rPr>
          <w:b/>
          <w:color w:val="000000"/>
        </w:rPr>
        <w:t>M</w:t>
      </w:r>
      <w:r>
        <w:rPr>
          <w:b/>
        </w:rPr>
        <w:t>ajorarea</w:t>
      </w:r>
      <w:r>
        <w:rPr>
          <w:b/>
          <w:color w:val="000000"/>
        </w:rPr>
        <w:t xml:space="preserve"> spectrului de entități care au dreptul să efectueze expertiza tehnică a neconformității bunului</w:t>
      </w:r>
      <w:r>
        <w:rPr>
          <w:color w:val="000000"/>
        </w:rPr>
        <w:t xml:space="preserve"> și stabilirea dacă aceasta a apărut din vina consumatorului sau producătorului. În prezent legea impune ca deficiențele apărute (și vina consumatorului la acestea) să fie dovedite prin expertiză tehnică efectuată de o</w:t>
      </w:r>
      <w:r>
        <w:t xml:space="preserve"> </w:t>
      </w:r>
      <w:r>
        <w:rPr>
          <w:color w:val="000000"/>
        </w:rPr>
        <w:t>terță parte competentă în domeniu, abilitată în conformitate cu legea. Astfel de entități sunt foarte puține și nu au competență pentru toate domeniile, fiind uneori imposibil de a efectua expertiza în cauză. Se propune ca de rând cu acestea, în unele condiții, să poată efectua expertiza tehnică și întreprinderi specializate și autorizate de producător, în deservirea tehnică și reparația produselor respective.</w:t>
      </w:r>
    </w:p>
    <w:p w14:paraId="0000001A" w14:textId="77777777" w:rsidR="00D9084C" w:rsidRDefault="00D9084C">
      <w:pPr>
        <w:spacing w:after="0" w:line="240" w:lineRule="auto"/>
        <w:rPr>
          <w:rFonts w:ascii="Times New Roman" w:eastAsia="Times New Roman" w:hAnsi="Times New Roman" w:cs="Times New Roman"/>
          <w:sz w:val="24"/>
          <w:szCs w:val="24"/>
        </w:rPr>
      </w:pPr>
    </w:p>
    <w:p w14:paraId="0000001B" w14:textId="77777777" w:rsidR="00D9084C" w:rsidRDefault="00000000">
      <w:pPr>
        <w:spacing w:after="120" w:line="240" w:lineRule="auto"/>
        <w:ind w:left="57"/>
        <w:jc w:val="both"/>
        <w:rPr>
          <w:rFonts w:ascii="Times New Roman" w:eastAsia="Times New Roman" w:hAnsi="Times New Roman" w:cs="Times New Roman"/>
          <w:sz w:val="24"/>
          <w:szCs w:val="24"/>
        </w:rPr>
      </w:pPr>
      <w:r>
        <w:rPr>
          <w:b/>
          <w:color w:val="000000"/>
        </w:rPr>
        <w:t>Domeniul – legiferarea în raport cu mediul de afaceri</w:t>
      </w:r>
    </w:p>
    <w:p w14:paraId="0000001C" w14:textId="77777777" w:rsidR="00D9084C" w:rsidRDefault="00000000">
      <w:pPr>
        <w:numPr>
          <w:ilvl w:val="0"/>
          <w:numId w:val="1"/>
        </w:numPr>
        <w:pBdr>
          <w:top w:val="nil"/>
          <w:left w:val="nil"/>
          <w:bottom w:val="nil"/>
          <w:right w:val="nil"/>
          <w:between w:val="nil"/>
        </w:pBdr>
        <w:spacing w:after="120" w:line="240" w:lineRule="auto"/>
        <w:ind w:left="57"/>
        <w:jc w:val="both"/>
      </w:pPr>
      <w:r>
        <w:t>Se</w:t>
      </w:r>
      <w:r>
        <w:rPr>
          <w:color w:val="000000"/>
        </w:rPr>
        <w:t xml:space="preserve"> propune de a include regula generală în Legea nr.100/2017 </w:t>
      </w:r>
      <w:r>
        <w:t>că</w:t>
      </w:r>
      <w:r>
        <w:rPr>
          <w:color w:val="000000"/>
        </w:rPr>
        <w:t xml:space="preserve"> legile care reglementează activitatea de întreprinzător în partea ce se referă la </w:t>
      </w:r>
      <w:r>
        <w:rPr>
          <w:b/>
          <w:color w:val="000000"/>
        </w:rPr>
        <w:t>stabilirea de</w:t>
      </w:r>
      <w:r>
        <w:rPr>
          <w:color w:val="000000"/>
        </w:rPr>
        <w:t xml:space="preserve"> </w:t>
      </w:r>
      <w:r>
        <w:rPr>
          <w:b/>
          <w:color w:val="000000"/>
        </w:rPr>
        <w:t xml:space="preserve">obligații, cerințe sau interdicții suplimentare în desfășurarea activității economice să </w:t>
      </w:r>
      <w:r>
        <w:rPr>
          <w:b/>
        </w:rPr>
        <w:t>între</w:t>
      </w:r>
      <w:r>
        <w:rPr>
          <w:b/>
          <w:color w:val="000000"/>
        </w:rPr>
        <w:t xml:space="preserve"> în vigoare nu mai devreme de 6 luni de la data publicării</w:t>
      </w:r>
      <w:r>
        <w:rPr>
          <w:color w:val="000000"/>
        </w:rPr>
        <w:t>, așa cum în prezent este prevăzut și pentru legile din domeniul fiscal și vamal. Această propunere vine să faciliteze conformarea și adaptarea mediului de afaceri la schimbările constante ale cadrului legislativ, luând în considerație că foarte multe proiecte sunt promovate în termeni restrânși și nu sunt totdeauna consultate suficient.  </w:t>
      </w:r>
    </w:p>
    <w:p w14:paraId="0000001D" w14:textId="77777777" w:rsidR="00D9084C" w:rsidRDefault="00D9084C">
      <w:pPr>
        <w:spacing w:before="120" w:after="0" w:line="240" w:lineRule="auto"/>
        <w:jc w:val="both"/>
        <w:rPr>
          <w:b/>
        </w:rPr>
      </w:pPr>
    </w:p>
    <w:p w14:paraId="0000001E" w14:textId="77777777" w:rsidR="00D9084C" w:rsidRDefault="00000000">
      <w:pPr>
        <w:spacing w:before="120" w:after="0" w:line="240" w:lineRule="auto"/>
        <w:jc w:val="both"/>
        <w:rPr>
          <w:b/>
        </w:rPr>
      </w:pPr>
      <w:r>
        <w:rPr>
          <w:b/>
        </w:rPr>
        <w:t>Domeniul - turism rural</w:t>
      </w:r>
    </w:p>
    <w:p w14:paraId="0000001F" w14:textId="77777777" w:rsidR="00D9084C" w:rsidRDefault="00000000">
      <w:pPr>
        <w:numPr>
          <w:ilvl w:val="0"/>
          <w:numId w:val="1"/>
        </w:numPr>
        <w:pBdr>
          <w:top w:val="nil"/>
          <w:left w:val="nil"/>
          <w:bottom w:val="nil"/>
          <w:right w:val="nil"/>
          <w:between w:val="nil"/>
        </w:pBdr>
        <w:spacing w:after="120" w:line="240" w:lineRule="auto"/>
        <w:ind w:left="57"/>
        <w:jc w:val="both"/>
      </w:pPr>
      <w:r>
        <w:rPr>
          <w:b/>
        </w:rPr>
        <w:t xml:space="preserve">Eliminarea unor cerințe nejustificate care limitează activitatea caselor rurale în ceea ce ține de numărul de camere </w:t>
      </w:r>
      <w:proofErr w:type="spellStart"/>
      <w:r>
        <w:rPr>
          <w:b/>
        </w:rPr>
        <w:t>şi</w:t>
      </w:r>
      <w:proofErr w:type="spellEnd"/>
      <w:r>
        <w:rPr>
          <w:b/>
        </w:rPr>
        <w:t xml:space="preserve"> </w:t>
      </w:r>
      <w:proofErr w:type="spellStart"/>
      <w:r>
        <w:rPr>
          <w:b/>
        </w:rPr>
        <w:t>turişti</w:t>
      </w:r>
      <w:proofErr w:type="spellEnd"/>
      <w:r>
        <w:rPr>
          <w:b/>
        </w:rPr>
        <w:t xml:space="preserve">, precum </w:t>
      </w:r>
      <w:proofErr w:type="spellStart"/>
      <w:r>
        <w:rPr>
          <w:b/>
        </w:rPr>
        <w:t>şi</w:t>
      </w:r>
      <w:proofErr w:type="spellEnd"/>
      <w:r>
        <w:rPr>
          <w:b/>
        </w:rPr>
        <w:t xml:space="preserve"> sortimentul produselor utilizate în alimentarea turiștilor</w:t>
      </w:r>
      <w:r>
        <w:t xml:space="preserve">. Astăzi legea prevede că </w:t>
      </w:r>
      <w:proofErr w:type="spellStart"/>
      <w:r>
        <w:t>alimentaţia</w:t>
      </w:r>
      <w:proofErr w:type="spellEnd"/>
      <w:r>
        <w:t xml:space="preserve"> </w:t>
      </w:r>
      <w:proofErr w:type="spellStart"/>
      <w:r>
        <w:t>turiştilor</w:t>
      </w:r>
      <w:proofErr w:type="spellEnd"/>
      <w:r>
        <w:t xml:space="preserve"> la casa rurală se asigură doar cu produse din </w:t>
      </w:r>
      <w:proofErr w:type="spellStart"/>
      <w:r>
        <w:t>producţia</w:t>
      </w:r>
      <w:proofErr w:type="spellEnd"/>
      <w:r>
        <w:t xml:space="preserve"> proprie sau cu produse crescute în gospodăriile din localitate ori din </w:t>
      </w:r>
      <w:proofErr w:type="spellStart"/>
      <w:r>
        <w:t>localităţile</w:t>
      </w:r>
      <w:proofErr w:type="spellEnd"/>
      <w:r>
        <w:t xml:space="preserve"> din preajmă.</w:t>
      </w:r>
    </w:p>
    <w:p w14:paraId="00000020" w14:textId="77777777" w:rsidR="00D9084C" w:rsidRDefault="00D9084C">
      <w:pPr>
        <w:pBdr>
          <w:top w:val="nil"/>
          <w:left w:val="nil"/>
          <w:bottom w:val="nil"/>
          <w:right w:val="nil"/>
          <w:between w:val="nil"/>
        </w:pBdr>
        <w:spacing w:after="120" w:line="240" w:lineRule="auto"/>
        <w:jc w:val="both"/>
      </w:pPr>
    </w:p>
    <w:p w14:paraId="00000021" w14:textId="77777777" w:rsidR="00D9084C" w:rsidRDefault="00000000">
      <w:pPr>
        <w:spacing w:before="120" w:after="0" w:line="240" w:lineRule="auto"/>
        <w:jc w:val="both"/>
        <w:rPr>
          <w:b/>
        </w:rPr>
      </w:pPr>
      <w:r>
        <w:rPr>
          <w:b/>
        </w:rPr>
        <w:t>Domeniul - instruirea Igienică și în domeniul Sănătății și Securității în Muncă</w:t>
      </w:r>
    </w:p>
    <w:p w14:paraId="00000022" w14:textId="77777777" w:rsidR="00D9084C" w:rsidRDefault="00000000">
      <w:pPr>
        <w:numPr>
          <w:ilvl w:val="0"/>
          <w:numId w:val="1"/>
        </w:numPr>
        <w:pBdr>
          <w:top w:val="nil"/>
          <w:left w:val="nil"/>
          <w:bottom w:val="nil"/>
          <w:right w:val="nil"/>
          <w:between w:val="nil"/>
        </w:pBdr>
        <w:spacing w:after="120" w:line="240" w:lineRule="auto"/>
        <w:ind w:left="57"/>
        <w:jc w:val="both"/>
      </w:pPr>
      <w:r>
        <w:rPr>
          <w:b/>
          <w:color w:val="000000"/>
        </w:rPr>
        <w:t>Instituirea posibilității de organi</w:t>
      </w:r>
      <w:r>
        <w:rPr>
          <w:b/>
        </w:rPr>
        <w:t>zare a</w:t>
      </w:r>
      <w:r>
        <w:rPr>
          <w:b/>
          <w:color w:val="000000"/>
        </w:rPr>
        <w:t xml:space="preserve"> </w:t>
      </w:r>
      <w:r>
        <w:rPr>
          <w:b/>
        </w:rPr>
        <w:t>instruirii</w:t>
      </w:r>
      <w:r>
        <w:rPr>
          <w:b/>
          <w:color w:val="000000"/>
        </w:rPr>
        <w:t xml:space="preserve"> igienice în format online și </w:t>
      </w:r>
      <w:r>
        <w:rPr>
          <w:b/>
        </w:rPr>
        <w:t>cu</w:t>
      </w:r>
      <w:r>
        <w:rPr>
          <w:b/>
          <w:color w:val="000000"/>
        </w:rPr>
        <w:t xml:space="preserve"> titlu gratuit.</w:t>
      </w:r>
    </w:p>
    <w:p w14:paraId="00000023" w14:textId="77777777" w:rsidR="00D9084C" w:rsidRDefault="00000000">
      <w:pPr>
        <w:numPr>
          <w:ilvl w:val="0"/>
          <w:numId w:val="1"/>
        </w:numPr>
        <w:pBdr>
          <w:top w:val="nil"/>
          <w:left w:val="nil"/>
          <w:bottom w:val="nil"/>
          <w:right w:val="nil"/>
          <w:between w:val="nil"/>
        </w:pBdr>
        <w:spacing w:after="120" w:line="240" w:lineRule="auto"/>
        <w:ind w:left="57"/>
        <w:jc w:val="both"/>
      </w:pPr>
      <w:r>
        <w:rPr>
          <w:b/>
          <w:color w:val="000000"/>
        </w:rPr>
        <w:t xml:space="preserve">Eliminarea obligativității instruirii repetate/periodice a conducătorilor de unități și lucrătorilor desemnați la instruirea în domeniul </w:t>
      </w:r>
      <w:r>
        <w:rPr>
          <w:b/>
        </w:rPr>
        <w:t>Sănătății și Securității în Muncă</w:t>
      </w:r>
      <w:r>
        <w:rPr>
          <w:color w:val="000000"/>
        </w:rPr>
        <w:t xml:space="preserve">, care are loc o dată la 3 ani, cu înlocuirea valabilității unei astfel de instruiri pe viață (similar instruirii </w:t>
      </w:r>
      <w:r>
        <w:t>conducătorilor</w:t>
      </w:r>
      <w:r>
        <w:rPr>
          <w:color w:val="000000"/>
        </w:rPr>
        <w:t xml:space="preserve"> mijloacelor de transport auto)</w:t>
      </w:r>
    </w:p>
    <w:p w14:paraId="00000024" w14:textId="77777777" w:rsidR="00D9084C" w:rsidRDefault="00D9084C">
      <w:pPr>
        <w:pBdr>
          <w:top w:val="nil"/>
          <w:left w:val="nil"/>
          <w:bottom w:val="nil"/>
          <w:right w:val="nil"/>
          <w:between w:val="nil"/>
        </w:pBdr>
        <w:spacing w:after="120" w:line="240" w:lineRule="auto"/>
        <w:jc w:val="both"/>
      </w:pPr>
    </w:p>
    <w:p w14:paraId="00000025" w14:textId="77777777" w:rsidR="00D9084C" w:rsidRDefault="00000000">
      <w:pPr>
        <w:spacing w:before="120" w:after="0" w:line="240" w:lineRule="auto"/>
        <w:jc w:val="both"/>
        <w:rPr>
          <w:b/>
          <w:color w:val="000000"/>
        </w:rPr>
      </w:pPr>
      <w:r>
        <w:rPr>
          <w:b/>
          <w:color w:val="000000"/>
        </w:rPr>
        <w:t>Domeniul - transport</w:t>
      </w:r>
      <w:r>
        <w:rPr>
          <w:b/>
        </w:rPr>
        <w:t xml:space="preserve"> rutier</w:t>
      </w:r>
    </w:p>
    <w:p w14:paraId="00000026" w14:textId="77777777" w:rsidR="00D9084C" w:rsidRDefault="00000000">
      <w:pPr>
        <w:numPr>
          <w:ilvl w:val="0"/>
          <w:numId w:val="1"/>
        </w:numPr>
        <w:pBdr>
          <w:top w:val="nil"/>
          <w:left w:val="nil"/>
          <w:bottom w:val="nil"/>
          <w:right w:val="nil"/>
          <w:between w:val="nil"/>
        </w:pBdr>
        <w:spacing w:after="120" w:line="240" w:lineRule="auto"/>
        <w:ind w:left="57"/>
        <w:jc w:val="both"/>
      </w:pPr>
      <w:r>
        <w:rPr>
          <w:b/>
          <w:color w:val="000000"/>
        </w:rPr>
        <w:t>Eliminarea termenului de valabilitate pentru foile de parcurs</w:t>
      </w:r>
      <w:r>
        <w:rPr>
          <w:color w:val="000000"/>
        </w:rPr>
        <w:t xml:space="preserve"> prin modificarea </w:t>
      </w:r>
      <w:r>
        <w:t xml:space="preserve">Codului </w:t>
      </w:r>
      <w:r>
        <w:rPr>
          <w:color w:val="000000"/>
        </w:rPr>
        <w:t>T</w:t>
      </w:r>
      <w:r>
        <w:t xml:space="preserve">ransporturilor </w:t>
      </w:r>
      <w:r>
        <w:rPr>
          <w:color w:val="000000"/>
        </w:rPr>
        <w:t>Ruti</w:t>
      </w:r>
      <w:r>
        <w:t>ere</w:t>
      </w:r>
      <w:r>
        <w:rPr>
          <w:color w:val="000000"/>
        </w:rPr>
        <w:t xml:space="preserve">, fiind excluse costuri </w:t>
      </w:r>
      <w:r>
        <w:t>nejustificate</w:t>
      </w:r>
      <w:r>
        <w:rPr>
          <w:color w:val="000000"/>
        </w:rPr>
        <w:t xml:space="preserve"> pentru agenții economici</w:t>
      </w:r>
    </w:p>
    <w:p w14:paraId="00000027" w14:textId="77777777" w:rsidR="00D9084C" w:rsidRDefault="00D9084C">
      <w:pPr>
        <w:pBdr>
          <w:top w:val="nil"/>
          <w:left w:val="nil"/>
          <w:bottom w:val="nil"/>
          <w:right w:val="nil"/>
          <w:between w:val="nil"/>
        </w:pBdr>
        <w:spacing w:after="120" w:line="240" w:lineRule="auto"/>
        <w:jc w:val="both"/>
      </w:pPr>
    </w:p>
    <w:p w14:paraId="00000028" w14:textId="77777777" w:rsidR="00D9084C" w:rsidRDefault="00000000">
      <w:pPr>
        <w:spacing w:after="120" w:line="240" w:lineRule="auto"/>
        <w:jc w:val="both"/>
        <w:rPr>
          <w:b/>
          <w:color w:val="000000"/>
        </w:rPr>
      </w:pPr>
      <w:r>
        <w:rPr>
          <w:b/>
          <w:color w:val="000000"/>
        </w:rPr>
        <w:t>Domeniul - certificarea cheii publice</w:t>
      </w:r>
    </w:p>
    <w:p w14:paraId="00000029" w14:textId="77777777" w:rsidR="00D9084C" w:rsidRDefault="00000000">
      <w:pPr>
        <w:numPr>
          <w:ilvl w:val="0"/>
          <w:numId w:val="1"/>
        </w:numPr>
        <w:pBdr>
          <w:top w:val="nil"/>
          <w:left w:val="nil"/>
          <w:bottom w:val="nil"/>
          <w:right w:val="nil"/>
          <w:between w:val="nil"/>
        </w:pBdr>
        <w:spacing w:after="120" w:line="240" w:lineRule="auto"/>
        <w:ind w:left="57"/>
        <w:jc w:val="both"/>
      </w:pPr>
      <w:r>
        <w:rPr>
          <w:b/>
        </w:rPr>
        <w:t>Introducerea posibilității de obținere a semnăturii</w:t>
      </w:r>
      <w:r>
        <w:rPr>
          <w:b/>
          <w:color w:val="000000"/>
        </w:rPr>
        <w:t xml:space="preserve"> electronice la distanță</w:t>
      </w:r>
      <w:r>
        <w:rPr>
          <w:color w:val="000000"/>
        </w:rPr>
        <w:t xml:space="preserve">, </w:t>
      </w:r>
      <w:r>
        <w:t>prin imagini video, înregistrate de către solicitant prin intermediul serviciu de identificare a persoanei la distanță care utilizează mijloace de verificare cu operator uman.</w:t>
      </w:r>
    </w:p>
    <w:p w14:paraId="0000002A" w14:textId="77777777" w:rsidR="00D9084C" w:rsidRDefault="00D9084C">
      <w:pPr>
        <w:spacing w:after="120" w:line="240" w:lineRule="auto"/>
        <w:jc w:val="both"/>
      </w:pPr>
    </w:p>
    <w:p w14:paraId="0000002B" w14:textId="77777777" w:rsidR="00D9084C" w:rsidRDefault="00D9084C">
      <w:pPr>
        <w:spacing w:after="120" w:line="240" w:lineRule="auto"/>
        <w:jc w:val="both"/>
      </w:pPr>
    </w:p>
    <w:sectPr w:rsidR="00D9084C">
      <w:headerReference w:type="default" r:id="rId8"/>
      <w:pgSz w:w="12240" w:h="15840"/>
      <w:pgMar w:top="709" w:right="1005"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B4EB1" w14:textId="77777777" w:rsidR="00D73B1E" w:rsidRDefault="00D73B1E">
      <w:pPr>
        <w:spacing w:after="0" w:line="240" w:lineRule="auto"/>
      </w:pPr>
      <w:r>
        <w:separator/>
      </w:r>
    </w:p>
  </w:endnote>
  <w:endnote w:type="continuationSeparator" w:id="0">
    <w:p w14:paraId="3F3D17A7" w14:textId="77777777" w:rsidR="00D73B1E" w:rsidRDefault="00D73B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005A2" w14:textId="77777777" w:rsidR="00D73B1E" w:rsidRDefault="00D73B1E">
      <w:pPr>
        <w:spacing w:after="0" w:line="240" w:lineRule="auto"/>
      </w:pPr>
      <w:r>
        <w:separator/>
      </w:r>
    </w:p>
  </w:footnote>
  <w:footnote w:type="continuationSeparator" w:id="0">
    <w:p w14:paraId="5F2E434A" w14:textId="77777777" w:rsidR="00D73B1E" w:rsidRDefault="00D73B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ADCF59B" w:rsidR="00D9084C" w:rsidRDefault="00000000">
    <w:pPr>
      <w:jc w:val="right"/>
    </w:pPr>
    <w:r>
      <w:fldChar w:fldCharType="begin"/>
    </w:r>
    <w:r>
      <w:instrText>PAGE</w:instrText>
    </w:r>
    <w:r>
      <w:fldChar w:fldCharType="separate"/>
    </w:r>
    <w:r w:rsidR="00F35B2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8100B8"/>
    <w:multiLevelType w:val="multilevel"/>
    <w:tmpl w:val="76424094"/>
    <w:lvl w:ilvl="0">
      <w:start w:val="1"/>
      <w:numFmt w:val="decimal"/>
      <w:lvlText w:val="%1."/>
      <w:lvlJc w:val="left"/>
      <w:pPr>
        <w:ind w:left="720" w:hanging="360"/>
      </w:pPr>
      <w:rPr>
        <w:rFonts w:ascii="Noto Sans Symbols" w:eastAsia="Noto Sans Symbols" w:hAnsi="Noto Sans Symbols" w:cs="Noto Sans Symbols"/>
        <w:sz w:val="20"/>
        <w:szCs w:val="20"/>
      </w:rPr>
    </w:lvl>
    <w:lvl w:ilvl="1">
      <w:start w:val="1"/>
      <w:numFmt w:val="lowerLetter"/>
      <w:lvlText w:val="%2."/>
      <w:lvlJc w:val="left"/>
      <w:pPr>
        <w:ind w:left="1440" w:hanging="360"/>
      </w:pPr>
      <w:rPr>
        <w:rFonts w:ascii="Courier New" w:eastAsia="Courier New" w:hAnsi="Courier New" w:cs="Courier New"/>
        <w:sz w:val="20"/>
        <w:szCs w:val="20"/>
      </w:rPr>
    </w:lvl>
    <w:lvl w:ilvl="2">
      <w:start w:val="1"/>
      <w:numFmt w:val="lowerRoman"/>
      <w:lvlText w:val="%3."/>
      <w:lvlJc w:val="righ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rPr>
        <w:rFonts w:ascii="Noto Sans Symbols" w:eastAsia="Noto Sans Symbols" w:hAnsi="Noto Sans Symbols" w:cs="Noto Sans Symbols"/>
        <w:sz w:val="20"/>
        <w:szCs w:val="20"/>
      </w:rPr>
    </w:lvl>
    <w:lvl w:ilvl="4">
      <w:start w:val="1"/>
      <w:numFmt w:val="lowerLetter"/>
      <w:lvlText w:val="%5."/>
      <w:lvlJc w:val="left"/>
      <w:pPr>
        <w:ind w:left="3600" w:hanging="360"/>
      </w:pPr>
      <w:rPr>
        <w:rFonts w:ascii="Noto Sans Symbols" w:eastAsia="Noto Sans Symbols" w:hAnsi="Noto Sans Symbols" w:cs="Noto Sans Symbols"/>
        <w:sz w:val="20"/>
        <w:szCs w:val="20"/>
      </w:rPr>
    </w:lvl>
    <w:lvl w:ilvl="5">
      <w:start w:val="1"/>
      <w:numFmt w:val="lowerRoman"/>
      <w:lvlText w:val="%6."/>
      <w:lvlJc w:val="right"/>
      <w:pPr>
        <w:ind w:left="4320" w:hanging="360"/>
      </w:pPr>
      <w:rPr>
        <w:rFonts w:ascii="Noto Sans Symbols" w:eastAsia="Noto Sans Symbols" w:hAnsi="Noto Sans Symbols" w:cs="Noto Sans Symbols"/>
        <w:sz w:val="20"/>
        <w:szCs w:val="20"/>
      </w:rPr>
    </w:lvl>
    <w:lvl w:ilvl="6">
      <w:start w:val="1"/>
      <w:numFmt w:val="decimal"/>
      <w:lvlText w:val="%7."/>
      <w:lvlJc w:val="left"/>
      <w:pPr>
        <w:ind w:left="5040" w:hanging="360"/>
      </w:pPr>
      <w:rPr>
        <w:rFonts w:ascii="Noto Sans Symbols" w:eastAsia="Noto Sans Symbols" w:hAnsi="Noto Sans Symbols" w:cs="Noto Sans Symbols"/>
        <w:sz w:val="20"/>
        <w:szCs w:val="20"/>
      </w:rPr>
    </w:lvl>
    <w:lvl w:ilvl="7">
      <w:start w:val="1"/>
      <w:numFmt w:val="lowerLetter"/>
      <w:lvlText w:val="%8."/>
      <w:lvlJc w:val="left"/>
      <w:pPr>
        <w:ind w:left="5760" w:hanging="360"/>
      </w:pPr>
      <w:rPr>
        <w:rFonts w:ascii="Noto Sans Symbols" w:eastAsia="Noto Sans Symbols" w:hAnsi="Noto Sans Symbols" w:cs="Noto Sans Symbols"/>
        <w:sz w:val="20"/>
        <w:szCs w:val="20"/>
      </w:rPr>
    </w:lvl>
    <w:lvl w:ilvl="8">
      <w:start w:val="1"/>
      <w:numFmt w:val="lowerRoman"/>
      <w:lvlText w:val="%9."/>
      <w:lvlJc w:val="right"/>
      <w:pPr>
        <w:ind w:left="6480" w:hanging="360"/>
      </w:pPr>
      <w:rPr>
        <w:rFonts w:ascii="Noto Sans Symbols" w:eastAsia="Noto Sans Symbols" w:hAnsi="Noto Sans Symbols" w:cs="Noto Sans Symbols"/>
        <w:sz w:val="20"/>
        <w:szCs w:val="20"/>
      </w:rPr>
    </w:lvl>
  </w:abstractNum>
  <w:num w:numId="1" w16cid:durableId="1691081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84C"/>
    <w:rsid w:val="00851A43"/>
    <w:rsid w:val="00D73B1E"/>
    <w:rsid w:val="00D9084C"/>
    <w:rsid w:val="00E043E3"/>
    <w:rsid w:val="00F35B2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578CE"/>
  <w15:docId w15:val="{4923AD17-7FC0-4211-8B20-872EB263B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884ED1"/>
    <w:rPr>
      <w:color w:val="0563C1" w:themeColor="hyperlink"/>
      <w:u w:val="single"/>
    </w:rPr>
  </w:style>
  <w:style w:type="character" w:customStyle="1" w:styleId="UnresolvedMention1">
    <w:name w:val="Unresolved Mention1"/>
    <w:basedOn w:val="DefaultParagraphFont"/>
    <w:uiPriority w:val="99"/>
    <w:semiHidden/>
    <w:unhideWhenUsed/>
    <w:rsid w:val="00884ED1"/>
    <w:rPr>
      <w:color w:val="605E5C"/>
      <w:shd w:val="clear" w:color="auto" w:fill="E1DFDD"/>
    </w:rPr>
  </w:style>
  <w:style w:type="paragraph" w:styleId="ListParagraph">
    <w:name w:val="List Paragraph"/>
    <w:basedOn w:val="Normal"/>
    <w:uiPriority w:val="34"/>
    <w:qFormat/>
    <w:rsid w:val="00EF364E"/>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hj0uRxwgsgh2H35Eyn/SInFyCvw==">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1374</Words>
  <Characters>7834</Characters>
  <Application>Microsoft Office Word</Application>
  <DocSecurity>0</DocSecurity>
  <Lines>65</Lines>
  <Paragraphs>18</Paragraphs>
  <ScaleCrop>false</ScaleCrop>
  <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 Ermurachi</dc:creator>
  <cp:lastModifiedBy>Roman Ladus</cp:lastModifiedBy>
  <cp:revision>3</cp:revision>
  <dcterms:created xsi:type="dcterms:W3CDTF">2023-08-14T07:17:00Z</dcterms:created>
  <dcterms:modified xsi:type="dcterms:W3CDTF">2023-08-14T07:50:00Z</dcterms:modified>
</cp:coreProperties>
</file>