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2C2D2" w14:textId="77777777" w:rsidR="001977F9" w:rsidRDefault="00000000">
      <w:pPr>
        <w:jc w:val="center"/>
        <w:rPr>
          <w:b/>
        </w:rPr>
      </w:pPr>
      <w:r>
        <w:rPr>
          <w:b/>
        </w:rPr>
        <w:t>Descrierea problemelor și identificarea soluțiilor în privința modului de desfășurare a afacerii și interacțiunea cu autoritățile publice</w:t>
      </w:r>
    </w:p>
    <w:p w14:paraId="3168C9E2" w14:textId="77777777" w:rsidR="001977F9" w:rsidRDefault="00000000">
      <w:pPr>
        <w:shd w:val="clear" w:color="auto" w:fill="FFFFFF"/>
        <w:spacing w:after="0" w:line="240" w:lineRule="auto"/>
        <w:jc w:val="center"/>
      </w:pPr>
      <w:r>
        <w:t>(</w:t>
      </w:r>
      <w:r>
        <w:rPr>
          <w:i/>
        </w:rPr>
        <w:t>facilitarea activității mediului de afaceri / pachetul dereglementare 5</w:t>
      </w:r>
      <w:r>
        <w:t>)</w:t>
      </w:r>
    </w:p>
    <w:p w14:paraId="1C15A38B" w14:textId="77777777" w:rsidR="001977F9" w:rsidRDefault="001977F9">
      <w:pPr>
        <w:spacing w:after="120" w:line="240" w:lineRule="auto"/>
        <w:jc w:val="both"/>
        <w:rPr>
          <w:b/>
        </w:rPr>
      </w:pPr>
    </w:p>
    <w:p w14:paraId="052FC711" w14:textId="44C835E8" w:rsidR="001977F9" w:rsidRDefault="00000000">
      <w:pPr>
        <w:spacing w:after="120" w:line="240" w:lineRule="auto"/>
        <w:jc w:val="both"/>
        <w:rPr>
          <w:b/>
        </w:rPr>
      </w:pPr>
      <w:r>
        <w:rPr>
          <w:b/>
        </w:rPr>
        <w:t>Data: 1</w:t>
      </w:r>
      <w:r w:rsidR="0060147F">
        <w:rPr>
          <w:b/>
        </w:rPr>
        <w:t>4</w:t>
      </w:r>
      <w:r>
        <w:rPr>
          <w:b/>
        </w:rPr>
        <w:t>.08.2023</w:t>
      </w:r>
    </w:p>
    <w:p w14:paraId="14F49A2A" w14:textId="77777777" w:rsidR="001977F9" w:rsidRDefault="001977F9">
      <w:pPr>
        <w:rPr>
          <w:b/>
        </w:rPr>
      </w:pPr>
    </w:p>
    <w:tbl>
      <w:tblPr>
        <w:tblStyle w:val="a1"/>
        <w:tblW w:w="1429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9"/>
        <w:gridCol w:w="4283"/>
        <w:gridCol w:w="1422"/>
        <w:gridCol w:w="4776"/>
        <w:gridCol w:w="33"/>
        <w:gridCol w:w="3228"/>
        <w:gridCol w:w="22"/>
      </w:tblGrid>
      <w:tr w:rsidR="001977F9" w14:paraId="0AE6A288" w14:textId="77777777">
        <w:trPr>
          <w:tblHeader/>
        </w:trPr>
        <w:tc>
          <w:tcPr>
            <w:tcW w:w="529" w:type="dxa"/>
            <w:shd w:val="clear" w:color="auto" w:fill="auto"/>
          </w:tcPr>
          <w:p w14:paraId="06CAFF93" w14:textId="77777777" w:rsidR="001977F9" w:rsidRDefault="00000000">
            <w:pPr>
              <w:jc w:val="center"/>
              <w:rPr>
                <w:b/>
              </w:rPr>
            </w:pPr>
            <w:r>
              <w:rPr>
                <w:b/>
              </w:rPr>
              <w:t>Nr.</w:t>
            </w:r>
          </w:p>
        </w:tc>
        <w:tc>
          <w:tcPr>
            <w:tcW w:w="4283" w:type="dxa"/>
            <w:shd w:val="clear" w:color="auto" w:fill="auto"/>
          </w:tcPr>
          <w:p w14:paraId="34BB545D" w14:textId="77777777" w:rsidR="001977F9" w:rsidRDefault="00000000">
            <w:pPr>
              <w:jc w:val="center"/>
              <w:rPr>
                <w:b/>
              </w:rPr>
            </w:pPr>
            <w:r>
              <w:rPr>
                <w:b/>
              </w:rPr>
              <w:t>Problema/propunerea înaintată de mediul de afaceri</w:t>
            </w:r>
          </w:p>
        </w:tc>
        <w:tc>
          <w:tcPr>
            <w:tcW w:w="1422" w:type="dxa"/>
            <w:shd w:val="clear" w:color="auto" w:fill="auto"/>
          </w:tcPr>
          <w:p w14:paraId="11A042D6" w14:textId="77777777" w:rsidR="001977F9" w:rsidRDefault="00000000">
            <w:pPr>
              <w:jc w:val="center"/>
              <w:rPr>
                <w:b/>
              </w:rPr>
            </w:pPr>
            <w:r>
              <w:rPr>
                <w:b/>
              </w:rPr>
              <w:t>Autorul</w:t>
            </w:r>
          </w:p>
        </w:tc>
        <w:tc>
          <w:tcPr>
            <w:tcW w:w="4809" w:type="dxa"/>
            <w:gridSpan w:val="2"/>
            <w:shd w:val="clear" w:color="auto" w:fill="auto"/>
          </w:tcPr>
          <w:p w14:paraId="4C30D76B" w14:textId="77777777" w:rsidR="001977F9" w:rsidRDefault="00000000">
            <w:pPr>
              <w:jc w:val="center"/>
              <w:rPr>
                <w:b/>
              </w:rPr>
            </w:pPr>
            <w:r>
              <w:rPr>
                <w:b/>
              </w:rPr>
              <w:t>Soluția, Modificări în legislație</w:t>
            </w:r>
          </w:p>
        </w:tc>
        <w:tc>
          <w:tcPr>
            <w:tcW w:w="3250" w:type="dxa"/>
            <w:gridSpan w:val="2"/>
            <w:shd w:val="clear" w:color="auto" w:fill="auto"/>
          </w:tcPr>
          <w:p w14:paraId="08C50F3F" w14:textId="77777777" w:rsidR="001977F9" w:rsidRDefault="00000000">
            <w:pPr>
              <w:jc w:val="center"/>
              <w:rPr>
                <w:b/>
              </w:rPr>
            </w:pPr>
            <w:r>
              <w:rPr>
                <w:b/>
              </w:rPr>
              <w:t>Impactul/rezultatul scontat</w:t>
            </w:r>
          </w:p>
        </w:tc>
      </w:tr>
      <w:tr w:rsidR="001977F9" w14:paraId="10FFAF9B" w14:textId="77777777">
        <w:trPr>
          <w:gridAfter w:val="1"/>
          <w:wAfter w:w="22" w:type="dxa"/>
        </w:trPr>
        <w:tc>
          <w:tcPr>
            <w:tcW w:w="14271" w:type="dxa"/>
            <w:gridSpan w:val="6"/>
          </w:tcPr>
          <w:p w14:paraId="4CF5E930" w14:textId="77777777" w:rsidR="001977F9" w:rsidRDefault="00000000">
            <w:pPr>
              <w:jc w:val="center"/>
              <w:rPr>
                <w:b/>
              </w:rPr>
            </w:pPr>
            <w:r>
              <w:rPr>
                <w:b/>
              </w:rPr>
              <w:t>Domeniul Protecția Mediului</w:t>
            </w:r>
          </w:p>
        </w:tc>
      </w:tr>
      <w:tr w:rsidR="001977F9" w14:paraId="5A33065B" w14:textId="77777777">
        <w:trPr>
          <w:gridAfter w:val="1"/>
          <w:wAfter w:w="22" w:type="dxa"/>
        </w:trPr>
        <w:tc>
          <w:tcPr>
            <w:tcW w:w="529" w:type="dxa"/>
          </w:tcPr>
          <w:p w14:paraId="3C0086A1" w14:textId="77777777" w:rsidR="001977F9" w:rsidRDefault="001977F9">
            <w:pPr>
              <w:jc w:val="both"/>
            </w:pPr>
          </w:p>
          <w:p w14:paraId="7B39A69A" w14:textId="77777777" w:rsidR="001977F9" w:rsidRDefault="00000000">
            <w:pPr>
              <w:jc w:val="both"/>
            </w:pPr>
            <w:r>
              <w:t>1.</w:t>
            </w:r>
          </w:p>
        </w:tc>
        <w:tc>
          <w:tcPr>
            <w:tcW w:w="4283" w:type="dxa"/>
          </w:tcPr>
          <w:p w14:paraId="6DB95329" w14:textId="77777777" w:rsidR="001977F9" w:rsidRDefault="00000000">
            <w:pPr>
              <w:jc w:val="both"/>
            </w:pPr>
            <w:r>
              <w:t>Conform Anexei nr. 7 la Hotărârea Guvernului 212/2018 pentru aprobarea Regulamentului privind deșeurile de echipamente electrice și electronice, raportarea deșeurilor se face conform codului stabilit în Anexa 1 a Hotărârii 212/2018 (cod vamal), iar conform Hotărârii Guvernului nr. 501/2018 pentru aprobarea Instrucțiunii cu privire la ținerea evidenței și transmiterea datelor și informațiilor despre deșeuri și gestionarea acestora, conform codului stabilit de Hotărârea Guvernului nr. 99/20018 (cod deșeu). Astfel, se atestă o dublare în reglementarea raportării.</w:t>
            </w:r>
          </w:p>
        </w:tc>
        <w:tc>
          <w:tcPr>
            <w:tcW w:w="1422" w:type="dxa"/>
          </w:tcPr>
          <w:p w14:paraId="79B8376A" w14:textId="77777777" w:rsidR="001977F9" w:rsidRDefault="00000000">
            <w:pPr>
              <w:jc w:val="center"/>
            </w:pPr>
            <w:r>
              <w:t>FIA</w:t>
            </w:r>
          </w:p>
        </w:tc>
        <w:tc>
          <w:tcPr>
            <w:tcW w:w="4809" w:type="dxa"/>
            <w:gridSpan w:val="2"/>
          </w:tcPr>
          <w:p w14:paraId="2B32D086" w14:textId="77777777" w:rsidR="001977F9" w:rsidRDefault="00000000">
            <w:pPr>
              <w:jc w:val="both"/>
            </w:pPr>
            <w:r>
              <w:t>Soluția propusă este aplicarea unui singur cod în cazul raportării aceluiași deșeu în două rapoarte</w:t>
            </w:r>
          </w:p>
          <w:p w14:paraId="577677A0" w14:textId="77777777" w:rsidR="001977F9" w:rsidRDefault="001977F9">
            <w:pPr>
              <w:jc w:val="both"/>
            </w:pPr>
            <w:bookmarkStart w:id="0" w:name="_heading=h.1fob9te" w:colFirst="0" w:colLast="0"/>
            <w:bookmarkEnd w:id="0"/>
          </w:p>
        </w:tc>
        <w:tc>
          <w:tcPr>
            <w:tcW w:w="3228" w:type="dxa"/>
          </w:tcPr>
          <w:p w14:paraId="76D811E2" w14:textId="77777777" w:rsidR="001977F9" w:rsidRDefault="00000000">
            <w:pPr>
              <w:jc w:val="both"/>
            </w:pPr>
            <w:r>
              <w:t>Excluderea incertitudinilor la raportare și evitarea reflectării informațiilor diferite în cazul deșeurilor de echipamente electrice și electronice.</w:t>
            </w:r>
          </w:p>
        </w:tc>
      </w:tr>
      <w:tr w:rsidR="001977F9" w14:paraId="5E4E9634" w14:textId="77777777">
        <w:tc>
          <w:tcPr>
            <w:tcW w:w="14293" w:type="dxa"/>
            <w:gridSpan w:val="7"/>
          </w:tcPr>
          <w:p w14:paraId="7287C99E" w14:textId="77777777" w:rsidR="001977F9" w:rsidRDefault="00000000">
            <w:pPr>
              <w:jc w:val="center"/>
              <w:rPr>
                <w:b/>
              </w:rPr>
            </w:pPr>
            <w:r>
              <w:rPr>
                <w:b/>
              </w:rPr>
              <w:t>Domeniul Siguranța Alimentelor</w:t>
            </w:r>
          </w:p>
        </w:tc>
      </w:tr>
      <w:tr w:rsidR="001977F9" w14:paraId="56DDA944" w14:textId="77777777">
        <w:tc>
          <w:tcPr>
            <w:tcW w:w="529" w:type="dxa"/>
          </w:tcPr>
          <w:p w14:paraId="07E520A3" w14:textId="77777777" w:rsidR="001977F9" w:rsidRDefault="001977F9">
            <w:pPr>
              <w:jc w:val="both"/>
            </w:pPr>
          </w:p>
          <w:p w14:paraId="7C21B539" w14:textId="77777777" w:rsidR="001977F9" w:rsidRDefault="00000000">
            <w:pPr>
              <w:jc w:val="both"/>
            </w:pPr>
            <w:r>
              <w:t>2.</w:t>
            </w:r>
          </w:p>
        </w:tc>
        <w:tc>
          <w:tcPr>
            <w:tcW w:w="4283" w:type="dxa"/>
          </w:tcPr>
          <w:p w14:paraId="34324BC3" w14:textId="77777777" w:rsidR="001977F9" w:rsidRDefault="00000000">
            <w:pPr>
              <w:jc w:val="both"/>
            </w:pPr>
            <w:r>
              <w:t xml:space="preserve">Pct.39 din Reglementarea tehnică „Sucuri şi anumite produse similare destinate consumului uman” aprobată  prin HG nr.1111/2010 stipulează că “Sucurile şi anumite produse similare se plasează pe piaţă doar dacă corespund cerinţelor stabilite în prezenta Reglementare tehnică, în baza certificatului de conformitate eliberat de organismul de certificare acreditat sau în baza declaraţiei de conformitate, emisă de producător care dispune de sistem de management al siguranţei alimentare, certificat de laborator acreditat sau deţine un </w:t>
            </w:r>
            <w:r>
              <w:lastRenderedPageBreak/>
              <w:t>contract cu un laborator acreditat”. Prevederile respective contravin cadrului legal, care a fost modificat. În Legea nr. 420/2006 privind activitatea de reglementare a fost exclusă evaluarea conformității pentru produsele alimentare.</w:t>
            </w:r>
          </w:p>
        </w:tc>
        <w:tc>
          <w:tcPr>
            <w:tcW w:w="1422" w:type="dxa"/>
          </w:tcPr>
          <w:p w14:paraId="08913BA7" w14:textId="77777777" w:rsidR="001977F9" w:rsidRDefault="00000000">
            <w:pPr>
              <w:jc w:val="center"/>
            </w:pPr>
            <w:r>
              <w:lastRenderedPageBreak/>
              <w:t>Consecon</w:t>
            </w:r>
          </w:p>
        </w:tc>
        <w:tc>
          <w:tcPr>
            <w:tcW w:w="4809" w:type="dxa"/>
            <w:gridSpan w:val="2"/>
          </w:tcPr>
          <w:p w14:paraId="46AA37E8" w14:textId="77777777" w:rsidR="001977F9" w:rsidRDefault="00000000">
            <w:pPr>
              <w:jc w:val="both"/>
            </w:pPr>
            <w:r>
              <w:t>Eliminarea certificatului de conformitate pentru produselor alimentare din HG nr.1111 din 06.12.2010.</w:t>
            </w:r>
          </w:p>
        </w:tc>
        <w:tc>
          <w:tcPr>
            <w:tcW w:w="3250" w:type="dxa"/>
            <w:gridSpan w:val="2"/>
          </w:tcPr>
          <w:p w14:paraId="0B2F88A4" w14:textId="77777777" w:rsidR="001977F9" w:rsidRDefault="00000000">
            <w:pPr>
              <w:jc w:val="both"/>
            </w:pPr>
            <w:r>
              <w:t xml:space="preserve">Eliminarea actului permisiv neprevăzut de lege. </w:t>
            </w:r>
          </w:p>
          <w:p w14:paraId="3999A863" w14:textId="77777777" w:rsidR="001977F9" w:rsidRDefault="00000000">
            <w:pPr>
              <w:jc w:val="both"/>
            </w:pPr>
            <w:r>
              <w:t>Eliminarea unor costuri și proceduri nejustificate</w:t>
            </w:r>
          </w:p>
        </w:tc>
      </w:tr>
      <w:tr w:rsidR="001977F9" w14:paraId="51F2B4D4" w14:textId="77777777">
        <w:tc>
          <w:tcPr>
            <w:tcW w:w="14293" w:type="dxa"/>
            <w:gridSpan w:val="7"/>
          </w:tcPr>
          <w:p w14:paraId="10B3849A" w14:textId="77777777" w:rsidR="001977F9" w:rsidRDefault="00000000">
            <w:pPr>
              <w:jc w:val="center"/>
              <w:rPr>
                <w:b/>
              </w:rPr>
            </w:pPr>
            <w:r>
              <w:rPr>
                <w:b/>
              </w:rPr>
              <w:t>Domeniul Turismului</w:t>
            </w:r>
          </w:p>
        </w:tc>
      </w:tr>
      <w:tr w:rsidR="001977F9" w14:paraId="2BF95880" w14:textId="77777777">
        <w:tc>
          <w:tcPr>
            <w:tcW w:w="529" w:type="dxa"/>
          </w:tcPr>
          <w:p w14:paraId="670FFB49" w14:textId="77777777" w:rsidR="001977F9" w:rsidRDefault="001977F9">
            <w:pPr>
              <w:jc w:val="both"/>
            </w:pPr>
            <w:bookmarkStart w:id="1" w:name="_heading=h.30j0zll" w:colFirst="0" w:colLast="0"/>
            <w:bookmarkEnd w:id="1"/>
          </w:p>
          <w:p w14:paraId="6B280A4A" w14:textId="77777777" w:rsidR="001977F9" w:rsidRDefault="001977F9">
            <w:pPr>
              <w:jc w:val="both"/>
            </w:pPr>
          </w:p>
          <w:p w14:paraId="7A1FB2DD" w14:textId="77777777" w:rsidR="001977F9" w:rsidRDefault="00000000">
            <w:pPr>
              <w:jc w:val="both"/>
            </w:pPr>
            <w:r>
              <w:t>3.</w:t>
            </w:r>
          </w:p>
        </w:tc>
        <w:tc>
          <w:tcPr>
            <w:tcW w:w="4283" w:type="dxa"/>
          </w:tcPr>
          <w:p w14:paraId="2D1DBD66" w14:textId="77777777" w:rsidR="001977F9" w:rsidRDefault="00000000">
            <w:pPr>
              <w:jc w:val="both"/>
            </w:pPr>
            <w:r>
              <w:t xml:space="preserve">Hotărârea Guvernului 464/2023 cu privire la aprobarea Regulamentului privind măsurile de subvenționare complementară și condițiile specifice de eligibilitate pentru subvenționarea complementară din Fondul național de dezvoltare a agriculturii și mediului rural și abrogarea Hotărârii Guvernului nr. 455/2017 cu privire la modul de repartizare a mijloacelor Fondului Naţional de Dezvoltare a Agriculturii şi Mediului Rural prevede acordarea de credite investiționale în condiții concesionale doar pentru construcția și dotarea tehnologică a pensiunilor agroturistice (punctul 10 sub punctul 4) din Regulament (Anexa nr.1 la HG)). Această prevedere este limitativă din două perspective: 1) lucrările eligibile și 2) structurile de cazare eligibile. Astfel, nu sunt acoperite asemenea tipuri de lucrări cum ar fi reparația capitală, reconstrucția, extinderea. De asemenea, sunt eligibile doar agropensiunile, deși cadrul normativ prevede și alte structuri de cazare relevante pentru turismul rural, cum ar fi casa rurală, pensiunea turistică sau satul de vacanță. Este de menționat că, spre deosebire de actul precursor (HG 455/2017), Hotărârea nr.464 a eliminat crearea și extinderea unităților </w:t>
            </w:r>
            <w:r>
              <w:lastRenderedPageBreak/>
              <w:t>meșteșugărești din lista lucrărilor eligibile. Atelierele meșteșugărești pot reprezenta puncte de atracție importante în clusterele turistice emergente în Republica Moldova.</w:t>
            </w:r>
          </w:p>
        </w:tc>
        <w:tc>
          <w:tcPr>
            <w:tcW w:w="1422" w:type="dxa"/>
          </w:tcPr>
          <w:p w14:paraId="68F7C84C" w14:textId="77777777" w:rsidR="001977F9" w:rsidRDefault="00000000">
            <w:pPr>
              <w:jc w:val="center"/>
            </w:pPr>
            <w:r>
              <w:lastRenderedPageBreak/>
              <w:t>Asociația Națională pentru Turism Receptor și Intern din Moldova</w:t>
            </w:r>
          </w:p>
        </w:tc>
        <w:tc>
          <w:tcPr>
            <w:tcW w:w="4809" w:type="dxa"/>
            <w:gridSpan w:val="2"/>
          </w:tcPr>
          <w:p w14:paraId="04CBE813" w14:textId="77777777" w:rsidR="001977F9" w:rsidRDefault="00000000">
            <w:pPr>
              <w:jc w:val="both"/>
            </w:pPr>
            <w:r>
              <w:t>Expunerea subpunctului 4) al punctului 10 din Regulamentul privind măsurile de subvenționare complementară și condițiile specifice de eligibilitate pentru subvenționarea complementară din Fondul național de dezvoltare a agriculturii și mediului rural (Anexa nr.1 la HG 464/2023) în următoarea redacție: „4) reparația capitală, construcţia, reconstrucția, extinderea sau dotarea tehnologică a pensiunilor agroturistice, caselor rurale, pensiunilor turistice și unităților meșteșugărești (activități artizanale) din mediul rural”.</w:t>
            </w:r>
          </w:p>
        </w:tc>
        <w:tc>
          <w:tcPr>
            <w:tcW w:w="3250" w:type="dxa"/>
            <w:gridSpan w:val="2"/>
          </w:tcPr>
          <w:p w14:paraId="1D92D9ED" w14:textId="77777777" w:rsidR="001977F9" w:rsidRDefault="00000000">
            <w:pPr>
              <w:jc w:val="both"/>
            </w:pPr>
            <w:r>
              <w:t>În urma acestei modificări, va fi asigurat un acces echitabil la subvenționarea de stat pentru deținătorii tuturor formelor de cazare turistică din mediul rural și va fi extins spectrul de lucrări care sunt relevante pentru darea în exploatare, funcționarea și modernizarea structurilor de cazare turistică din mediu rural. Totodată, aceasta va asigura accesul la susținerea de stat pentru prestatorilor de activități artizanale, ceea ce este important pentru consolidarea clusterelor turistice emergente în Republica Moldova.</w:t>
            </w:r>
          </w:p>
          <w:p w14:paraId="25BF1558" w14:textId="77777777" w:rsidR="001977F9" w:rsidRDefault="00000000">
            <w:pPr>
              <w:jc w:val="both"/>
            </w:pPr>
            <w:r>
              <w:t>Astfel, vor fi create condiții optime de activitate pentru unitățile de cazare din mediul rural.</w:t>
            </w:r>
          </w:p>
          <w:p w14:paraId="2EA285F2" w14:textId="77777777" w:rsidR="001977F9" w:rsidRDefault="001977F9">
            <w:pPr>
              <w:jc w:val="both"/>
            </w:pPr>
          </w:p>
        </w:tc>
      </w:tr>
      <w:tr w:rsidR="001977F9" w14:paraId="5E83BB1E" w14:textId="77777777">
        <w:trPr>
          <w:gridAfter w:val="1"/>
          <w:wAfter w:w="22" w:type="dxa"/>
        </w:trPr>
        <w:tc>
          <w:tcPr>
            <w:tcW w:w="529" w:type="dxa"/>
          </w:tcPr>
          <w:p w14:paraId="17C4FA33" w14:textId="77777777" w:rsidR="001977F9" w:rsidRDefault="001977F9">
            <w:pPr>
              <w:jc w:val="both"/>
            </w:pPr>
          </w:p>
          <w:p w14:paraId="7ABF25E1" w14:textId="77777777" w:rsidR="001977F9" w:rsidRDefault="00000000">
            <w:pPr>
              <w:jc w:val="both"/>
            </w:pPr>
            <w:r>
              <w:t>4.</w:t>
            </w:r>
          </w:p>
        </w:tc>
        <w:tc>
          <w:tcPr>
            <w:tcW w:w="4283" w:type="dxa"/>
          </w:tcPr>
          <w:p w14:paraId="121D2127" w14:textId="77777777" w:rsidR="001977F9" w:rsidRDefault="00000000">
            <w:pPr>
              <w:jc w:val="both"/>
            </w:pPr>
            <w:r>
              <w:t xml:space="preserve">Revizuirea normelor metodologice învechite de clasificare și a criteriilor de clasificare a structurilor de primire turistică. În ultimul timp, tot mai multe pensiuni și case rurale sunt amenajate pentru a compensa lipsa sau insuficiența de locuri de cazare a oaspeților țării în mediul rural, dar și conversia unor case rurale vechi (adeseori abandonate și distruse), procese care nefiind clarificate și explicate generează tot mai des confuzii în interpretarea unor prevederi ale HG nr.643/2003 cu privire la aprobarea Normelor metodologice şi criteriilor de clasificare a structurilor de primire turistică cu funcțiuni de cazare și de servire a mesei nr. 643 din 27.05.2003. În acest context, Normele metodologice în vigoare (introduse în 2003) pentru dezvoltarea agro-pensiunilor și caselor rurale se bazează pe niște proceduri confuze, în mare parte neconforme structurii caselor țărănești tradiționale, care lasă loc de interpretare și posibile abuzuri din cauza interpretării eronate a prevederilor legale. Astfel, în raport cu spațiile și instalațiile sunt prezente mai multe limitări inutile pentru pensiuni, agro-pensiuni și case rurale în cazul lipsei sau insuficienței de locuri de cazare în mediul rural din țară. La fel, sunt listate echipamente care încarcă inutil investiția inițială (ex: radio, măsuță cu oglindă, etc.) nespecifice spațiului rural, neobligator pentru alte tipuri de cazare. Foarte multe prevederi </w:t>
            </w:r>
            <w:r>
              <w:lastRenderedPageBreak/>
              <w:t xml:space="preserve">sunt depășite fizic și moral de la momentul promovării din 2003. Respectiv, în procesul de dezvoltare a caselor rurale și agropensiunilor apar un șir de dificultăți financiare și organizatorice adiționale, care creează impedimente substanțiale în procesul de clasificare și ulterior în asigurarea eligibilității pentru asigurarea co-finanțării din partea Agenției de Plăți și Intervenții în Agricultură. </w:t>
            </w:r>
          </w:p>
        </w:tc>
        <w:tc>
          <w:tcPr>
            <w:tcW w:w="1422" w:type="dxa"/>
          </w:tcPr>
          <w:p w14:paraId="028D84C0" w14:textId="77777777" w:rsidR="001977F9" w:rsidRDefault="00000000">
            <w:pPr>
              <w:jc w:val="center"/>
            </w:pPr>
            <w:r>
              <w:lastRenderedPageBreak/>
              <w:t>Asociația de Dezvoltare a Turismului în Moldova</w:t>
            </w:r>
          </w:p>
          <w:p w14:paraId="0A2A7A58" w14:textId="77777777" w:rsidR="001977F9" w:rsidRDefault="001977F9">
            <w:pPr>
              <w:jc w:val="both"/>
            </w:pPr>
          </w:p>
          <w:p w14:paraId="1AA4251D" w14:textId="77777777" w:rsidR="001977F9" w:rsidRDefault="00000000">
            <w:pPr>
              <w:jc w:val="center"/>
            </w:pPr>
            <w:r>
              <w:t>Asociația Națională pentru Turism Receptor și Intern din Moldova</w:t>
            </w:r>
          </w:p>
        </w:tc>
        <w:tc>
          <w:tcPr>
            <w:tcW w:w="4809" w:type="dxa"/>
            <w:gridSpan w:val="2"/>
          </w:tcPr>
          <w:p w14:paraId="26309B46" w14:textId="77777777" w:rsidR="001977F9" w:rsidRDefault="00000000">
            <w:pPr>
              <w:jc w:val="both"/>
            </w:pPr>
            <w:r>
              <w:t>În HG nr.643/2003 se propune modificarea/ajustarea criteriilor de clasificare prevăzute de:</w:t>
            </w:r>
          </w:p>
          <w:p w14:paraId="31C19D8A" w14:textId="77777777" w:rsidR="001977F9" w:rsidRDefault="00000000">
            <w:pPr>
              <w:jc w:val="both"/>
            </w:pPr>
            <w:r>
              <w:t xml:space="preserve">- Anexa nr.1 la Hotărârea Guvernului Republicii Moldova nr. 643 din 27 mai 2006: </w:t>
            </w:r>
          </w:p>
          <w:p w14:paraId="6BC595CD" w14:textId="77777777" w:rsidR="001977F9" w:rsidRDefault="00000000">
            <w:pPr>
              <w:jc w:val="both"/>
            </w:pPr>
            <w:r>
              <w:t>- Anexa 2 la HG nr. 643/2006</w:t>
            </w:r>
          </w:p>
          <w:p w14:paraId="1610D9CA" w14:textId="77777777" w:rsidR="001977F9" w:rsidRDefault="00000000">
            <w:pPr>
              <w:jc w:val="both"/>
            </w:pPr>
            <w:r>
              <w:t xml:space="preserve">- Tabelul 3 „Criteriile minime obligatorii pentru clasificarea pe stele a pensiunilor turistice, pensiunilor agroturistice și caselor rurale” </w:t>
            </w:r>
          </w:p>
          <w:p w14:paraId="1F7FE371" w14:textId="77777777" w:rsidR="001977F9" w:rsidRDefault="001977F9">
            <w:pPr>
              <w:jc w:val="both"/>
            </w:pPr>
          </w:p>
        </w:tc>
        <w:tc>
          <w:tcPr>
            <w:tcW w:w="3228" w:type="dxa"/>
          </w:tcPr>
          <w:p w14:paraId="08451D5A" w14:textId="77777777" w:rsidR="001977F9" w:rsidRDefault="00000000">
            <w:pPr>
              <w:jc w:val="both"/>
            </w:pPr>
            <w:r>
              <w:t>Ajustarea prevederilor HG 643/2003 la necesitățile sectorului ar facilita și impulsiona dezvoltarea turismului rural în localitățile Republicii Moldova.</w:t>
            </w:r>
          </w:p>
        </w:tc>
      </w:tr>
      <w:tr w:rsidR="001977F9" w14:paraId="01F12D95" w14:textId="77777777">
        <w:trPr>
          <w:gridAfter w:val="1"/>
          <w:wAfter w:w="22" w:type="dxa"/>
        </w:trPr>
        <w:tc>
          <w:tcPr>
            <w:tcW w:w="14271" w:type="dxa"/>
            <w:gridSpan w:val="6"/>
          </w:tcPr>
          <w:p w14:paraId="7EAE5B4A" w14:textId="77777777" w:rsidR="001977F9" w:rsidRDefault="00000000">
            <w:pPr>
              <w:jc w:val="center"/>
              <w:rPr>
                <w:b/>
              </w:rPr>
            </w:pPr>
            <w:r>
              <w:rPr>
                <w:b/>
              </w:rPr>
              <w:t xml:space="preserve">Examinarea medicală obligatorie </w:t>
            </w:r>
          </w:p>
        </w:tc>
      </w:tr>
      <w:tr w:rsidR="001977F9" w14:paraId="09E1638C" w14:textId="77777777">
        <w:trPr>
          <w:gridAfter w:val="1"/>
          <w:wAfter w:w="22" w:type="dxa"/>
        </w:trPr>
        <w:tc>
          <w:tcPr>
            <w:tcW w:w="529" w:type="dxa"/>
          </w:tcPr>
          <w:p w14:paraId="1C6E5ECF" w14:textId="77777777" w:rsidR="001977F9" w:rsidRDefault="001977F9">
            <w:pPr>
              <w:jc w:val="both"/>
            </w:pPr>
          </w:p>
          <w:p w14:paraId="5137EF16" w14:textId="77777777" w:rsidR="001977F9" w:rsidRDefault="00000000">
            <w:pPr>
              <w:jc w:val="both"/>
            </w:pPr>
            <w:r>
              <w:t>5.</w:t>
            </w:r>
          </w:p>
        </w:tc>
        <w:tc>
          <w:tcPr>
            <w:tcW w:w="4283" w:type="dxa"/>
          </w:tcPr>
          <w:p w14:paraId="69DBFF33" w14:textId="77777777" w:rsidR="001977F9" w:rsidRDefault="00000000">
            <w:pPr>
              <w:jc w:val="both"/>
            </w:pPr>
            <w:r>
              <w:t>Angajații din sectorul IT, cât și alți angajați din alte domenii o dată în 2 ani sunt obligați să efectueze examen clinic general, vizita la oftalmolog, precum și testare a acuității vizuale şi a câmpului vizual la necorespunderea normativelor iluminatului. Având la bază că monitoarele calculatoarelor de azi deja nu se mai produc pe baza de tuburi, ci sunt în format LCD este discutabil necesitatea efectuării unor astfel de examinări medicale. Mai mult că vederea poate să scadă din alte motive decât lucrul la calculatorul de serviciu. Astfel scăderea vederii poate fi și datorită unor cauze naturale de îmbătrânire a persoanei sau astăzi cetățenii pot să-și deterioreze vederea stând mai mult în telefoane mobile navigând în rețele de socializare, știri, etc. care provoacă o daună mai mare.  Respectiv astfel de criteriu de risc de la p.5.3. din Anexa nr.1 a HG nr.1025/2016 poate fi eliminat.</w:t>
            </w:r>
          </w:p>
        </w:tc>
        <w:tc>
          <w:tcPr>
            <w:tcW w:w="1422" w:type="dxa"/>
          </w:tcPr>
          <w:p w14:paraId="37DA2A0F" w14:textId="77777777" w:rsidR="001977F9" w:rsidRDefault="00000000">
            <w:pPr>
              <w:jc w:val="center"/>
            </w:pPr>
            <w:r>
              <w:t xml:space="preserve">Asociația Investitorilor Străini  </w:t>
            </w:r>
          </w:p>
          <w:p w14:paraId="478C55D1" w14:textId="77777777" w:rsidR="001977F9" w:rsidRDefault="00000000">
            <w:pPr>
              <w:jc w:val="center"/>
            </w:pPr>
            <w:r>
              <w:t>(FIA)</w:t>
            </w:r>
          </w:p>
          <w:p w14:paraId="6DC520FE" w14:textId="77777777" w:rsidR="001977F9" w:rsidRDefault="001977F9">
            <w:pPr>
              <w:jc w:val="both"/>
            </w:pPr>
          </w:p>
          <w:p w14:paraId="3E8FA9F5" w14:textId="77777777" w:rsidR="001977F9" w:rsidRDefault="00000000">
            <w:pPr>
              <w:jc w:val="center"/>
            </w:pPr>
            <w:r>
              <w:t>ATIC</w:t>
            </w:r>
          </w:p>
        </w:tc>
        <w:tc>
          <w:tcPr>
            <w:tcW w:w="4776" w:type="dxa"/>
          </w:tcPr>
          <w:p w14:paraId="2877F53F" w14:textId="77777777" w:rsidR="001977F9" w:rsidRDefault="00000000">
            <w:pPr>
              <w:jc w:val="both"/>
            </w:pPr>
            <w:r>
              <w:t xml:space="preserve">Se propune ca soluție de bază eliminarea din Regulamentul sanitar privind supravegherea sănătății persoanelor expuse acțiunii factorilor profesionali de risc, aprobat prin Hotărârea Guvernului nr. 1025 din 7 septembrie 2016), si anume eliminarea factorului de risc prevăzut în Anexa nr.1, p. 5.3. - lucrători care în procesul activității (mai mult de 50% din schimbul de lucru) utilizează aparate optice, urmăresc ecrane și display-urile tehnicii de calcul etc.) </w:t>
            </w:r>
          </w:p>
          <w:p w14:paraId="1D08322D" w14:textId="77777777" w:rsidR="001977F9" w:rsidRDefault="001977F9">
            <w:pPr>
              <w:jc w:val="both"/>
            </w:pPr>
          </w:p>
          <w:p w14:paraId="5E79BC57" w14:textId="77777777" w:rsidR="001977F9" w:rsidRDefault="001977F9">
            <w:pPr>
              <w:jc w:val="both"/>
            </w:pPr>
          </w:p>
          <w:p w14:paraId="7F3B4731" w14:textId="77777777" w:rsidR="001977F9" w:rsidRDefault="001977F9">
            <w:pPr>
              <w:jc w:val="both"/>
            </w:pPr>
          </w:p>
          <w:p w14:paraId="20273118" w14:textId="77777777" w:rsidR="001977F9" w:rsidRDefault="001977F9">
            <w:pPr>
              <w:jc w:val="both"/>
            </w:pPr>
          </w:p>
          <w:p w14:paraId="1A9316CD" w14:textId="77777777" w:rsidR="001977F9" w:rsidRDefault="001977F9">
            <w:pPr>
              <w:jc w:val="both"/>
            </w:pPr>
          </w:p>
          <w:p w14:paraId="17DE68FA" w14:textId="77777777" w:rsidR="001977F9" w:rsidRDefault="001977F9">
            <w:pPr>
              <w:jc w:val="both"/>
            </w:pPr>
          </w:p>
          <w:p w14:paraId="4A6E02A1" w14:textId="77777777" w:rsidR="001977F9" w:rsidRDefault="001977F9">
            <w:pPr>
              <w:jc w:val="both"/>
            </w:pPr>
          </w:p>
          <w:p w14:paraId="7967C316" w14:textId="77777777" w:rsidR="001977F9" w:rsidRDefault="001977F9">
            <w:pPr>
              <w:jc w:val="both"/>
            </w:pPr>
          </w:p>
          <w:p w14:paraId="1CB412B6" w14:textId="77777777" w:rsidR="001977F9" w:rsidRDefault="001977F9">
            <w:pPr>
              <w:jc w:val="both"/>
            </w:pPr>
          </w:p>
          <w:p w14:paraId="433EA35D" w14:textId="77777777" w:rsidR="001977F9" w:rsidRDefault="001977F9">
            <w:pPr>
              <w:jc w:val="both"/>
            </w:pPr>
          </w:p>
          <w:p w14:paraId="550DF90E" w14:textId="77777777" w:rsidR="001977F9" w:rsidRDefault="001977F9">
            <w:pPr>
              <w:jc w:val="both"/>
            </w:pPr>
          </w:p>
        </w:tc>
        <w:tc>
          <w:tcPr>
            <w:tcW w:w="3261" w:type="dxa"/>
            <w:gridSpan w:val="2"/>
          </w:tcPr>
          <w:p w14:paraId="141878DD" w14:textId="77777777" w:rsidR="001977F9" w:rsidRDefault="00000000">
            <w:pPr>
              <w:jc w:val="both"/>
            </w:pPr>
            <w:r>
              <w:t>Aceste amendamente vor economisi timp și bani pentru angajatori pentru efectuarea unor astfel de verificări inutile.</w:t>
            </w:r>
          </w:p>
        </w:tc>
      </w:tr>
      <w:tr w:rsidR="001977F9" w14:paraId="02C84711" w14:textId="77777777">
        <w:trPr>
          <w:gridAfter w:val="1"/>
          <w:wAfter w:w="22" w:type="dxa"/>
        </w:trPr>
        <w:tc>
          <w:tcPr>
            <w:tcW w:w="529" w:type="dxa"/>
          </w:tcPr>
          <w:p w14:paraId="26B49A3F" w14:textId="77777777" w:rsidR="001977F9" w:rsidRDefault="001977F9">
            <w:pPr>
              <w:jc w:val="both"/>
            </w:pPr>
          </w:p>
          <w:p w14:paraId="798E390D" w14:textId="77777777" w:rsidR="001977F9" w:rsidRDefault="00000000">
            <w:pPr>
              <w:jc w:val="both"/>
            </w:pPr>
            <w:r>
              <w:t>6.</w:t>
            </w:r>
          </w:p>
        </w:tc>
        <w:tc>
          <w:tcPr>
            <w:tcW w:w="4283" w:type="dxa"/>
          </w:tcPr>
          <w:p w14:paraId="602FA394" w14:textId="77777777" w:rsidR="001977F9" w:rsidRDefault="00000000">
            <w:pPr>
              <w:jc w:val="both"/>
            </w:pPr>
            <w:r>
              <w:t xml:space="preserve">Eliminarea din lista controalelor medicale obligatorii a celor ”de adaptare”. La moment o problemă ține de obligativitatea inutilă a controlului medical de adaptare. Astfel, </w:t>
            </w:r>
            <w:r>
              <w:lastRenderedPageBreak/>
              <w:t xml:space="preserve">conform p.17 serviciile medicale profilactice includ: examenul medical la angajarea în muncă, de adaptare, periodic, la reluarea activității, iar potrivit p.38 examenul medical de adaptare în muncă se efectuează în a treia lună de la angajare de către comisiile medicale sau medicii din cadrul întreprinderilor, cu participarea obligatorie a medicului în patologii profesionale și efectuarea investigațiilor de laborator și funcționale. Potrivit mediului de afaceri astfel de control medical este inutil deoarece în practică în primele 3 luni după angajare nu se schimbă nimic în sănătatea persoanei, însă astfel de control implică costuri și timp pierdut. </w:t>
            </w:r>
          </w:p>
        </w:tc>
        <w:tc>
          <w:tcPr>
            <w:tcW w:w="1422" w:type="dxa"/>
          </w:tcPr>
          <w:p w14:paraId="1EA34859" w14:textId="77777777" w:rsidR="001977F9" w:rsidRDefault="00000000">
            <w:pPr>
              <w:jc w:val="center"/>
            </w:pPr>
            <w:r>
              <w:lastRenderedPageBreak/>
              <w:t>ATIC</w:t>
            </w:r>
          </w:p>
        </w:tc>
        <w:tc>
          <w:tcPr>
            <w:tcW w:w="4776" w:type="dxa"/>
          </w:tcPr>
          <w:p w14:paraId="791B412A" w14:textId="77777777" w:rsidR="001977F9" w:rsidRDefault="00000000">
            <w:pPr>
              <w:jc w:val="both"/>
            </w:pPr>
            <w:r>
              <w:t xml:space="preserve">Se propune eliminarea examenului medical de adaptare din Regulamentul sanitar privind supravegherea sănătății persoanelor expuse </w:t>
            </w:r>
            <w:r>
              <w:lastRenderedPageBreak/>
              <w:t>acțiunii factorilor profesionali de risc, aprobat prin Hotărârea Guvernului nr. 1025/2016</w:t>
            </w:r>
          </w:p>
        </w:tc>
        <w:tc>
          <w:tcPr>
            <w:tcW w:w="3261" w:type="dxa"/>
            <w:gridSpan w:val="2"/>
          </w:tcPr>
          <w:p w14:paraId="259FE95C" w14:textId="77777777" w:rsidR="001977F9" w:rsidRDefault="00000000">
            <w:pPr>
              <w:jc w:val="both"/>
            </w:pPr>
            <w:r>
              <w:lastRenderedPageBreak/>
              <w:t xml:space="preserve">Aceste amendamente vor economisi timp și bani pentru angajatori pentru efectuarea unor </w:t>
            </w:r>
            <w:r>
              <w:lastRenderedPageBreak/>
              <w:t>astfel de verificări medicale  inutile.</w:t>
            </w:r>
          </w:p>
        </w:tc>
      </w:tr>
      <w:tr w:rsidR="001977F9" w14:paraId="3705223B" w14:textId="77777777">
        <w:trPr>
          <w:gridAfter w:val="1"/>
          <w:wAfter w:w="22" w:type="dxa"/>
        </w:trPr>
        <w:tc>
          <w:tcPr>
            <w:tcW w:w="14271" w:type="dxa"/>
            <w:gridSpan w:val="6"/>
          </w:tcPr>
          <w:p w14:paraId="585B0614" w14:textId="77777777" w:rsidR="001977F9" w:rsidRDefault="00000000">
            <w:pPr>
              <w:jc w:val="center"/>
              <w:rPr>
                <w:b/>
              </w:rPr>
            </w:pPr>
            <w:r>
              <w:rPr>
                <w:b/>
              </w:rPr>
              <w:lastRenderedPageBreak/>
              <w:t>Evidența Militară</w:t>
            </w:r>
          </w:p>
        </w:tc>
      </w:tr>
      <w:tr w:rsidR="001977F9" w14:paraId="46E4666A" w14:textId="77777777">
        <w:trPr>
          <w:gridAfter w:val="1"/>
          <w:wAfter w:w="22" w:type="dxa"/>
        </w:trPr>
        <w:tc>
          <w:tcPr>
            <w:tcW w:w="529" w:type="dxa"/>
          </w:tcPr>
          <w:p w14:paraId="5AFF10AB" w14:textId="77777777" w:rsidR="001977F9" w:rsidRDefault="001977F9">
            <w:pPr>
              <w:jc w:val="both"/>
            </w:pPr>
          </w:p>
          <w:p w14:paraId="062F44CB" w14:textId="77777777" w:rsidR="001977F9" w:rsidRDefault="00000000">
            <w:pPr>
              <w:jc w:val="both"/>
            </w:pPr>
            <w:r>
              <w:t>7.</w:t>
            </w:r>
          </w:p>
        </w:tc>
        <w:tc>
          <w:tcPr>
            <w:tcW w:w="4283" w:type="dxa"/>
          </w:tcPr>
          <w:p w14:paraId="5E6EDCF6" w14:textId="77777777" w:rsidR="001977F9" w:rsidRDefault="00000000">
            <w:pPr>
              <w:pBdr>
                <w:top w:val="nil"/>
                <w:left w:val="nil"/>
                <w:bottom w:val="nil"/>
                <w:right w:val="nil"/>
                <w:between w:val="nil"/>
              </w:pBdr>
              <w:jc w:val="both"/>
            </w:pPr>
            <w:r>
              <w:t>Având la bază faptul că prin Legea nr.112/2023 din Legea nr. 1245/2002 cu privire la pregătirea cetățenilor pentru apărarea Patriei și Legea nr.1244/2002 cu privire la rezerva Forţelor Armate a fost eliminată obligativitatea prezentării de către agenții economici a documentelor de evidentă militară pentru recruți şi rezerviști se propune excluderea unor astfel de  obligații  și din unele hotărâri de Guvern.</w:t>
            </w:r>
          </w:p>
        </w:tc>
        <w:tc>
          <w:tcPr>
            <w:tcW w:w="1422" w:type="dxa"/>
          </w:tcPr>
          <w:p w14:paraId="5E1FB291" w14:textId="77777777" w:rsidR="001977F9" w:rsidRDefault="00000000">
            <w:pPr>
              <w:jc w:val="center"/>
            </w:pPr>
            <w:r>
              <w:t>ATIC</w:t>
            </w:r>
          </w:p>
        </w:tc>
        <w:tc>
          <w:tcPr>
            <w:tcW w:w="4776" w:type="dxa"/>
          </w:tcPr>
          <w:p w14:paraId="01123F6B" w14:textId="77777777" w:rsidR="001977F9" w:rsidRDefault="00000000">
            <w:pPr>
              <w:jc w:val="both"/>
            </w:pPr>
            <w:r>
              <w:t>Este necesară operarea modificărilor corespunzătoare în următoarele acte normative:</w:t>
            </w:r>
          </w:p>
          <w:p w14:paraId="34179E13" w14:textId="77777777" w:rsidR="001977F9" w:rsidRDefault="00000000">
            <w:pPr>
              <w:jc w:val="both"/>
            </w:pPr>
            <w:r>
              <w:t>1.Regulamentul cu privire la evidența militară, aprobat prin Hotărârea Guvernului nr. 631/2003;</w:t>
            </w:r>
          </w:p>
          <w:p w14:paraId="09180D35" w14:textId="77777777" w:rsidR="001977F9" w:rsidRDefault="00000000">
            <w:pPr>
              <w:jc w:val="both"/>
            </w:pPr>
            <w:r>
              <w:t>2.Regulamentul privind activitatea administrativ-militară, aprobat prin Hotărârea Guvernului nr. 77/2001;</w:t>
            </w:r>
          </w:p>
          <w:p w14:paraId="7ABF621C" w14:textId="77777777" w:rsidR="001977F9" w:rsidRDefault="00000000">
            <w:pPr>
              <w:jc w:val="both"/>
            </w:pPr>
            <w:r>
              <w:t>3.Regulamentul cu privire la mobilizarea la locul de muncă, aprobat prin Hotărîrea Guvernului nr. 751/2003.</w:t>
            </w:r>
          </w:p>
        </w:tc>
        <w:tc>
          <w:tcPr>
            <w:tcW w:w="3261" w:type="dxa"/>
            <w:gridSpan w:val="2"/>
          </w:tcPr>
          <w:p w14:paraId="1B23C90B" w14:textId="77777777" w:rsidR="001977F9" w:rsidRDefault="00000000">
            <w:pPr>
              <w:jc w:val="both"/>
            </w:pPr>
            <w:r>
              <w:t>Ajustarea la proiectul de lege deja adoptat care a eliminat astfel de obligații de ducere a evidenței militare.</w:t>
            </w:r>
          </w:p>
        </w:tc>
      </w:tr>
      <w:tr w:rsidR="001977F9" w14:paraId="1B50E74A" w14:textId="77777777">
        <w:trPr>
          <w:gridAfter w:val="1"/>
          <w:wAfter w:w="22" w:type="dxa"/>
        </w:trPr>
        <w:tc>
          <w:tcPr>
            <w:tcW w:w="14271" w:type="dxa"/>
            <w:gridSpan w:val="6"/>
          </w:tcPr>
          <w:p w14:paraId="4339CBEC" w14:textId="77777777" w:rsidR="001977F9" w:rsidRDefault="00000000">
            <w:pPr>
              <w:jc w:val="center"/>
              <w:rPr>
                <w:b/>
              </w:rPr>
            </w:pPr>
            <w:r>
              <w:rPr>
                <w:b/>
              </w:rPr>
              <w:t>Foile de Parcurs</w:t>
            </w:r>
          </w:p>
        </w:tc>
      </w:tr>
      <w:tr w:rsidR="001977F9" w14:paraId="5482F135" w14:textId="77777777">
        <w:trPr>
          <w:gridAfter w:val="1"/>
          <w:wAfter w:w="22" w:type="dxa"/>
        </w:trPr>
        <w:tc>
          <w:tcPr>
            <w:tcW w:w="529" w:type="dxa"/>
          </w:tcPr>
          <w:p w14:paraId="09C5D176" w14:textId="77777777" w:rsidR="001977F9" w:rsidRDefault="00000000">
            <w:pPr>
              <w:jc w:val="both"/>
            </w:pPr>
            <w:r>
              <w:t>8.</w:t>
            </w:r>
          </w:p>
        </w:tc>
        <w:tc>
          <w:tcPr>
            <w:tcW w:w="4283" w:type="dxa"/>
          </w:tcPr>
          <w:p w14:paraId="05014B9A" w14:textId="77777777" w:rsidR="001977F9" w:rsidRDefault="00000000">
            <w:pPr>
              <w:jc w:val="both"/>
            </w:pPr>
            <w:r>
              <w:t xml:space="preserve">Regulamentul cu privire la modul de organizare şi efectuare a controlului treziei, aprobat prin HG nr. 290/2016 impune obligativitatea de a elibera foaie de parcurs valabilă pentru un termen limitat. Astfel, p. 5 din Regulament prevede că înainte de a începe operaţiunea de transport rutier în baza </w:t>
            </w:r>
            <w:r>
              <w:lastRenderedPageBreak/>
              <w:t>unei foi de parcurs noi, conducătorul auto va fi supus controlului medical. Foaia de parcurs este valabilă cel mult 36 de ore de la ora efectuării controlului medical, cu excepţia operaţiunii de transport rutier în trafic internaţional, pentru care valabilitatea foii de parcurs acoperă cursa tur-retur.</w:t>
            </w:r>
          </w:p>
          <w:p w14:paraId="1DBDFB1C" w14:textId="77777777" w:rsidR="001977F9" w:rsidRDefault="00000000">
            <w:pPr>
              <w:jc w:val="both"/>
            </w:pPr>
            <w:r>
              <w:t xml:space="preserve">Prevederile respective  complică activitatea contribuabililor, fără a aduce plus valoare procesului de business sau de evidență și raportare. </w:t>
            </w:r>
          </w:p>
          <w:p w14:paraId="1C572270" w14:textId="77777777" w:rsidR="001977F9" w:rsidRDefault="00000000">
            <w:pPr>
              <w:jc w:val="both"/>
            </w:pPr>
            <w:r>
              <w:t>Totodată, impunerea necesității tipăririi frecvente a foii de parcurs, în situația în care aceasta poate fi utilizată pînă la completarea definitivă crează costuri suplimentare nejustificate mediului de afaceri, iar procedee birocratice excesive reprezintă și un risc sporit de corupție, simplificarea acestora eliminând gradual și corupția în cadrul inspecțiilor de stat.</w:t>
            </w:r>
          </w:p>
          <w:p w14:paraId="55D0DE2E" w14:textId="77777777" w:rsidR="001977F9" w:rsidRDefault="001977F9">
            <w:pPr>
              <w:jc w:val="both"/>
            </w:pPr>
          </w:p>
        </w:tc>
        <w:tc>
          <w:tcPr>
            <w:tcW w:w="1422" w:type="dxa"/>
          </w:tcPr>
          <w:p w14:paraId="48E86D17" w14:textId="77777777" w:rsidR="001977F9" w:rsidRDefault="00000000">
            <w:pPr>
              <w:jc w:val="both"/>
            </w:pPr>
            <w:r>
              <w:lastRenderedPageBreak/>
              <w:t>Ministerul Dezvoltării Economice și Digitalizării</w:t>
            </w:r>
          </w:p>
        </w:tc>
        <w:tc>
          <w:tcPr>
            <w:tcW w:w="4776" w:type="dxa"/>
          </w:tcPr>
          <w:p w14:paraId="17ADF827" w14:textId="77777777" w:rsidR="001977F9" w:rsidRDefault="00000000">
            <w:pPr>
              <w:jc w:val="both"/>
            </w:pPr>
            <w:r>
              <w:t>Excluderea p.5 din Regulamentul cu privire la modul de organizare şi efectuare a controlului treziei.</w:t>
            </w:r>
          </w:p>
          <w:p w14:paraId="0815C01F" w14:textId="77777777" w:rsidR="001977F9" w:rsidRDefault="00000000">
            <w:pPr>
              <w:jc w:val="both"/>
            </w:pPr>
            <w:r>
              <w:t>Modificarea și altor prevederi ale Regulamentului colaterale modificării propuse.</w:t>
            </w:r>
          </w:p>
          <w:p w14:paraId="45781178" w14:textId="77777777" w:rsidR="001977F9" w:rsidRDefault="001977F9">
            <w:pPr>
              <w:jc w:val="both"/>
            </w:pPr>
          </w:p>
        </w:tc>
        <w:tc>
          <w:tcPr>
            <w:tcW w:w="3261" w:type="dxa"/>
            <w:gridSpan w:val="2"/>
          </w:tcPr>
          <w:p w14:paraId="2A4308E1" w14:textId="77777777" w:rsidR="001977F9" w:rsidRDefault="00000000">
            <w:pPr>
              <w:jc w:val="both"/>
            </w:pPr>
            <w:r>
              <w:t xml:space="preserve">Simplificarea procesului de întocmire a foilor de parcurs și raționalizarea cheltuielilor suportate de către persoanele care sunt obligate prin lege să completeze foaia de parcurs frecvent, fiind excluse limitele de </w:t>
            </w:r>
            <w:r>
              <w:lastRenderedPageBreak/>
              <w:t>timp pentru care sunt valabile foile de parcurs.</w:t>
            </w:r>
          </w:p>
          <w:p w14:paraId="68B862DF" w14:textId="77777777" w:rsidR="001977F9" w:rsidRDefault="00000000">
            <w:pPr>
              <w:jc w:val="both"/>
            </w:pPr>
            <w:r>
              <w:t>Îmbunătățirea climatului mediului de afaceri în sensul eliminării unor obligații sau cerințe birocratice inutile și depășite de timp.</w:t>
            </w:r>
          </w:p>
          <w:p w14:paraId="04B5FBA1" w14:textId="77777777" w:rsidR="001977F9" w:rsidRDefault="001977F9">
            <w:pPr>
              <w:jc w:val="both"/>
            </w:pPr>
          </w:p>
        </w:tc>
      </w:tr>
      <w:tr w:rsidR="001977F9" w14:paraId="5BFB33B8" w14:textId="77777777">
        <w:trPr>
          <w:gridAfter w:val="1"/>
          <w:wAfter w:w="22" w:type="dxa"/>
        </w:trPr>
        <w:tc>
          <w:tcPr>
            <w:tcW w:w="14271" w:type="dxa"/>
            <w:gridSpan w:val="6"/>
          </w:tcPr>
          <w:p w14:paraId="3E6C4E0E" w14:textId="77777777" w:rsidR="001977F9" w:rsidRDefault="00000000">
            <w:pPr>
              <w:jc w:val="center"/>
              <w:rPr>
                <w:b/>
              </w:rPr>
            </w:pPr>
            <w:r>
              <w:rPr>
                <w:b/>
              </w:rPr>
              <w:lastRenderedPageBreak/>
              <w:t>Înregistrarea de stat a Gospodăriilor Țărănești</w:t>
            </w:r>
          </w:p>
        </w:tc>
      </w:tr>
      <w:tr w:rsidR="001977F9" w14:paraId="6B4E90B1" w14:textId="77777777">
        <w:trPr>
          <w:gridAfter w:val="1"/>
          <w:wAfter w:w="22" w:type="dxa"/>
        </w:trPr>
        <w:tc>
          <w:tcPr>
            <w:tcW w:w="529" w:type="dxa"/>
          </w:tcPr>
          <w:p w14:paraId="4EFC025E" w14:textId="77777777" w:rsidR="001977F9" w:rsidRDefault="00000000">
            <w:pPr>
              <w:jc w:val="both"/>
            </w:pPr>
            <w:r>
              <w:t>9.</w:t>
            </w:r>
          </w:p>
        </w:tc>
        <w:tc>
          <w:tcPr>
            <w:tcW w:w="4283" w:type="dxa"/>
            <w:shd w:val="clear" w:color="auto" w:fill="auto"/>
          </w:tcPr>
          <w:p w14:paraId="34F3B8E6" w14:textId="77777777" w:rsidR="001977F9" w:rsidRDefault="00000000">
            <w:pPr>
              <w:jc w:val="both"/>
            </w:pPr>
            <w:r>
              <w:t>Prin Legea nr. 4/2023 pentru modificarea Legii nr.1353/2000 privind gospodăriile ţărăneşti (de fermier) (în vigoare din data de 18.02.2023) au fost operate modificări la Legea nr.1353/2000 privind gospodăriile țărănești (de fermier), inclusiv cu privire la procedura înregistrării de stat.</w:t>
            </w:r>
          </w:p>
          <w:p w14:paraId="050926DA" w14:textId="77777777" w:rsidR="001977F9" w:rsidRDefault="00000000">
            <w:pPr>
              <w:jc w:val="both"/>
            </w:pPr>
            <w:r>
              <w:t xml:space="preserve">Totodată, art.1 din Legea nr.1353/2000 a fost completat cu alin. (3) care stipulează că prevederile Legii nr.220/2007 privind înregistrarea de stat a persoanelor juridice şi a întreprinzătorilor individuali se aplică </w:t>
            </w:r>
            <w:r>
              <w:lastRenderedPageBreak/>
              <w:t>gospodăriilor ţărăneşti (de fermier) în măsura în care acestea nu contravin respectivei legi.</w:t>
            </w:r>
          </w:p>
          <w:p w14:paraId="4B241DC3" w14:textId="77777777" w:rsidR="001977F9" w:rsidRDefault="00000000">
            <w:pPr>
              <w:jc w:val="both"/>
            </w:pPr>
            <w:r>
              <w:t>În acest sens, odată cu trecerea la Agenţia Servicii Publice a competenţei de înregistrare a gospodăriilor ţărăneşti (de fermier) şi aprobarea modificărilor la Legea nr.1353/2000, Hotărârea Guvernului nr.977/2001 privind înregistrarea gospodăriilor ţărăneşti (de fermier) urmează să fie abrogată.</w:t>
            </w:r>
          </w:p>
        </w:tc>
        <w:tc>
          <w:tcPr>
            <w:tcW w:w="1422" w:type="dxa"/>
          </w:tcPr>
          <w:p w14:paraId="43968DE4" w14:textId="77777777" w:rsidR="001977F9" w:rsidRDefault="00000000">
            <w:pPr>
              <w:jc w:val="both"/>
            </w:pPr>
            <w:r>
              <w:lastRenderedPageBreak/>
              <w:t>Ministerul Dezvoltării Economice și Digitalizării</w:t>
            </w:r>
          </w:p>
        </w:tc>
        <w:tc>
          <w:tcPr>
            <w:tcW w:w="4776" w:type="dxa"/>
          </w:tcPr>
          <w:p w14:paraId="01CE4BAF" w14:textId="77777777" w:rsidR="001977F9" w:rsidRDefault="00000000">
            <w:pPr>
              <w:jc w:val="both"/>
            </w:pPr>
            <w:r>
              <w:t>În vederea corelării legislaţiei în vigoare la prevederile Legii nr.1353/2000 privind gospodăriile țărănești (de fermier), se propune abrogarea Hotărârii Guvernului nr.977/2001 privind înregistrarea gospodăriilor ţărăneşti (de fermier).</w:t>
            </w:r>
          </w:p>
        </w:tc>
        <w:tc>
          <w:tcPr>
            <w:tcW w:w="3261" w:type="dxa"/>
            <w:gridSpan w:val="2"/>
          </w:tcPr>
          <w:p w14:paraId="623A229B" w14:textId="77777777" w:rsidR="001977F9" w:rsidRDefault="00000000">
            <w:pPr>
              <w:jc w:val="both"/>
            </w:pPr>
            <w:r>
              <w:t>Eliminarea unor riscuri de aplicare abuzivă a prevederilor desuete, fapt ce poate genera situații de conflict</w:t>
            </w:r>
          </w:p>
        </w:tc>
      </w:tr>
    </w:tbl>
    <w:p w14:paraId="4011B4DC" w14:textId="77777777" w:rsidR="001977F9" w:rsidRDefault="001977F9">
      <w:pPr>
        <w:jc w:val="both"/>
      </w:pPr>
    </w:p>
    <w:sectPr w:rsidR="001977F9">
      <w:pgSz w:w="15840" w:h="12240" w:orient="landscape"/>
      <w:pgMar w:top="1135" w:right="1134" w:bottom="85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7F9"/>
    <w:rsid w:val="001977F9"/>
    <w:rsid w:val="0060147F"/>
    <w:rsid w:val="007129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83BFD"/>
  <w15:docId w15:val="{4923AD17-7FC0-4211-8B20-872EB263B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8C7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30BF"/>
    <w:pPr>
      <w:ind w:left="720"/>
      <w:contextualSpacing/>
    </w:pPr>
  </w:style>
  <w:style w:type="character" w:styleId="Hyperlink">
    <w:name w:val="Hyperlink"/>
    <w:basedOn w:val="DefaultParagraphFont"/>
    <w:uiPriority w:val="99"/>
    <w:unhideWhenUsed/>
    <w:rsid w:val="00F20D54"/>
    <w:rPr>
      <w:color w:val="0563C1" w:themeColor="hyperlink"/>
      <w:u w:val="single"/>
    </w:rPr>
  </w:style>
  <w:style w:type="paragraph" w:customStyle="1" w:styleId="Default">
    <w:name w:val="Default"/>
    <w:rsid w:val="00F20D54"/>
    <w:pPr>
      <w:autoSpaceDE w:val="0"/>
      <w:autoSpaceDN w:val="0"/>
      <w:adjustRightInd w:val="0"/>
      <w:spacing w:after="0" w:line="240" w:lineRule="auto"/>
    </w:pPr>
    <w:rPr>
      <w:color w:val="000000"/>
      <w:sz w:val="24"/>
      <w:szCs w:val="24"/>
    </w:rPr>
  </w:style>
  <w:style w:type="paragraph" w:styleId="NormalWeb">
    <w:name w:val="Normal (Web)"/>
    <w:basedOn w:val="Normal"/>
    <w:uiPriority w:val="99"/>
    <w:unhideWhenUsed/>
    <w:rsid w:val="002166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66A6"/>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SubtleReference">
    <w:name w:val="Subtle Reference"/>
    <w:basedOn w:val="DefaultParagraphFont"/>
    <w:uiPriority w:val="31"/>
    <w:qFormat/>
    <w:rsid w:val="0054588B"/>
    <w:rPr>
      <w:smallCaps/>
      <w:color w:val="5A5A5A" w:themeColor="text1" w:themeTint="A5"/>
    </w:r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Lc4jMbpIOXOMgdTEqCavEY+9bA==">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2109</Words>
  <Characters>12026</Characters>
  <Application>Microsoft Office Word</Application>
  <DocSecurity>0</DocSecurity>
  <Lines>100</Lines>
  <Paragraphs>28</Paragraphs>
  <ScaleCrop>false</ScaleCrop>
  <Company/>
  <LinksUpToDate>false</LinksUpToDate>
  <CharactersWithSpaces>14107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dc:creator>
  <cp:lastModifiedBy>Roman Ladus</cp:lastModifiedBy>
  <cp:revision>4</cp:revision>
  <dcterms:created xsi:type="dcterms:W3CDTF">2023-08-14T07:27:00Z</dcterms:created>
  <dcterms:modified xsi:type="dcterms:W3CDTF">2023-08-14T07:49:00Z</dcterms:modified>
</cp:coreProperties>
</file>