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686" w:rsidRDefault="00134686" w:rsidP="00134686">
      <w:pPr>
        <w:spacing w:after="0" w:line="240" w:lineRule="auto"/>
        <w:jc w:val="center"/>
        <w:rPr>
          <w:rFonts w:ascii="Times New Roman" w:hAnsi="Times New Roman"/>
          <w:b/>
          <w:color w:val="000000" w:themeColor="text1"/>
          <w:sz w:val="28"/>
          <w:szCs w:val="26"/>
          <w:lang w:val="ro-MD"/>
        </w:rPr>
      </w:pPr>
      <w:r>
        <w:rPr>
          <w:rFonts w:ascii="Times New Roman" w:hAnsi="Times New Roman"/>
          <w:b/>
          <w:color w:val="000000" w:themeColor="text1"/>
          <w:sz w:val="28"/>
          <w:szCs w:val="26"/>
          <w:lang w:val="ro-MD"/>
        </w:rPr>
        <w:t>NOTĂ INFORMATIVĂ</w:t>
      </w:r>
    </w:p>
    <w:p w:rsidR="00134686" w:rsidRDefault="00134686" w:rsidP="00134686">
      <w:pPr>
        <w:ind w:left="567" w:right="708"/>
        <w:jc w:val="center"/>
        <w:rPr>
          <w:b/>
          <w:lang w:val="ro-MD"/>
        </w:rPr>
      </w:pPr>
      <w:r>
        <w:rPr>
          <w:rFonts w:ascii="Times New Roman" w:hAnsi="Times New Roman"/>
          <w:b/>
          <w:color w:val="000000" w:themeColor="text1"/>
          <w:sz w:val="28"/>
          <w:szCs w:val="26"/>
          <w:lang w:val="ro-MD"/>
        </w:rPr>
        <w:t>la proiectul Hotărârii de Guvern cu privire la modificarea Hotărârii Guvernului nr.146/2021 cu privire la organizarea și funcționarea Ministerului Educației și Cercetării</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numPr>
                <w:ilvl w:val="3"/>
                <w:numId w:val="1"/>
              </w:numPr>
              <w:tabs>
                <w:tab w:val="left" w:pos="284"/>
                <w:tab w:val="left" w:pos="1196"/>
              </w:tabs>
              <w:spacing w:after="0" w:line="240" w:lineRule="auto"/>
              <w:ind w:left="313" w:right="33" w:hanging="313"/>
              <w:jc w:val="both"/>
              <w:rPr>
                <w:rFonts w:ascii="Times New Roman" w:hAnsi="Times New Roman"/>
                <w:b/>
                <w:color w:val="000000" w:themeColor="text1"/>
                <w:sz w:val="28"/>
                <w:szCs w:val="26"/>
                <w:lang w:val="ro-MD"/>
              </w:rPr>
            </w:pPr>
            <w:r>
              <w:rPr>
                <w:rFonts w:ascii="Times New Roman" w:hAnsi="Times New Roman"/>
                <w:b/>
                <w:color w:val="000000" w:themeColor="text1"/>
                <w:sz w:val="28"/>
                <w:szCs w:val="26"/>
                <w:lang w:val="ro-MD"/>
              </w:rPr>
              <w:t xml:space="preserve">Denumirea autorului </w:t>
            </w:r>
            <w:proofErr w:type="spellStart"/>
            <w:r>
              <w:rPr>
                <w:rFonts w:ascii="Times New Roman" w:hAnsi="Times New Roman"/>
                <w:b/>
                <w:color w:val="000000" w:themeColor="text1"/>
                <w:sz w:val="28"/>
                <w:szCs w:val="26"/>
                <w:lang w:val="ro-MD"/>
              </w:rPr>
              <w:t>şi</w:t>
            </w:r>
            <w:proofErr w:type="spellEnd"/>
            <w:r>
              <w:rPr>
                <w:rFonts w:ascii="Times New Roman" w:hAnsi="Times New Roman"/>
                <w:b/>
                <w:color w:val="000000" w:themeColor="text1"/>
                <w:sz w:val="28"/>
                <w:szCs w:val="26"/>
                <w:lang w:val="ro-MD"/>
              </w:rPr>
              <w:t>, după caz, a participanților la elaborarea proiectului</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spacing w:after="0" w:line="240" w:lineRule="auto"/>
              <w:ind w:firstLine="379"/>
              <w:jc w:val="both"/>
              <w:rPr>
                <w:rFonts w:ascii="Times New Roman" w:hAnsi="Times New Roman"/>
                <w:color w:val="000000" w:themeColor="text1"/>
                <w:sz w:val="28"/>
                <w:szCs w:val="26"/>
                <w:lang w:val="ro-MD"/>
              </w:rPr>
            </w:pPr>
            <w:r>
              <w:rPr>
                <w:rFonts w:ascii="Times New Roman" w:hAnsi="Times New Roman"/>
                <w:color w:val="000000" w:themeColor="text1"/>
                <w:sz w:val="28"/>
                <w:szCs w:val="26"/>
                <w:lang w:val="ro-MD"/>
              </w:rPr>
              <w:t>Proiectul Hotărârii de Guvern cu privire modificarea Hotărârii Guvernului nr.146/2021 cu privire la organizarea și funcționarea Ministerului Educației și Cercetării este elaborat de către Ministerul Educației și Cercetării.</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313" w:right="33" w:hanging="313"/>
              <w:jc w:val="both"/>
              <w:rPr>
                <w:rFonts w:ascii="Times New Roman" w:hAnsi="Times New Roman"/>
                <w:sz w:val="28"/>
                <w:szCs w:val="26"/>
                <w:lang w:val="ro-MD"/>
              </w:rPr>
            </w:pPr>
            <w:r>
              <w:rPr>
                <w:rFonts w:ascii="Times New Roman" w:hAnsi="Times New Roman"/>
                <w:b/>
                <w:sz w:val="28"/>
                <w:szCs w:val="26"/>
                <w:lang w:val="ro-MD"/>
              </w:rPr>
              <w:t>2. Condițiile ce au impus elaborarea proiectului de act normativ și finalitățile urmărite</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firstLine="602"/>
              <w:contextualSpacing/>
              <w:jc w:val="both"/>
              <w:rPr>
                <w:rFonts w:ascii="Times New Roman" w:eastAsia="Times New Roman" w:hAnsi="Times New Roman"/>
                <w:bCs/>
                <w:sz w:val="28"/>
                <w:szCs w:val="28"/>
                <w:lang w:val="ro-MD" w:eastAsia="ru-RU"/>
              </w:rPr>
            </w:pPr>
            <w:r>
              <w:rPr>
                <w:rFonts w:ascii="Times New Roman" w:hAnsi="Times New Roman"/>
                <w:sz w:val="28"/>
                <w:szCs w:val="28"/>
                <w:lang w:val="ro-MD" w:eastAsia="ru-RU"/>
              </w:rPr>
              <w:t xml:space="preserve">Urmare a obținerii statutului de țară candidat pentru aderare la Uniunea Europeană și asumarea angajamentelor de avansare în realizarea reformelor în domeniile-cheie precum educație, cercetare, sport și tineret se impune necesitatea </w:t>
            </w:r>
            <w:r>
              <w:rPr>
                <w:rFonts w:ascii="Times New Roman" w:eastAsia="Times New Roman" w:hAnsi="Times New Roman"/>
                <w:bCs/>
                <w:sz w:val="28"/>
                <w:szCs w:val="28"/>
                <w:lang w:val="ro-MD" w:eastAsia="ru-RU"/>
              </w:rPr>
              <w:t>consolidării cadrului instituțional pe componenta de integrare europeană.</w:t>
            </w:r>
          </w:p>
          <w:p w:rsidR="00134686" w:rsidRDefault="00134686" w:rsidP="00CD49B8">
            <w:pPr>
              <w:tabs>
                <w:tab w:val="left" w:pos="884"/>
                <w:tab w:val="left" w:pos="1196"/>
              </w:tabs>
              <w:spacing w:after="0" w:line="240" w:lineRule="auto"/>
              <w:ind w:firstLine="602"/>
              <w:contextualSpacing/>
              <w:jc w:val="both"/>
              <w:rPr>
                <w:rFonts w:ascii="Times New Roman" w:eastAsia="Times New Roman" w:hAnsi="Times New Roman"/>
                <w:bCs/>
                <w:sz w:val="28"/>
                <w:szCs w:val="28"/>
                <w:lang w:val="ro-MD" w:eastAsia="ru-RU"/>
              </w:rPr>
            </w:pPr>
            <w:r>
              <w:rPr>
                <w:rFonts w:ascii="Times New Roman" w:eastAsia="Times New Roman" w:hAnsi="Times New Roman"/>
                <w:bCs/>
                <w:sz w:val="28"/>
                <w:szCs w:val="28"/>
                <w:lang w:val="ro-MD" w:eastAsia="ru-RU"/>
              </w:rPr>
              <w:t>Î</w:t>
            </w:r>
            <w:r>
              <w:rPr>
                <w:rFonts w:ascii="Times New Roman" w:hAnsi="Times New Roman"/>
                <w:sz w:val="28"/>
                <w:szCs w:val="28"/>
                <w:lang w:val="ro-MD" w:eastAsia="ru-RU"/>
              </w:rPr>
              <w:t xml:space="preserve">n conformitate cu </w:t>
            </w:r>
            <w:r>
              <w:rPr>
                <w:rFonts w:ascii="Times New Roman" w:eastAsia="Times New Roman" w:hAnsi="Times New Roman"/>
                <w:bCs/>
                <w:sz w:val="28"/>
                <w:szCs w:val="28"/>
                <w:lang w:val="ro-MD" w:eastAsia="ru-RU"/>
              </w:rPr>
              <w:t>Hotărârea Guvernului nr. 600/2022 cu privire la modificarea unor hotărâri ale Guvernului:</w:t>
            </w:r>
          </w:p>
          <w:p w:rsidR="00134686" w:rsidRDefault="00134686" w:rsidP="00CD49B8">
            <w:pPr>
              <w:tabs>
                <w:tab w:val="left" w:pos="884"/>
                <w:tab w:val="left" w:pos="1196"/>
              </w:tabs>
              <w:spacing w:after="0" w:line="240" w:lineRule="auto"/>
              <w:ind w:firstLine="602"/>
              <w:contextualSpacing/>
              <w:jc w:val="both"/>
              <w:rPr>
                <w:rFonts w:ascii="Times New Roman" w:eastAsia="Times New Roman" w:hAnsi="Times New Roman"/>
                <w:bCs/>
                <w:sz w:val="28"/>
                <w:szCs w:val="28"/>
                <w:lang w:val="ro-MD" w:eastAsia="ru-RU"/>
              </w:rPr>
            </w:pPr>
            <w:r>
              <w:rPr>
                <w:rFonts w:ascii="Times New Roman" w:eastAsia="Times New Roman" w:hAnsi="Times New Roman"/>
                <w:bCs/>
                <w:sz w:val="28"/>
                <w:szCs w:val="28"/>
                <w:lang w:val="ro-MD" w:eastAsia="ru-RU"/>
              </w:rPr>
              <w:t xml:space="preserve">- </w:t>
            </w:r>
            <w:r>
              <w:rPr>
                <w:rFonts w:ascii="Times New Roman" w:hAnsi="Times New Roman"/>
                <w:sz w:val="28"/>
                <w:szCs w:val="28"/>
                <w:lang w:val="ro-MD"/>
              </w:rPr>
              <w:t>s-a intervenit în Structura-tip a Regulamentului privind organizarea și funcționarea ministerului, aprobată prin Hotărârea Guvernului nr. 595/2017 pentru a indica expres funcțiile determinate de statutul de țară candidat la Uniunea Europeană în raport cu misiunea ministerelor, în calitatea lor de organe centrale de specialitate ale statului care asigură realizarea politicii guvernamentale</w:t>
            </w:r>
            <w:r>
              <w:rPr>
                <w:rFonts w:ascii="Times New Roman" w:hAnsi="Times New Roman"/>
                <w:color w:val="333333"/>
                <w:sz w:val="28"/>
                <w:shd w:val="clear" w:color="auto" w:fill="FFFFFF"/>
                <w:lang w:val="ro-MD"/>
              </w:rPr>
              <w:t xml:space="preserve"> </w:t>
            </w:r>
            <w:r>
              <w:rPr>
                <w:rFonts w:ascii="Times New Roman" w:hAnsi="Times New Roman"/>
                <w:sz w:val="28"/>
                <w:szCs w:val="28"/>
                <w:lang w:val="ro-MD"/>
              </w:rPr>
              <w:t>în domeniile de activitate care le sunt încredințate;</w:t>
            </w:r>
          </w:p>
          <w:p w:rsidR="00134686" w:rsidRDefault="00134686" w:rsidP="00CD49B8">
            <w:pPr>
              <w:tabs>
                <w:tab w:val="left" w:pos="884"/>
                <w:tab w:val="left" w:pos="1196"/>
              </w:tabs>
              <w:spacing w:after="0" w:line="240" w:lineRule="auto"/>
              <w:ind w:firstLine="602"/>
              <w:contextualSpacing/>
              <w:jc w:val="both"/>
              <w:rPr>
                <w:rFonts w:ascii="Times New Roman" w:eastAsia="Times New Roman" w:hAnsi="Times New Roman"/>
                <w:bCs/>
                <w:sz w:val="28"/>
                <w:szCs w:val="28"/>
                <w:lang w:val="ro-MD" w:eastAsia="ru-RU"/>
              </w:rPr>
            </w:pPr>
            <w:r>
              <w:rPr>
                <w:rFonts w:ascii="Times New Roman" w:eastAsia="Times New Roman" w:hAnsi="Times New Roman"/>
                <w:bCs/>
                <w:sz w:val="28"/>
                <w:szCs w:val="28"/>
                <w:lang w:val="ro-MD" w:eastAsia="ru-RU"/>
              </w:rPr>
              <w:t xml:space="preserve">- a fost identificată subdiviziunea structurală responsabilă de </w:t>
            </w:r>
            <w:r>
              <w:rPr>
                <w:rFonts w:ascii="Times New Roman" w:hAnsi="Times New Roman"/>
                <w:sz w:val="28"/>
                <w:szCs w:val="28"/>
                <w:lang w:val="ro-MD" w:eastAsia="ru-RU"/>
              </w:rPr>
              <w:t>coordonarea, la nivel de minister, a procesului de elaborare/revizuire a cadrului normativ pentru transpunerea legislației Uniunii Europene și asigurarea alinierii politicilor publice elaborate de subdiviziunile structurale ale aparatului central al ministerului la acquis-</w:t>
            </w:r>
            <w:proofErr w:type="spellStart"/>
            <w:r>
              <w:rPr>
                <w:rFonts w:ascii="Times New Roman" w:hAnsi="Times New Roman"/>
                <w:sz w:val="28"/>
                <w:szCs w:val="28"/>
                <w:lang w:val="ro-MD" w:eastAsia="ru-RU"/>
              </w:rPr>
              <w:t>ul</w:t>
            </w:r>
            <w:proofErr w:type="spellEnd"/>
            <w:r>
              <w:rPr>
                <w:rFonts w:ascii="Times New Roman" w:hAnsi="Times New Roman"/>
                <w:sz w:val="28"/>
                <w:szCs w:val="28"/>
                <w:lang w:val="ro-MD" w:eastAsia="ru-RU"/>
              </w:rPr>
              <w:t xml:space="preserve"> Uniunii Europene;</w:t>
            </w:r>
          </w:p>
          <w:p w:rsidR="00134686" w:rsidRDefault="00134686" w:rsidP="00CD49B8">
            <w:pPr>
              <w:tabs>
                <w:tab w:val="left" w:pos="884"/>
                <w:tab w:val="left" w:pos="1196"/>
              </w:tabs>
              <w:spacing w:after="0" w:line="240" w:lineRule="auto"/>
              <w:ind w:firstLine="602"/>
              <w:contextualSpacing/>
              <w:jc w:val="both"/>
              <w:rPr>
                <w:rFonts w:ascii="Times New Roman" w:hAnsi="Times New Roman"/>
                <w:sz w:val="28"/>
                <w:lang w:val="ro-MD"/>
              </w:rPr>
            </w:pPr>
            <w:r>
              <w:rPr>
                <w:rFonts w:ascii="Times New Roman" w:hAnsi="Times New Roman"/>
                <w:sz w:val="28"/>
                <w:szCs w:val="28"/>
                <w:lang w:val="ro-MD" w:eastAsia="ru-RU"/>
              </w:rPr>
              <w:t xml:space="preserve">- </w:t>
            </w:r>
            <w:r>
              <w:rPr>
                <w:rFonts w:ascii="Times New Roman" w:hAnsi="Times New Roman"/>
                <w:sz w:val="28"/>
                <w:lang w:val="ro-MD"/>
              </w:rPr>
              <w:t xml:space="preserve">s-a intervenit cu instituirea unei funcții publice de conducere de nivel superior, dat fiind faptul că potrivit </w:t>
            </w:r>
            <w:r>
              <w:rPr>
                <w:rFonts w:ascii="Times New Roman" w:eastAsia="Times New Roman" w:hAnsi="Times New Roman"/>
                <w:sz w:val="28"/>
                <w:szCs w:val="28"/>
                <w:lang w:val="ro-MD"/>
              </w:rPr>
              <w:t>art. 13</w:t>
            </w:r>
            <w:r>
              <w:rPr>
                <w:rFonts w:ascii="Times New Roman" w:eastAsia="Times New Roman" w:hAnsi="Times New Roman"/>
                <w:sz w:val="28"/>
                <w:szCs w:val="28"/>
                <w:vertAlign w:val="superscript"/>
                <w:lang w:val="ro-MD"/>
              </w:rPr>
              <w:t>1</w:t>
            </w:r>
            <w:r>
              <w:rPr>
                <w:rFonts w:ascii="Times New Roman" w:eastAsia="Times New Roman" w:hAnsi="Times New Roman"/>
                <w:sz w:val="28"/>
                <w:szCs w:val="28"/>
                <w:lang w:val="ro-MD"/>
              </w:rPr>
              <w:t xml:space="preserve"> din Legea nr.98/2012 privind administrația publică centrală de specialitate (în redacția Legii nr. 263/2022 pentru modificarea unor acte normative (</w:t>
            </w:r>
            <w:r>
              <w:rPr>
                <w:rFonts w:ascii="Times New Roman" w:eastAsia="Times New Roman" w:hAnsi="Times New Roman"/>
                <w:iCs/>
                <w:sz w:val="28"/>
                <w:szCs w:val="28"/>
                <w:lang w:val="ro-MD"/>
              </w:rPr>
              <w:t>privind instituirea unor funcții în autoritățile publice</w:t>
            </w:r>
            <w:r>
              <w:rPr>
                <w:rFonts w:ascii="Times New Roman" w:eastAsia="Times New Roman" w:hAnsi="Times New Roman"/>
                <w:sz w:val="28"/>
                <w:szCs w:val="28"/>
                <w:lang w:val="ro-MD"/>
              </w:rPr>
              <w:t xml:space="preserve">)) </w:t>
            </w:r>
            <w:r>
              <w:rPr>
                <w:rFonts w:ascii="Times New Roman" w:hAnsi="Times New Roman"/>
                <w:sz w:val="28"/>
                <w:lang w:val="ro-MD"/>
              </w:rPr>
              <w:t>în cadrul ministerelor, la propunerea ministrului poate fi instituită funcția de secretar general adjunct al ministerului responsabil de implementarea cerințelor de aderare a Republicii Moldova la Uniunea Europeană. În legea recent adoptată sunt enumerate și funcțiile secretarului general adjunct, fapt ce determină intervenția în legislația secundară pentru a asigura previzibilitate domeniilor încredințate respectivului funcționar public de conducere de nivel superior.</w:t>
            </w:r>
          </w:p>
          <w:p w:rsidR="00134686" w:rsidRDefault="00134686" w:rsidP="00CD49B8">
            <w:pPr>
              <w:tabs>
                <w:tab w:val="left" w:pos="884"/>
                <w:tab w:val="left" w:pos="1196"/>
              </w:tabs>
              <w:spacing w:after="0" w:line="240" w:lineRule="auto"/>
              <w:ind w:firstLine="602"/>
              <w:contextualSpacing/>
              <w:jc w:val="both"/>
              <w:rPr>
                <w:rFonts w:ascii="Times New Roman" w:hAnsi="Times New Roman"/>
                <w:sz w:val="28"/>
                <w:szCs w:val="26"/>
                <w:lang w:val="ro-MD"/>
              </w:rPr>
            </w:pPr>
            <w:r>
              <w:rPr>
                <w:rFonts w:ascii="Times New Roman" w:hAnsi="Times New Roman"/>
                <w:sz w:val="28"/>
                <w:lang w:val="ro-MD"/>
              </w:rPr>
              <w:t xml:space="preserve">Astfel, prin actualul proiect de Hotărâre de Guvern se urmărește aducerea în concordanță a structurii și organigramei Ministerului Educației și Cercetării cu </w:t>
            </w:r>
            <w:r>
              <w:rPr>
                <w:rFonts w:ascii="Times New Roman" w:hAnsi="Times New Roman"/>
                <w:sz w:val="28"/>
                <w:szCs w:val="28"/>
                <w:lang w:val="ro-MD"/>
              </w:rPr>
              <w:t xml:space="preserve">Hotărârea Guvernului nr. 595/2017 precum și fortificarea capacității ministerului în vederea asigurării îndeplinirii noilor funcții prevăzute </w:t>
            </w:r>
            <w:r>
              <w:rPr>
                <w:rFonts w:ascii="Times New Roman" w:hAnsi="Times New Roman"/>
                <w:sz w:val="28"/>
                <w:szCs w:val="28"/>
                <w:lang w:val="ro-MD" w:eastAsia="ru-RU"/>
              </w:rPr>
              <w:t>pentru transpunerea legislației Uniunii Europene și asigurarea alinierii politicilor publice elaborate de subdiviziunile structurale ale aparatului central al ministerului la acquis-</w:t>
            </w:r>
            <w:proofErr w:type="spellStart"/>
            <w:r>
              <w:rPr>
                <w:rFonts w:ascii="Times New Roman" w:hAnsi="Times New Roman"/>
                <w:sz w:val="28"/>
                <w:szCs w:val="28"/>
                <w:lang w:val="ro-MD" w:eastAsia="ru-RU"/>
              </w:rPr>
              <w:t>ul</w:t>
            </w:r>
            <w:proofErr w:type="spellEnd"/>
            <w:r>
              <w:rPr>
                <w:rFonts w:ascii="Times New Roman" w:hAnsi="Times New Roman"/>
                <w:sz w:val="28"/>
                <w:szCs w:val="28"/>
                <w:lang w:val="ro-MD" w:eastAsia="ru-RU"/>
              </w:rPr>
              <w:t xml:space="preserve"> Uniunii Europene</w:t>
            </w:r>
            <w:r>
              <w:rPr>
                <w:rFonts w:ascii="Times New Roman" w:hAnsi="Times New Roman"/>
                <w:sz w:val="28"/>
                <w:szCs w:val="26"/>
                <w:lang w:val="ro-MD"/>
              </w:rPr>
              <w:t>.</w:t>
            </w:r>
          </w:p>
          <w:p w:rsidR="00134686" w:rsidRDefault="00134686" w:rsidP="00CD49B8">
            <w:pPr>
              <w:tabs>
                <w:tab w:val="left" w:pos="884"/>
                <w:tab w:val="left" w:pos="1196"/>
              </w:tabs>
              <w:spacing w:after="0" w:line="240" w:lineRule="auto"/>
              <w:ind w:firstLine="602"/>
              <w:contextualSpacing/>
              <w:jc w:val="both"/>
              <w:rPr>
                <w:rFonts w:ascii="Times New Roman" w:hAnsi="Times New Roman"/>
                <w:sz w:val="28"/>
                <w:szCs w:val="26"/>
                <w:lang w:val="ro-MD"/>
              </w:rPr>
            </w:pPr>
            <w:r>
              <w:rPr>
                <w:rFonts w:ascii="Times New Roman" w:hAnsi="Times New Roman"/>
                <w:sz w:val="28"/>
                <w:szCs w:val="26"/>
                <w:lang w:val="ro-MD"/>
              </w:rPr>
              <w:lastRenderedPageBreak/>
              <w:t>La fel, prin actualul proiect se propune reorganizarea unor subdiviziuni interne ale aparatului central al Ministerului Educației și Cercetării, conform descrierii de la pct.4 din Notă.</w:t>
            </w:r>
          </w:p>
          <w:p w:rsidR="00134686" w:rsidRDefault="00134686" w:rsidP="00CD49B8">
            <w:pPr>
              <w:tabs>
                <w:tab w:val="left" w:pos="884"/>
                <w:tab w:val="left" w:pos="1196"/>
              </w:tabs>
              <w:spacing w:after="0" w:line="240" w:lineRule="auto"/>
              <w:ind w:firstLine="602"/>
              <w:contextualSpacing/>
              <w:jc w:val="both"/>
              <w:rPr>
                <w:rFonts w:ascii="Times New Roman" w:hAnsi="Times New Roman"/>
                <w:sz w:val="28"/>
                <w:szCs w:val="26"/>
                <w:lang w:val="ro-MD"/>
              </w:rPr>
            </w:pPr>
            <w:r>
              <w:rPr>
                <w:rFonts w:ascii="Times New Roman" w:hAnsi="Times New Roman"/>
                <w:color w:val="000000" w:themeColor="text1"/>
                <w:sz w:val="28"/>
                <w:szCs w:val="26"/>
                <w:lang w:val="ro-MD"/>
              </w:rPr>
              <w:t>Precizăm că, reorganizările propuse pentru „direcția politici în domeniul învățământului general și învățare pe tot parcursul vieții” (prin comasarea direcției învățământ general cu serviciul învățare pe tot parcursul vieții) și respectiv pentru „direcția juridică și resurse umane” (prin comasarea secției juridice cu secția resurse umane) sunt orientate spre fortificarea capacităților acestor subdiviziuni structurale.</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Menționăm că, învățământul general și învățarea pe tot parcursul vieții implică procese inter conexe în sistemul educațional, fapt pentru care atribuirea acestora la o singură subdiviziune structurală ar permite îmbunătățirea politicilor pe aceste subdomenii.</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xml:space="preserve">La fel și secția resurse umane cu secția juridică la moment sunt responsabile de procese comune precum: </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examinarea contestațiilor depuse în privința concursurilor organizate pentru funcțiile aparatului central al Ministerului Educației și Cercetării sau pentru funcțiile de conducere ale celor 137 instituții publice în raport cu care Ministerul Educației și Cercetării deține calitatea de fondator;</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examinarea petițiilor referitoare la litigiile care apar în raporturile de muncă în sistemul educațional din țară;</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pregătirea probatorului pentru litigiile de muncă (inițiate la angajarea, concedierea sau sancționarea angajaților aparatului central al Ministerului Educației și Cercetării sau a conducătorilor entităților în raport cu care Ministerul deține calitatea de fondator);</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elaborarea și avizarea regulamentelor/ statutelor entităților în raport cu care Ministerul Educației și Cercetării deține calitatea de fondator, etc.</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Astfel, comasarea acestor 2 subdiviziuni va contribui la consolidarea proceselor care țin de atribuțiile subdiviziunii juridice și a subdiviziunii resurse umane.</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Reorganizarea celorlalte subdiviziuni structurale implică modificarea denumirii subdiviziunilor sau transformarea acestora din servicii în secții și din secții în direcții.</w:t>
            </w:r>
          </w:p>
          <w:p w:rsidR="00134686" w:rsidRDefault="00134686" w:rsidP="00CD49B8">
            <w:pPr>
              <w:pStyle w:val="Default"/>
              <w:spacing w:line="254" w:lineRule="auto"/>
              <w:ind w:firstLine="379"/>
              <w:jc w:val="both"/>
              <w:rPr>
                <w:color w:val="000000" w:themeColor="text1"/>
                <w:sz w:val="28"/>
                <w:szCs w:val="28"/>
                <w:lang w:val="ro-MD" w:eastAsia="en-US"/>
              </w:rPr>
            </w:pPr>
            <w:r>
              <w:rPr>
                <w:color w:val="000000" w:themeColor="text1"/>
                <w:sz w:val="28"/>
                <w:szCs w:val="28"/>
                <w:lang w:val="ro-MD" w:eastAsia="en-US"/>
              </w:rPr>
              <w:t>Direcția management instituțional se va lichida (o unitate).</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spacing w:after="0" w:line="240" w:lineRule="auto"/>
              <w:ind w:right="8"/>
              <w:jc w:val="both"/>
              <w:rPr>
                <w:rFonts w:ascii="Times New Roman" w:eastAsia="Times New Roman" w:hAnsi="Times New Roman"/>
                <w:b/>
                <w:noProof/>
                <w:sz w:val="28"/>
                <w:szCs w:val="26"/>
                <w:lang w:val="ro-MD" w:eastAsia="ru-RU"/>
              </w:rPr>
            </w:pPr>
            <w:r>
              <w:rPr>
                <w:rFonts w:ascii="Times New Roman" w:eastAsia="Times New Roman" w:hAnsi="Times New Roman"/>
                <w:b/>
                <w:noProof/>
                <w:sz w:val="28"/>
                <w:szCs w:val="26"/>
                <w:lang w:val="ro-MD" w:eastAsia="ru-RU"/>
              </w:rPr>
              <w:lastRenderedPageBreak/>
              <w:t>3. Descrierea gradului de compatibilitate pentru proiectele care au ca scop armonizarea legislaţiei naţionale cu legislaţia Uniunii Europene</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spacing w:after="0" w:line="240" w:lineRule="auto"/>
              <w:ind w:right="8" w:firstLine="313"/>
              <w:jc w:val="both"/>
              <w:rPr>
                <w:rFonts w:ascii="Times New Roman" w:eastAsia="Times New Roman" w:hAnsi="Times New Roman"/>
                <w:noProof/>
                <w:sz w:val="28"/>
                <w:szCs w:val="26"/>
                <w:lang w:val="ro-MD" w:eastAsia="ru-RU"/>
              </w:rPr>
            </w:pPr>
            <w:r>
              <w:rPr>
                <w:rFonts w:ascii="Times New Roman" w:eastAsia="Times New Roman" w:hAnsi="Times New Roman"/>
                <w:noProof/>
                <w:sz w:val="28"/>
                <w:szCs w:val="26"/>
                <w:lang w:val="ro-MD" w:eastAsia="ru-RU"/>
              </w:rPr>
              <w:t>Actul normativ nu conține norme privind armonizarea legislației naționale cu legislația Uniunii Europene.</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jc w:val="both"/>
              <w:rPr>
                <w:rFonts w:ascii="Times New Roman" w:hAnsi="Times New Roman"/>
                <w:b/>
                <w:sz w:val="28"/>
                <w:szCs w:val="26"/>
                <w:lang w:val="ro-MD"/>
              </w:rPr>
            </w:pPr>
            <w:r>
              <w:rPr>
                <w:rFonts w:ascii="Times New Roman" w:hAnsi="Times New Roman"/>
                <w:b/>
                <w:sz w:val="28"/>
                <w:szCs w:val="26"/>
                <w:lang w:val="ro-MD"/>
              </w:rPr>
              <w:t>4. Principalele prevederi ale proiectului și evidențierea elementelor noi</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Conform proiectului de Hotărâre de Guvern se propune:</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consolidarea structurii aparatului central al Ministerului Educației și Cercetării pe componenta de integrare europeană;</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lastRenderedPageBreak/>
              <w:t>- reorganizarea unor subdiviziuni structurale ale aparatului central al Ministerului Educației și Cercetării;</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reglementarea funcțiilor Ministerului Educației și Cercetării pe segmental integrării europene;</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prezentarea noii structurii și a noii organigrame a aparatului central al Ministerului Educației și Cercetării.</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Menționăm că pentru a asigura o îndeplinire corespunzătoare a funcțiilor prevăzute la pct.7 din Regulamentul de organizare și funcționare a Ministerului Educației și Cercetării (inclusiv noile funcții propuse pe componenta de integrare europeană) este necesar de reorganizat structura internă a aparatului central al Ministerului Educației și Cercetării.</w:t>
            </w:r>
          </w:p>
          <w:p w:rsidR="00134686" w:rsidRDefault="00134686" w:rsidP="00CD49B8">
            <w:pPr>
              <w:pStyle w:val="Default"/>
              <w:spacing w:line="254" w:lineRule="auto"/>
              <w:ind w:firstLine="379"/>
              <w:jc w:val="both"/>
              <w:rPr>
                <w:color w:val="000000" w:themeColor="text1"/>
                <w:sz w:val="28"/>
                <w:szCs w:val="26"/>
                <w:lang w:val="ro-MD" w:eastAsia="en-US"/>
              </w:rPr>
            </w:pPr>
            <w:r>
              <w:rPr>
                <w:b/>
                <w:color w:val="000000" w:themeColor="text1"/>
                <w:sz w:val="28"/>
                <w:szCs w:val="26"/>
                <w:lang w:val="ro-MD" w:eastAsia="en-US"/>
              </w:rPr>
              <w:t>Potrivit pct. 1 subpct.1 și subpct.2</w:t>
            </w:r>
            <w:r>
              <w:rPr>
                <w:color w:val="000000" w:themeColor="text1"/>
                <w:sz w:val="28"/>
                <w:szCs w:val="26"/>
                <w:lang w:val="ro-MD" w:eastAsia="en-US"/>
              </w:rPr>
              <w:t xml:space="preserve"> din proiect se propune reglementarea atribuțiilor secretarului general adjunct al ministerului.</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Atribuțiile secretarului general adjunct al ministerului au fost preluate din art.13</w:t>
            </w:r>
            <w:r>
              <w:rPr>
                <w:color w:val="000000" w:themeColor="text1"/>
                <w:sz w:val="28"/>
                <w:szCs w:val="26"/>
                <w:vertAlign w:val="superscript"/>
                <w:lang w:val="ro-MD" w:eastAsia="en-US"/>
              </w:rPr>
              <w:t>1</w:t>
            </w:r>
            <w:r>
              <w:rPr>
                <w:color w:val="000000" w:themeColor="text1"/>
                <w:sz w:val="28"/>
                <w:szCs w:val="26"/>
                <w:lang w:val="ro-MD" w:eastAsia="en-US"/>
              </w:rPr>
              <w:t xml:space="preserve"> al Legii nr.98/2012 privind administrația publică centrală de specialitate.</w:t>
            </w:r>
          </w:p>
          <w:p w:rsidR="00134686" w:rsidRDefault="00134686" w:rsidP="00CD49B8">
            <w:pPr>
              <w:pStyle w:val="Default"/>
              <w:spacing w:line="254" w:lineRule="auto"/>
              <w:ind w:firstLine="379"/>
              <w:jc w:val="both"/>
              <w:rPr>
                <w:color w:val="000000" w:themeColor="text1"/>
                <w:sz w:val="28"/>
                <w:szCs w:val="26"/>
                <w:lang w:val="ro-MD" w:eastAsia="en-US"/>
              </w:rPr>
            </w:pPr>
            <w:r>
              <w:rPr>
                <w:b/>
                <w:color w:val="000000" w:themeColor="text1"/>
                <w:sz w:val="28"/>
                <w:szCs w:val="26"/>
                <w:lang w:val="ro-MD" w:eastAsia="en-US"/>
              </w:rPr>
              <w:t>Potrivit pct.1</w:t>
            </w:r>
            <w:r>
              <w:rPr>
                <w:color w:val="000000" w:themeColor="text1"/>
                <w:sz w:val="28"/>
                <w:szCs w:val="26"/>
                <w:lang w:val="ro-MD" w:eastAsia="en-US"/>
              </w:rPr>
              <w:t xml:space="preserve"> </w:t>
            </w:r>
            <w:r>
              <w:rPr>
                <w:b/>
                <w:color w:val="000000" w:themeColor="text1"/>
                <w:sz w:val="28"/>
                <w:szCs w:val="26"/>
                <w:lang w:val="ro-MD" w:eastAsia="en-US"/>
              </w:rPr>
              <w:t xml:space="preserve">subpct.3 </w:t>
            </w:r>
            <w:r>
              <w:rPr>
                <w:color w:val="000000" w:themeColor="text1"/>
                <w:sz w:val="28"/>
                <w:szCs w:val="26"/>
                <w:lang w:val="ro-MD" w:eastAsia="en-US"/>
              </w:rPr>
              <w:t>se propune o nouă structură și o nouă organigramă a Ministerului Educației și Cercetării. Noua structură și organigramă sunt elaborate în conformitate cu structura-tip și organigrama-tip a ministerelor, prevăzute în Hotărârea Guvernului nr.595/2017.</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În noua structură și organigramă se propun următoarele modificări:</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a) se completează cu:</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funcția de secretar general adjunct;</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subdiviziunea structurală „serviciul coordonare asistență externă”.</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b) se reorganizează următoarele subdiviziuni:</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direcția analiza, monitorizare și evaluare a politicilor, prin transformare în „direcția coordonare politici publice și integrare europeană;</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serviciul probleme speciale, prin redenumire în „serviciul protecția secretului de stat”;</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„direcția politici în domeniul învățământului general și învățare pe tot parcursul vieții”, prin comasarea direcției învățământ general cu serviciul învățare pe tot parcursul vieții;</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direcția învățământ profesional tehnic, prin redenumire în „direcția politici în domeniul învățământului profesional tehnic”;</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direcția tineret, prin redenumire în „direcția politici în domeniul tineretului”;</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direcția sport, prin redenumire în „direcția politici în domeniul sportului”;</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„direcția juridică și resurse umane”, prin comasarea secției ju</w:t>
            </w:r>
            <w:r w:rsidR="009722EF">
              <w:rPr>
                <w:color w:val="000000" w:themeColor="text1"/>
                <w:sz w:val="28"/>
                <w:szCs w:val="26"/>
                <w:lang w:val="ro-MD" w:eastAsia="en-US"/>
              </w:rPr>
              <w:t>ridice cu secția resurse umane</w:t>
            </w:r>
            <w:r>
              <w:rPr>
                <w:color w:val="000000" w:themeColor="text1"/>
                <w:sz w:val="28"/>
                <w:szCs w:val="26"/>
                <w:lang w:val="ro-MD" w:eastAsia="en-US"/>
              </w:rPr>
              <w:t>;</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 secția financiar-administrativă, prin transformare în „direcția financiar-administrativă”.</w:t>
            </w:r>
          </w:p>
          <w:p w:rsidR="00134686" w:rsidRDefault="00134686" w:rsidP="00CD49B8">
            <w:pPr>
              <w:pStyle w:val="Default"/>
              <w:spacing w:line="254" w:lineRule="auto"/>
              <w:ind w:firstLine="379"/>
              <w:jc w:val="both"/>
              <w:rPr>
                <w:color w:val="000000" w:themeColor="text1"/>
                <w:sz w:val="28"/>
                <w:szCs w:val="26"/>
                <w:lang w:val="ro-MD" w:eastAsia="en-US"/>
              </w:rPr>
            </w:pPr>
            <w:r>
              <w:rPr>
                <w:color w:val="000000" w:themeColor="text1"/>
                <w:sz w:val="28"/>
                <w:szCs w:val="26"/>
                <w:lang w:val="ro-MD" w:eastAsia="en-US"/>
              </w:rPr>
              <w:t>c) se lichidează direcția management instituțional.</w:t>
            </w:r>
          </w:p>
          <w:p w:rsidR="00134686" w:rsidRDefault="00134686" w:rsidP="00CD49B8">
            <w:pPr>
              <w:pStyle w:val="Default"/>
              <w:spacing w:line="254" w:lineRule="auto"/>
              <w:ind w:firstLine="379"/>
              <w:jc w:val="both"/>
              <w:rPr>
                <w:sz w:val="28"/>
                <w:szCs w:val="28"/>
                <w:lang w:val="ro-MD" w:eastAsia="en-US"/>
              </w:rPr>
            </w:pPr>
            <w:r>
              <w:rPr>
                <w:b/>
                <w:noProof/>
                <w:sz w:val="28"/>
                <w:szCs w:val="28"/>
                <w:lang w:val="ro-MD" w:eastAsia="en-US"/>
              </w:rPr>
              <w:t>Potrivit pct. 2</w:t>
            </w:r>
            <w:r>
              <w:rPr>
                <w:noProof/>
                <w:sz w:val="28"/>
                <w:szCs w:val="28"/>
                <w:lang w:val="ro-MD" w:eastAsia="en-US"/>
              </w:rPr>
              <w:t xml:space="preserve"> al proiectului, data intrării în vigoare a Hotărârii de Guvern se propune a fi data publicării acesteia în Monitorul Oficial al Republicii Moldova, fiind </w:t>
            </w:r>
            <w:r>
              <w:rPr>
                <w:sz w:val="28"/>
                <w:szCs w:val="28"/>
                <w:lang w:val="ro-MD" w:eastAsia="en-US"/>
              </w:rPr>
              <w:t xml:space="preserve">dictată de necesitatea inițierii procedurilor interne de reorganizare a </w:t>
            </w:r>
            <w:r>
              <w:rPr>
                <w:sz w:val="28"/>
                <w:szCs w:val="28"/>
                <w:lang w:val="ro-MD" w:eastAsia="en-US"/>
              </w:rPr>
              <w:lastRenderedPageBreak/>
              <w:t>subdiviziunilor aparatului central al Ministerului Educației și Cercetării, de necesitatea angajării personalului pentru funcțiile vacante, responsabile de coordonarea și elaborarea politicilor pe componenta integrare europeană, precum și pentru impulsionarea impactului asupra implementării cerințelor de aderare a Republicii Moldova la Uniunea Europeană, dar și accelerarea reformelor cheie în domeniul educație.</w:t>
            </w:r>
          </w:p>
        </w:tc>
      </w:tr>
      <w:tr w:rsidR="00134686"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firstLine="284"/>
              <w:jc w:val="both"/>
              <w:rPr>
                <w:rFonts w:ascii="Times New Roman" w:hAnsi="Times New Roman"/>
                <w:b/>
                <w:sz w:val="28"/>
                <w:szCs w:val="26"/>
                <w:lang w:val="ro-MD"/>
              </w:rPr>
            </w:pPr>
            <w:r>
              <w:rPr>
                <w:rFonts w:ascii="Times New Roman" w:hAnsi="Times New Roman"/>
                <w:b/>
                <w:sz w:val="28"/>
                <w:szCs w:val="26"/>
                <w:lang w:val="ro-MD"/>
              </w:rPr>
              <w:lastRenderedPageBreak/>
              <w:t xml:space="preserve">5. Fundamentarea </w:t>
            </w:r>
            <w:proofErr w:type="spellStart"/>
            <w:r>
              <w:rPr>
                <w:rFonts w:ascii="Times New Roman" w:hAnsi="Times New Roman"/>
                <w:b/>
                <w:sz w:val="28"/>
                <w:szCs w:val="26"/>
                <w:lang w:val="ro-MD"/>
              </w:rPr>
              <w:t>economico</w:t>
            </w:r>
            <w:proofErr w:type="spellEnd"/>
            <w:r>
              <w:rPr>
                <w:rFonts w:ascii="Times New Roman" w:hAnsi="Times New Roman"/>
                <w:b/>
                <w:sz w:val="28"/>
                <w:szCs w:val="26"/>
                <w:lang w:val="ro-MD"/>
              </w:rPr>
              <w:t>-financiară</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0D761B">
            <w:pPr>
              <w:tabs>
                <w:tab w:val="left" w:pos="5954"/>
                <w:tab w:val="left" w:pos="6096"/>
              </w:tabs>
              <w:spacing w:after="0" w:line="240" w:lineRule="auto"/>
              <w:ind w:left="29" w:right="33" w:firstLine="284"/>
              <w:jc w:val="both"/>
              <w:rPr>
                <w:rFonts w:ascii="Times New Roman" w:hAnsi="Times New Roman"/>
                <w:sz w:val="28"/>
                <w:szCs w:val="26"/>
                <w:lang w:val="ro-MD"/>
              </w:rPr>
            </w:pPr>
            <w:r>
              <w:rPr>
                <w:rFonts w:ascii="Times New Roman" w:hAnsi="Times New Roman"/>
                <w:sz w:val="28"/>
                <w:szCs w:val="26"/>
                <w:lang w:val="ro-MD"/>
              </w:rPr>
              <w:t xml:space="preserve">Implementarea </w:t>
            </w:r>
            <w:r w:rsidR="000D761B">
              <w:rPr>
                <w:rFonts w:ascii="Times New Roman" w:hAnsi="Times New Roman"/>
                <w:sz w:val="28"/>
                <w:szCs w:val="26"/>
                <w:lang w:val="ro-MD"/>
              </w:rPr>
              <w:t>proiectului de act normativ urmează a se realiza în limita alocațiilor bugetare aprobate autorității</w:t>
            </w:r>
            <w:r>
              <w:rPr>
                <w:rFonts w:ascii="Times New Roman" w:hAnsi="Times New Roman"/>
                <w:sz w:val="28"/>
                <w:szCs w:val="26"/>
                <w:lang w:val="ro-MD"/>
              </w:rPr>
              <w:t>.</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firstLine="284"/>
              <w:jc w:val="both"/>
              <w:rPr>
                <w:rFonts w:ascii="Times New Roman" w:hAnsi="Times New Roman"/>
                <w:b/>
                <w:sz w:val="28"/>
                <w:szCs w:val="26"/>
                <w:lang w:val="ro-MD"/>
              </w:rPr>
            </w:pPr>
            <w:r>
              <w:rPr>
                <w:rFonts w:ascii="Times New Roman" w:hAnsi="Times New Roman"/>
                <w:b/>
                <w:sz w:val="28"/>
                <w:szCs w:val="26"/>
                <w:lang w:val="ro-MD"/>
              </w:rPr>
              <w:t>6. Modul de încorporare a actului în cadrul normativ în vigoare</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firstLine="284"/>
              <w:jc w:val="both"/>
              <w:rPr>
                <w:rFonts w:ascii="Times New Roman" w:hAnsi="Times New Roman"/>
                <w:sz w:val="28"/>
                <w:szCs w:val="26"/>
                <w:lang w:val="ro-MD"/>
              </w:rPr>
            </w:pPr>
            <w:r>
              <w:rPr>
                <w:rFonts w:ascii="Times New Roman" w:eastAsia="Times New Roman" w:hAnsi="Times New Roman"/>
                <w:noProof/>
                <w:sz w:val="28"/>
                <w:szCs w:val="26"/>
                <w:lang w:val="ro-MD" w:eastAsia="ru-RU"/>
              </w:rPr>
              <w:t>Proiectul se încorporează în sistemul actelor normative și</w:t>
            </w:r>
            <w:r>
              <w:rPr>
                <w:rFonts w:ascii="Times New Roman" w:hAnsi="Times New Roman"/>
                <w:sz w:val="28"/>
                <w:szCs w:val="26"/>
                <w:lang w:val="ro-MD"/>
              </w:rPr>
              <w:t xml:space="preserve"> nu necesită modificarea cadrului normativ sau elaborarea unor acte normative noi. </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firstLine="284"/>
              <w:jc w:val="both"/>
              <w:rPr>
                <w:rFonts w:ascii="Times New Roman" w:hAnsi="Times New Roman"/>
                <w:b/>
                <w:sz w:val="28"/>
                <w:szCs w:val="26"/>
                <w:lang w:val="ro-MD"/>
              </w:rPr>
            </w:pPr>
            <w:r>
              <w:rPr>
                <w:rFonts w:ascii="Times New Roman" w:hAnsi="Times New Roman"/>
                <w:b/>
                <w:sz w:val="28"/>
                <w:szCs w:val="26"/>
                <w:lang w:val="ro-MD"/>
              </w:rPr>
              <w:t xml:space="preserve">7. Avizarea </w:t>
            </w:r>
            <w:proofErr w:type="spellStart"/>
            <w:r>
              <w:rPr>
                <w:rFonts w:ascii="Times New Roman" w:hAnsi="Times New Roman"/>
                <w:b/>
                <w:sz w:val="28"/>
                <w:szCs w:val="26"/>
                <w:lang w:val="ro-MD"/>
              </w:rPr>
              <w:t>şi</w:t>
            </w:r>
            <w:proofErr w:type="spellEnd"/>
            <w:r>
              <w:rPr>
                <w:rFonts w:ascii="Times New Roman" w:hAnsi="Times New Roman"/>
                <w:b/>
                <w:sz w:val="28"/>
                <w:szCs w:val="26"/>
                <w:lang w:val="ro-MD"/>
              </w:rPr>
              <w:t xml:space="preserve"> consultarea publică a proiectului</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firstLine="284"/>
              <w:jc w:val="both"/>
              <w:rPr>
                <w:rFonts w:ascii="Times New Roman" w:hAnsi="Times New Roman"/>
                <w:sz w:val="28"/>
                <w:szCs w:val="26"/>
                <w:lang w:val="ro-MD"/>
              </w:rPr>
            </w:pPr>
            <w:r>
              <w:rPr>
                <w:rFonts w:ascii="Times New Roman" w:hAnsi="Times New Roman"/>
                <w:sz w:val="28"/>
                <w:szCs w:val="26"/>
                <w:lang w:val="ro-MD"/>
              </w:rPr>
              <w:t xml:space="preserve">În scopul respectării prevederilor Legii nr.239/2008 privind transparența în procesul decizional, pe pagina web oficială a Ministerului Educației și Cercetării </w:t>
            </w:r>
          </w:p>
          <w:p w:rsidR="00134686" w:rsidRDefault="009722EF" w:rsidP="00CD49B8">
            <w:pPr>
              <w:tabs>
                <w:tab w:val="left" w:pos="884"/>
                <w:tab w:val="left" w:pos="1196"/>
              </w:tabs>
              <w:spacing w:after="0" w:line="240" w:lineRule="auto"/>
              <w:ind w:left="29" w:right="33"/>
              <w:jc w:val="both"/>
              <w:rPr>
                <w:rFonts w:ascii="Times New Roman" w:hAnsi="Times New Roman"/>
                <w:sz w:val="28"/>
                <w:szCs w:val="26"/>
                <w:lang w:val="ro-MD"/>
              </w:rPr>
            </w:pPr>
            <w:hyperlink r:id="rId5" w:history="1">
              <w:r w:rsidR="00134686">
                <w:rPr>
                  <w:rStyle w:val="a3"/>
                  <w:rFonts w:ascii="Times New Roman" w:hAnsi="Times New Roman"/>
                  <w:sz w:val="28"/>
                  <w:szCs w:val="26"/>
                  <w:lang w:val="ro-MD"/>
                </w:rPr>
                <w:t>www.mec.gov.md</w:t>
              </w:r>
            </w:hyperlink>
            <w:r w:rsidR="00134686">
              <w:rPr>
                <w:rFonts w:ascii="Times New Roman" w:hAnsi="Times New Roman"/>
                <w:sz w:val="28"/>
                <w:szCs w:val="28"/>
                <w:lang w:val="ro-MD"/>
              </w:rPr>
              <w:t>,</w:t>
            </w:r>
            <w:r w:rsidR="00134686">
              <w:rPr>
                <w:lang w:val="ro-MD"/>
              </w:rPr>
              <w:t xml:space="preserve"> </w:t>
            </w:r>
            <w:r w:rsidR="00134686">
              <w:rPr>
                <w:rFonts w:ascii="Times New Roman" w:hAnsi="Times New Roman"/>
                <w:sz w:val="28"/>
                <w:szCs w:val="26"/>
                <w:lang w:val="ro-MD"/>
              </w:rPr>
              <w:t>compartimentul Transparența decizională, modulul de participare, a fost publicat anunțul cu privire la inițierea procesului de elaborare a proiectului Hotărârii de Guvern (</w:t>
            </w:r>
            <w:hyperlink r:id="rId6" w:history="1">
              <w:r w:rsidR="00134686" w:rsidRPr="00E50C00">
                <w:rPr>
                  <w:rStyle w:val="a3"/>
                  <w:rFonts w:ascii="Times New Roman" w:hAnsi="Times New Roman"/>
                  <w:sz w:val="28"/>
                  <w:szCs w:val="26"/>
                  <w:lang w:val="ro-MD"/>
                </w:rPr>
                <w:t>https://particip.gov.md/ro/document/stages/*/10764</w:t>
              </w:r>
            </w:hyperlink>
            <w:r w:rsidR="00134686">
              <w:rPr>
                <w:rFonts w:ascii="Times New Roman" w:hAnsi="Times New Roman"/>
                <w:sz w:val="28"/>
                <w:szCs w:val="26"/>
                <w:lang w:val="ro-MD"/>
              </w:rPr>
              <w:t>).</w:t>
            </w:r>
          </w:p>
          <w:p w:rsidR="00134686" w:rsidRDefault="00134686" w:rsidP="00CD49B8">
            <w:pPr>
              <w:tabs>
                <w:tab w:val="left" w:pos="884"/>
                <w:tab w:val="left" w:pos="1196"/>
              </w:tabs>
              <w:spacing w:after="0" w:line="240" w:lineRule="auto"/>
              <w:ind w:left="29" w:right="33"/>
              <w:jc w:val="both"/>
              <w:rPr>
                <w:rFonts w:ascii="Times New Roman" w:hAnsi="Times New Roman"/>
                <w:sz w:val="28"/>
                <w:szCs w:val="26"/>
                <w:lang w:val="ro-MD"/>
              </w:rPr>
            </w:pPr>
            <w:r>
              <w:rPr>
                <w:rFonts w:ascii="Times New Roman" w:hAnsi="Times New Roman"/>
                <w:sz w:val="28"/>
                <w:szCs w:val="26"/>
                <w:lang w:val="ro-MD"/>
              </w:rPr>
              <w:t xml:space="preserve">Proiectul hotărârii de Guvern urmează a fi avizat la Cancelaria de stat și Ministerul Finanțelor. </w:t>
            </w:r>
          </w:p>
        </w:tc>
      </w:tr>
      <w:tr w:rsidR="00134686"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firstLine="284"/>
              <w:jc w:val="both"/>
              <w:rPr>
                <w:rFonts w:ascii="Times New Roman" w:hAnsi="Times New Roman"/>
                <w:b/>
                <w:sz w:val="28"/>
                <w:szCs w:val="26"/>
                <w:lang w:val="ro-MD"/>
              </w:rPr>
            </w:pPr>
            <w:r>
              <w:rPr>
                <w:rFonts w:ascii="Times New Roman" w:hAnsi="Times New Roman"/>
                <w:b/>
                <w:sz w:val="28"/>
                <w:szCs w:val="26"/>
                <w:lang w:val="ro-MD"/>
              </w:rPr>
              <w:t>8. Constatările expertizei anticorupție</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right="33" w:firstLine="379"/>
              <w:jc w:val="both"/>
              <w:rPr>
                <w:rFonts w:ascii="Times New Roman" w:hAnsi="Times New Roman"/>
                <w:color w:val="000000" w:themeColor="text1"/>
                <w:sz w:val="28"/>
                <w:szCs w:val="26"/>
                <w:lang w:val="ro-MD"/>
              </w:rPr>
            </w:pPr>
            <w:r>
              <w:rPr>
                <w:rFonts w:ascii="Times New Roman" w:hAnsi="Times New Roman"/>
                <w:color w:val="000000" w:themeColor="text1"/>
                <w:sz w:val="28"/>
                <w:szCs w:val="28"/>
                <w:lang w:val="ro-MD"/>
              </w:rPr>
              <w:t>Proiectul urmează a fi supus expertizei anticorupție la Centrul Național Anticorupție.</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firstLine="284"/>
              <w:jc w:val="both"/>
              <w:rPr>
                <w:rFonts w:ascii="Times New Roman" w:eastAsia="Times New Roman" w:hAnsi="Times New Roman"/>
                <w:noProof/>
                <w:color w:val="000000" w:themeColor="text1"/>
                <w:sz w:val="28"/>
                <w:szCs w:val="26"/>
                <w:lang w:val="ro-MD" w:eastAsia="ru-RU"/>
              </w:rPr>
            </w:pPr>
            <w:r>
              <w:rPr>
                <w:rFonts w:ascii="Times New Roman" w:hAnsi="Times New Roman"/>
                <w:b/>
                <w:color w:val="000000" w:themeColor="text1"/>
                <w:sz w:val="28"/>
                <w:szCs w:val="26"/>
                <w:lang w:val="ro-MD"/>
              </w:rPr>
              <w:t>9. Constatările expertizei de compatibilitate cu legislația Uniunii Europene</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firstLine="284"/>
              <w:jc w:val="both"/>
              <w:rPr>
                <w:rFonts w:ascii="Times New Roman" w:eastAsia="Times New Roman" w:hAnsi="Times New Roman"/>
                <w:noProof/>
                <w:color w:val="000000" w:themeColor="text1"/>
                <w:sz w:val="28"/>
                <w:szCs w:val="26"/>
                <w:lang w:val="ro-MD" w:eastAsia="ru-RU"/>
              </w:rPr>
            </w:pPr>
            <w:r>
              <w:rPr>
                <w:rFonts w:ascii="Times New Roman" w:eastAsia="Times New Roman" w:hAnsi="Times New Roman"/>
                <w:noProof/>
                <w:color w:val="000000" w:themeColor="text1"/>
                <w:sz w:val="28"/>
                <w:szCs w:val="26"/>
                <w:lang w:val="ro-MD" w:eastAsia="ru-RU"/>
              </w:rPr>
              <w:t>Proiectul nu intră în categoria actelor normative care necesită expertiza de compatibilitate cu legislația Uniunii Europene.</w:t>
            </w:r>
          </w:p>
        </w:tc>
      </w:tr>
      <w:tr w:rsidR="00134686"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firstLine="284"/>
              <w:jc w:val="both"/>
              <w:rPr>
                <w:rFonts w:ascii="Times New Roman" w:hAnsi="Times New Roman"/>
                <w:color w:val="000000" w:themeColor="text1"/>
                <w:sz w:val="28"/>
                <w:szCs w:val="26"/>
                <w:shd w:val="clear" w:color="auto" w:fill="FFFFFF"/>
                <w:lang w:val="ro-MD"/>
              </w:rPr>
            </w:pPr>
            <w:r>
              <w:rPr>
                <w:rFonts w:ascii="Times New Roman" w:hAnsi="Times New Roman"/>
                <w:b/>
                <w:color w:val="000000" w:themeColor="text1"/>
                <w:sz w:val="28"/>
                <w:szCs w:val="26"/>
                <w:lang w:val="ro-MD"/>
              </w:rPr>
              <w:t>10. Constatările expertizei juridice</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firstLine="284"/>
              <w:jc w:val="both"/>
              <w:rPr>
                <w:rFonts w:ascii="Times New Roman" w:hAnsi="Times New Roman"/>
                <w:color w:val="000000" w:themeColor="text1"/>
                <w:sz w:val="28"/>
                <w:szCs w:val="28"/>
                <w:shd w:val="clear" w:color="auto" w:fill="FFFFFF"/>
                <w:lang w:val="ro-MD"/>
              </w:rPr>
            </w:pPr>
            <w:r>
              <w:rPr>
                <w:rFonts w:ascii="Times New Roman" w:hAnsi="Times New Roman"/>
                <w:color w:val="000000" w:themeColor="text1"/>
                <w:sz w:val="28"/>
                <w:szCs w:val="28"/>
                <w:shd w:val="clear" w:color="auto" w:fill="FFFFFF"/>
                <w:lang w:val="ro-MD"/>
              </w:rPr>
              <w:t>Proiectul urmează a fi supus expertizei juridice la Ministerul Justiției.</w:t>
            </w:r>
          </w:p>
        </w:tc>
      </w:tr>
      <w:tr w:rsidR="00134686"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firstLine="284"/>
              <w:jc w:val="both"/>
              <w:rPr>
                <w:rFonts w:ascii="Times New Roman" w:hAnsi="Times New Roman"/>
                <w:b/>
                <w:color w:val="000000" w:themeColor="text1"/>
                <w:sz w:val="28"/>
                <w:szCs w:val="26"/>
                <w:lang w:val="ro-MD"/>
              </w:rPr>
            </w:pPr>
            <w:r>
              <w:rPr>
                <w:rFonts w:ascii="Times New Roman" w:hAnsi="Times New Roman"/>
                <w:b/>
                <w:color w:val="000000" w:themeColor="text1"/>
                <w:sz w:val="28"/>
                <w:szCs w:val="26"/>
                <w:lang w:val="ro-MD"/>
              </w:rPr>
              <w:t>11. Constatările altor expertize</w:t>
            </w:r>
          </w:p>
        </w:tc>
      </w:tr>
      <w:tr w:rsidR="00134686" w:rsidRPr="00DC0D80" w:rsidTr="00CD49B8">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134686" w:rsidRDefault="00134686" w:rsidP="00CD49B8">
            <w:pPr>
              <w:tabs>
                <w:tab w:val="left" w:pos="884"/>
                <w:tab w:val="left" w:pos="1196"/>
              </w:tabs>
              <w:spacing w:after="0" w:line="240" w:lineRule="auto"/>
              <w:ind w:left="29" w:right="33" w:firstLine="284"/>
              <w:jc w:val="both"/>
              <w:rPr>
                <w:rFonts w:ascii="Times New Roman" w:hAnsi="Times New Roman"/>
                <w:color w:val="000000" w:themeColor="text1"/>
                <w:sz w:val="28"/>
                <w:szCs w:val="26"/>
                <w:lang w:val="ro-MD"/>
              </w:rPr>
            </w:pPr>
            <w:r>
              <w:rPr>
                <w:rFonts w:ascii="Times New Roman" w:hAnsi="Times New Roman"/>
                <w:color w:val="000000" w:themeColor="text1"/>
                <w:sz w:val="28"/>
                <w:szCs w:val="26"/>
                <w:lang w:val="ro-MD"/>
              </w:rPr>
              <w:t>Analiza de impact al proiectului a fost consultată cu Cancelaria de stat și Ministerul Finanțelor.</w:t>
            </w:r>
          </w:p>
        </w:tc>
      </w:tr>
    </w:tbl>
    <w:p w:rsidR="00134686" w:rsidRDefault="00134686" w:rsidP="00134686">
      <w:pPr>
        <w:spacing w:after="0" w:line="240" w:lineRule="auto"/>
        <w:rPr>
          <w:rFonts w:ascii="Times New Roman" w:hAnsi="Times New Roman"/>
          <w:sz w:val="28"/>
          <w:szCs w:val="26"/>
          <w:lang w:val="ro-MD"/>
        </w:rPr>
      </w:pPr>
    </w:p>
    <w:p w:rsidR="00134686" w:rsidRDefault="00134686" w:rsidP="00134686">
      <w:pPr>
        <w:spacing w:after="0" w:line="240" w:lineRule="auto"/>
        <w:rPr>
          <w:rFonts w:ascii="Times New Roman" w:hAnsi="Times New Roman"/>
          <w:sz w:val="28"/>
          <w:szCs w:val="26"/>
          <w:lang w:val="ro-MD"/>
        </w:rPr>
      </w:pPr>
    </w:p>
    <w:p w:rsidR="00134686" w:rsidRDefault="00134686" w:rsidP="00134686">
      <w:pPr>
        <w:spacing w:after="0" w:line="240" w:lineRule="auto"/>
        <w:jc w:val="center"/>
        <w:rPr>
          <w:rFonts w:ascii="Times New Roman" w:hAnsi="Times New Roman"/>
          <w:b/>
          <w:sz w:val="28"/>
          <w:szCs w:val="28"/>
          <w:lang w:val="ro-MD"/>
        </w:rPr>
      </w:pPr>
      <w:r>
        <w:rPr>
          <w:rFonts w:ascii="Times New Roman" w:hAnsi="Times New Roman"/>
          <w:b/>
          <w:sz w:val="28"/>
          <w:szCs w:val="28"/>
          <w:lang w:val="ro-MD"/>
        </w:rPr>
        <w:t>Ministru</w:t>
      </w:r>
      <w:r>
        <w:rPr>
          <w:rFonts w:ascii="Times New Roman" w:hAnsi="Times New Roman"/>
          <w:b/>
          <w:sz w:val="28"/>
          <w:szCs w:val="28"/>
          <w:lang w:val="ro-MD"/>
        </w:rPr>
        <w:tab/>
      </w:r>
      <w:r>
        <w:rPr>
          <w:rFonts w:ascii="Times New Roman" w:hAnsi="Times New Roman"/>
          <w:b/>
          <w:sz w:val="28"/>
          <w:szCs w:val="28"/>
          <w:lang w:val="ro-MD"/>
        </w:rPr>
        <w:tab/>
      </w:r>
      <w:r>
        <w:rPr>
          <w:rFonts w:ascii="Times New Roman" w:hAnsi="Times New Roman"/>
          <w:b/>
          <w:sz w:val="28"/>
          <w:szCs w:val="28"/>
          <w:lang w:val="ro-MD"/>
        </w:rPr>
        <w:tab/>
      </w:r>
      <w:r>
        <w:rPr>
          <w:rFonts w:ascii="Times New Roman" w:hAnsi="Times New Roman"/>
          <w:b/>
          <w:sz w:val="28"/>
          <w:szCs w:val="28"/>
          <w:lang w:val="ro-MD"/>
        </w:rPr>
        <w:tab/>
      </w:r>
      <w:r>
        <w:rPr>
          <w:rFonts w:ascii="Times New Roman" w:hAnsi="Times New Roman"/>
          <w:b/>
          <w:sz w:val="28"/>
          <w:szCs w:val="28"/>
          <w:lang w:val="ro-MD"/>
        </w:rPr>
        <w:tab/>
        <w:t>Anatolie TOPALĂ</w:t>
      </w:r>
    </w:p>
    <w:p w:rsidR="00134686" w:rsidRDefault="00134686" w:rsidP="00134686">
      <w:pPr>
        <w:spacing w:after="0" w:line="240" w:lineRule="auto"/>
        <w:rPr>
          <w:rFonts w:ascii="Times New Roman" w:hAnsi="Times New Roman"/>
          <w:sz w:val="18"/>
          <w:szCs w:val="18"/>
          <w:lang w:val="ro-MD"/>
        </w:rPr>
      </w:pPr>
    </w:p>
    <w:p w:rsidR="00134686" w:rsidRDefault="00134686" w:rsidP="00134686">
      <w:pPr>
        <w:spacing w:after="0" w:line="240" w:lineRule="auto"/>
        <w:rPr>
          <w:rFonts w:ascii="Times New Roman" w:hAnsi="Times New Roman"/>
          <w:sz w:val="18"/>
          <w:szCs w:val="18"/>
          <w:lang w:val="ro-MD"/>
        </w:rPr>
      </w:pPr>
    </w:p>
    <w:p w:rsidR="00134686" w:rsidRDefault="00134686" w:rsidP="00134686">
      <w:pPr>
        <w:spacing w:after="0" w:line="240" w:lineRule="auto"/>
        <w:rPr>
          <w:rFonts w:ascii="Times New Roman" w:hAnsi="Times New Roman"/>
          <w:sz w:val="18"/>
          <w:szCs w:val="18"/>
          <w:lang w:val="ro-MD"/>
        </w:rPr>
      </w:pPr>
    </w:p>
    <w:p w:rsidR="00134686" w:rsidRDefault="00134686" w:rsidP="00134686">
      <w:pPr>
        <w:spacing w:after="0" w:line="240" w:lineRule="auto"/>
        <w:rPr>
          <w:rFonts w:ascii="Times New Roman" w:hAnsi="Times New Roman"/>
          <w:sz w:val="18"/>
          <w:szCs w:val="18"/>
          <w:lang w:val="ro-MD"/>
        </w:rPr>
      </w:pPr>
    </w:p>
    <w:p w:rsidR="00134686" w:rsidRDefault="00134686" w:rsidP="00134686">
      <w:pPr>
        <w:spacing w:after="0" w:line="240" w:lineRule="auto"/>
        <w:rPr>
          <w:rFonts w:ascii="Times New Roman" w:hAnsi="Times New Roman"/>
          <w:sz w:val="18"/>
          <w:szCs w:val="18"/>
          <w:lang w:val="ro-MD"/>
        </w:rPr>
      </w:pPr>
    </w:p>
    <w:p w:rsidR="00B61BD1" w:rsidRDefault="00B61BD1" w:rsidP="00134686">
      <w:pPr>
        <w:spacing w:after="0" w:line="240" w:lineRule="auto"/>
        <w:rPr>
          <w:rFonts w:ascii="Times New Roman" w:hAnsi="Times New Roman"/>
          <w:sz w:val="18"/>
          <w:szCs w:val="18"/>
          <w:lang w:val="ro-MD"/>
        </w:rPr>
      </w:pPr>
    </w:p>
    <w:p w:rsidR="00B61BD1" w:rsidRDefault="00B61BD1" w:rsidP="00134686">
      <w:pPr>
        <w:spacing w:after="0" w:line="240" w:lineRule="auto"/>
        <w:rPr>
          <w:rFonts w:ascii="Times New Roman" w:hAnsi="Times New Roman"/>
          <w:sz w:val="18"/>
          <w:szCs w:val="18"/>
          <w:lang w:val="ro-MD"/>
        </w:rPr>
      </w:pPr>
      <w:bookmarkStart w:id="0" w:name="_GoBack"/>
      <w:bookmarkEnd w:id="0"/>
    </w:p>
    <w:p w:rsidR="00134686" w:rsidRDefault="00134686" w:rsidP="00134686">
      <w:pPr>
        <w:spacing w:after="0" w:line="240" w:lineRule="auto"/>
        <w:rPr>
          <w:rFonts w:ascii="Times New Roman" w:hAnsi="Times New Roman"/>
          <w:sz w:val="18"/>
          <w:szCs w:val="18"/>
          <w:lang w:val="ro-MD"/>
        </w:rPr>
      </w:pPr>
    </w:p>
    <w:p w:rsidR="00134686" w:rsidRDefault="00134686" w:rsidP="00134686">
      <w:pPr>
        <w:spacing w:after="0" w:line="240" w:lineRule="auto"/>
        <w:rPr>
          <w:rFonts w:ascii="Times New Roman" w:hAnsi="Times New Roman"/>
          <w:sz w:val="18"/>
          <w:szCs w:val="18"/>
          <w:lang w:val="ro-MD"/>
        </w:rPr>
      </w:pPr>
    </w:p>
    <w:p w:rsidR="00134686" w:rsidRDefault="00134686" w:rsidP="00134686">
      <w:pPr>
        <w:spacing w:after="0" w:line="240" w:lineRule="auto"/>
        <w:rPr>
          <w:rFonts w:ascii="Times New Roman" w:hAnsi="Times New Roman"/>
          <w:sz w:val="18"/>
          <w:szCs w:val="18"/>
        </w:rPr>
      </w:pPr>
      <w:r>
        <w:rPr>
          <w:rFonts w:ascii="Times New Roman" w:hAnsi="Times New Roman"/>
          <w:sz w:val="18"/>
          <w:szCs w:val="18"/>
        </w:rPr>
        <w:t>Secția Juridică</w:t>
      </w:r>
    </w:p>
    <w:p w:rsidR="00DD734F" w:rsidRPr="00533C7A" w:rsidRDefault="00134686" w:rsidP="00533C7A">
      <w:pPr>
        <w:spacing w:after="0" w:line="240" w:lineRule="auto"/>
        <w:rPr>
          <w:rFonts w:ascii="Times New Roman" w:hAnsi="Times New Roman"/>
          <w:sz w:val="18"/>
          <w:szCs w:val="18"/>
        </w:rPr>
      </w:pPr>
      <w:r>
        <w:rPr>
          <w:rFonts w:ascii="Times New Roman" w:hAnsi="Times New Roman"/>
          <w:sz w:val="18"/>
          <w:szCs w:val="18"/>
        </w:rPr>
        <w:t>Tel. 068269785</w:t>
      </w:r>
    </w:p>
    <w:sectPr w:rsidR="00DD734F" w:rsidRPr="00533C7A" w:rsidSect="005E3AB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1070"/>
        </w:tabs>
        <w:ind w:left="107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BE"/>
    <w:rsid w:val="000D761B"/>
    <w:rsid w:val="000E7DC5"/>
    <w:rsid w:val="00134686"/>
    <w:rsid w:val="00533C7A"/>
    <w:rsid w:val="009722EF"/>
    <w:rsid w:val="00B61BD1"/>
    <w:rsid w:val="00C935BE"/>
    <w:rsid w:val="00DD7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5101E-F966-42F7-9218-FBEE2493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86"/>
    <w:pPr>
      <w:spacing w:line="254"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34686"/>
    <w:rPr>
      <w:color w:val="0563C1"/>
      <w:u w:val="single"/>
    </w:rPr>
  </w:style>
  <w:style w:type="paragraph" w:customStyle="1" w:styleId="Default">
    <w:name w:val="Default"/>
    <w:rsid w:val="0013468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10764" TargetMode="External"/><Relationship Id="rId5" Type="http://schemas.openxmlformats.org/officeDocument/2006/relationships/hyperlink" Target="http://www.mec.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1581</Words>
  <Characters>9012</Characters>
  <Application>Microsoft Office Word</Application>
  <DocSecurity>0</DocSecurity>
  <Lines>75</Lines>
  <Paragraphs>21</Paragraphs>
  <ScaleCrop>false</ScaleCrop>
  <Company/>
  <LinksUpToDate>false</LinksUpToDate>
  <CharactersWithSpaces>10572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Secrieru MEC</dc:creator>
  <cp:keywords/>
  <dc:description/>
  <cp:lastModifiedBy>Vasile Secrieru MEC</cp:lastModifiedBy>
  <cp:revision>8</cp:revision>
  <dcterms:created xsi:type="dcterms:W3CDTF">2023-07-10T07:31:00Z</dcterms:created>
  <dcterms:modified xsi:type="dcterms:W3CDTF">2023-07-11T13:19:00Z</dcterms:modified>
</cp:coreProperties>
</file>