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FB5F" w14:textId="77777777" w:rsidR="00140E76" w:rsidRPr="00153510" w:rsidRDefault="00140E76" w:rsidP="00140E76">
      <w:pPr>
        <w:spacing w:after="0"/>
        <w:jc w:val="center"/>
        <w:rPr>
          <w:rFonts w:ascii="Times New Roman" w:hAnsi="Times New Roman" w:cs="Times New Roman"/>
          <w:b/>
          <w:sz w:val="24"/>
          <w:szCs w:val="24"/>
          <w:lang w:val="ro-RO"/>
        </w:rPr>
      </w:pPr>
      <w:r w:rsidRPr="00153510">
        <w:rPr>
          <w:rFonts w:ascii="Times New Roman" w:hAnsi="Times New Roman" w:cs="Times New Roman"/>
          <w:b/>
          <w:sz w:val="24"/>
          <w:szCs w:val="24"/>
          <w:lang w:val="ro-RO"/>
        </w:rPr>
        <w:t>NOTA INFORMATIVĂ</w:t>
      </w:r>
    </w:p>
    <w:p w14:paraId="7BBD5741" w14:textId="16AC837A" w:rsidR="00140E76" w:rsidRPr="00153510" w:rsidRDefault="00140E76" w:rsidP="00140E76">
      <w:pPr>
        <w:spacing w:after="0"/>
        <w:jc w:val="center"/>
        <w:rPr>
          <w:rFonts w:ascii="Times New Roman" w:hAnsi="Times New Roman" w:cs="Times New Roman"/>
          <w:b/>
          <w:bCs/>
          <w:sz w:val="24"/>
          <w:szCs w:val="24"/>
          <w:lang w:val="ro-RO"/>
        </w:rPr>
      </w:pPr>
      <w:r w:rsidRPr="00153510">
        <w:rPr>
          <w:rFonts w:ascii="Times New Roman" w:hAnsi="Times New Roman" w:cs="Times New Roman"/>
          <w:b/>
          <w:bCs/>
          <w:sz w:val="24"/>
          <w:szCs w:val="24"/>
          <w:lang w:val="ro-RO"/>
        </w:rPr>
        <w:t xml:space="preserve">la proiectul </w:t>
      </w:r>
      <w:r w:rsidR="002900B0" w:rsidRPr="00153510">
        <w:rPr>
          <w:rFonts w:ascii="Times New Roman" w:hAnsi="Times New Roman" w:cs="Times New Roman"/>
          <w:b/>
          <w:bCs/>
          <w:sz w:val="24"/>
          <w:szCs w:val="24"/>
          <w:lang w:val="ro-RO"/>
        </w:rPr>
        <w:t>Hotărârii</w:t>
      </w:r>
      <w:r w:rsidRPr="00153510">
        <w:rPr>
          <w:rFonts w:ascii="Times New Roman" w:hAnsi="Times New Roman" w:cs="Times New Roman"/>
          <w:b/>
          <w:bCs/>
          <w:sz w:val="24"/>
          <w:szCs w:val="24"/>
          <w:lang w:val="ro-RO"/>
        </w:rPr>
        <w:t xml:space="preserve"> Guvernului pentru aprobarea Regulamentului sanitar privind supravegherea</w:t>
      </w:r>
      <w:r w:rsidR="00654906" w:rsidRPr="00153510">
        <w:rPr>
          <w:rFonts w:ascii="Times New Roman" w:hAnsi="Times New Roman" w:cs="Times New Roman"/>
          <w:b/>
          <w:bCs/>
          <w:sz w:val="24"/>
          <w:szCs w:val="24"/>
          <w:lang w:val="ro-RO"/>
        </w:rPr>
        <w:t xml:space="preserve"> </w:t>
      </w:r>
      <w:proofErr w:type="spellStart"/>
      <w:r w:rsidR="00654906" w:rsidRPr="00153510">
        <w:rPr>
          <w:rFonts w:ascii="Times New Roman" w:hAnsi="Times New Roman" w:cs="Times New Roman"/>
          <w:b/>
          <w:bCs/>
          <w:sz w:val="24"/>
          <w:szCs w:val="24"/>
          <w:lang w:val="ro-RO"/>
        </w:rPr>
        <w:t>şi</w:t>
      </w:r>
      <w:proofErr w:type="spellEnd"/>
      <w:r w:rsidR="00654906" w:rsidRPr="00153510">
        <w:rPr>
          <w:rFonts w:ascii="Times New Roman" w:hAnsi="Times New Roman" w:cs="Times New Roman"/>
          <w:b/>
          <w:bCs/>
          <w:sz w:val="24"/>
          <w:szCs w:val="24"/>
          <w:lang w:val="ro-RO"/>
        </w:rPr>
        <w:t xml:space="preserve"> monitorizarea apei potabile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6"/>
      </w:tblGrid>
      <w:tr w:rsidR="00140E76" w:rsidRPr="00153510" w14:paraId="2D864E7C"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29C96076" w14:textId="77777777"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t>1. Denumirea autorului proiectului:</w:t>
            </w:r>
          </w:p>
        </w:tc>
      </w:tr>
      <w:tr w:rsidR="00140E76" w:rsidRPr="001647C1" w14:paraId="33709E42" w14:textId="77777777" w:rsidTr="00C7238F">
        <w:tc>
          <w:tcPr>
            <w:tcW w:w="5000" w:type="pct"/>
            <w:tcBorders>
              <w:top w:val="single" w:sz="4" w:space="0" w:color="auto"/>
              <w:left w:val="single" w:sz="4" w:space="0" w:color="auto"/>
              <w:bottom w:val="single" w:sz="4" w:space="0" w:color="auto"/>
              <w:right w:val="single" w:sz="4" w:space="0" w:color="auto"/>
            </w:tcBorders>
          </w:tcPr>
          <w:p w14:paraId="147DA6B1" w14:textId="0067B3BA" w:rsidR="00140E76" w:rsidRPr="00153510" w:rsidRDefault="00D2189B" w:rsidP="00174704">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Cs/>
                <w:sz w:val="24"/>
                <w:szCs w:val="24"/>
                <w:lang w:val="ro-RO"/>
              </w:rPr>
              <w:t xml:space="preserve">Proiectul actului normativ este elaborat de către </w:t>
            </w:r>
            <w:r w:rsidR="00140E76" w:rsidRPr="00153510">
              <w:rPr>
                <w:rFonts w:ascii="Times New Roman" w:hAnsi="Times New Roman" w:cs="Times New Roman"/>
                <w:bCs/>
                <w:sz w:val="24"/>
                <w:szCs w:val="24"/>
                <w:lang w:val="ro-RO"/>
              </w:rPr>
              <w:t>Ministerul Sănătății</w:t>
            </w:r>
            <w:r w:rsidR="00CE5885" w:rsidRPr="00153510">
              <w:rPr>
                <w:rFonts w:ascii="Times New Roman" w:eastAsiaTheme="minorEastAsia" w:hAnsi="Times New Roman" w:cs="Times New Roman"/>
                <w:sz w:val="24"/>
                <w:szCs w:val="24"/>
                <w:lang w:val="ro-RO" w:eastAsia="ru-RU"/>
              </w:rPr>
              <w:t xml:space="preserve"> </w:t>
            </w:r>
            <w:r w:rsidR="00CE5885" w:rsidRPr="00153510">
              <w:rPr>
                <w:rFonts w:ascii="Times New Roman" w:hAnsi="Times New Roman" w:cs="Times New Roman"/>
                <w:bCs/>
                <w:sz w:val="24"/>
                <w:szCs w:val="24"/>
                <w:lang w:val="ro-RO"/>
              </w:rPr>
              <w:t>de comun cu Agenția Națională pentru Sănătate Publică.</w:t>
            </w:r>
          </w:p>
        </w:tc>
      </w:tr>
      <w:tr w:rsidR="00140E76" w:rsidRPr="001647C1" w14:paraId="386A2A52"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0274082C" w14:textId="1888E3FA"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t>2.</w:t>
            </w:r>
            <w:r w:rsidRPr="00153510">
              <w:rPr>
                <w:rFonts w:ascii="Times New Roman" w:hAnsi="Times New Roman" w:cs="Times New Roman"/>
                <w:sz w:val="24"/>
                <w:szCs w:val="24"/>
                <w:lang w:val="ro-RO"/>
              </w:rPr>
              <w:t xml:space="preserve"> </w:t>
            </w:r>
            <w:r w:rsidRPr="00153510">
              <w:rPr>
                <w:rFonts w:ascii="Times New Roman" w:hAnsi="Times New Roman" w:cs="Times New Roman"/>
                <w:b/>
                <w:bCs/>
                <w:sz w:val="24"/>
                <w:szCs w:val="24"/>
                <w:lang w:val="ro-RO"/>
              </w:rPr>
              <w:t xml:space="preserve">Condițiile ce au impus elaborarea </w:t>
            </w:r>
            <w:r w:rsidR="00BD09B3" w:rsidRPr="00153510">
              <w:rPr>
                <w:rFonts w:ascii="Times New Roman" w:eastAsia="Calibri" w:hAnsi="Times New Roman" w:cs="Times New Roman"/>
                <w:b/>
                <w:iCs/>
                <w:sz w:val="24"/>
                <w:szCs w:val="24"/>
                <w:lang w:val="ro-RO"/>
              </w:rPr>
              <w:t>proiectului de act normativ și finalitățile urmărite</w:t>
            </w:r>
          </w:p>
        </w:tc>
      </w:tr>
      <w:tr w:rsidR="00140E76" w:rsidRPr="001647C1" w14:paraId="2EB0B2DE" w14:textId="77777777" w:rsidTr="00F02B1E">
        <w:trPr>
          <w:trHeight w:val="699"/>
        </w:trPr>
        <w:tc>
          <w:tcPr>
            <w:tcW w:w="5000" w:type="pct"/>
            <w:tcBorders>
              <w:top w:val="single" w:sz="4" w:space="0" w:color="auto"/>
              <w:left w:val="single" w:sz="4" w:space="0" w:color="auto"/>
              <w:bottom w:val="single" w:sz="4" w:space="0" w:color="auto"/>
              <w:right w:val="single" w:sz="4" w:space="0" w:color="auto"/>
            </w:tcBorders>
          </w:tcPr>
          <w:p w14:paraId="25B7214D" w14:textId="4EEFD7B9" w:rsidR="00BC1648" w:rsidRPr="00153510" w:rsidRDefault="00CA1813" w:rsidP="00B152D1">
            <w:pPr>
              <w:spacing w:after="0"/>
              <w:jc w:val="both"/>
              <w:rPr>
                <w:rFonts w:ascii="Times New Roman" w:eastAsia="Times New Roman" w:hAnsi="Times New Roman" w:cs="Times New Roman"/>
                <w:sz w:val="24"/>
                <w:szCs w:val="24"/>
                <w:lang w:val="ro-RO"/>
              </w:rPr>
            </w:pPr>
            <w:r w:rsidRPr="00153510">
              <w:rPr>
                <w:rFonts w:ascii="Times New Roman" w:hAnsi="Times New Roman" w:cs="Times New Roman"/>
                <w:sz w:val="24"/>
                <w:szCs w:val="24"/>
                <w:lang w:val="ro-RO"/>
              </w:rPr>
              <w:t xml:space="preserve">Proiectul de hotărâre a Guvernului este elaborat în scopul </w:t>
            </w:r>
            <w:r w:rsidR="006276C5" w:rsidRPr="00153510">
              <w:rPr>
                <w:rFonts w:ascii="Times New Roman" w:hAnsi="Times New Roman" w:cs="Times New Roman"/>
                <w:sz w:val="24"/>
                <w:szCs w:val="24"/>
                <w:lang w:val="ro-RO"/>
              </w:rPr>
              <w:t xml:space="preserve">armonizării legislației naționale cu legislația Uniunii Europene, </w:t>
            </w:r>
            <w:r w:rsidR="00DB50E6" w:rsidRPr="00153510">
              <w:rPr>
                <w:rFonts w:ascii="Times New Roman" w:eastAsia="Times New Roman" w:hAnsi="Times New Roman" w:cs="Times New Roman"/>
                <w:color w:val="000000" w:themeColor="text1"/>
                <w:sz w:val="24"/>
                <w:szCs w:val="24"/>
                <w:lang w:val="ro-RO"/>
              </w:rPr>
              <w:t xml:space="preserve">determinată de necesitatea prevenirii bolilor condiționate de consumul de apă potabilă contaminată, care contribuie la agravarea continuă a indicatorilor de sănătate a populației, creșterea cazurilor de morbiditate prin boli netransmisibile și transmisibile, sporirea cazurilor de intoxicații acute cu nitrați, preponderent în rândul copiilor, inclusiv soldate cu deces. Întrucât siguranța și inofensivitatea apei potabile constituie o problemă stringentă de sănătate publică, este prioritar </w:t>
            </w:r>
            <w:r w:rsidR="00C7238F" w:rsidRPr="00153510">
              <w:rPr>
                <w:rFonts w:ascii="Times New Roman" w:eastAsia="Times New Roman" w:hAnsi="Times New Roman" w:cs="Times New Roman"/>
                <w:sz w:val="24"/>
                <w:szCs w:val="24"/>
                <w:lang w:val="ro-RO"/>
              </w:rPr>
              <w:t xml:space="preserve">elaborarea </w:t>
            </w:r>
            <w:r w:rsidR="00C7238F" w:rsidRPr="00153510">
              <w:rPr>
                <w:rFonts w:ascii="Times New Roman" w:eastAsia="Times New Roman" w:hAnsi="Times New Roman" w:cs="Times New Roman"/>
                <w:color w:val="000000"/>
                <w:sz w:val="24"/>
                <w:szCs w:val="24"/>
                <w:lang w:val="ro-RO"/>
              </w:rPr>
              <w:t xml:space="preserve">unui cadru regulator, bazat pe indicatori de sănătate măsurabili, evaluare și gestionare a riscurilor </w:t>
            </w:r>
            <w:r w:rsidR="00C7238F" w:rsidRPr="00153510">
              <w:rPr>
                <w:rFonts w:ascii="Times New Roman" w:eastAsia="Times New Roman" w:hAnsi="Times New Roman" w:cs="Times New Roman"/>
                <w:sz w:val="24"/>
                <w:szCs w:val="24"/>
                <w:lang w:val="ro-RO"/>
              </w:rPr>
              <w:t>la</w:t>
            </w:r>
            <w:r w:rsidR="00C7238F" w:rsidRPr="00153510">
              <w:rPr>
                <w:rFonts w:ascii="Times New Roman" w:eastAsia="Times New Roman" w:hAnsi="Times New Roman" w:cs="Times New Roman"/>
                <w:color w:val="000000"/>
                <w:sz w:val="24"/>
                <w:szCs w:val="24"/>
                <w:lang w:val="ro-RO"/>
              </w:rPr>
              <w:t xml:space="preserve"> toate etapele </w:t>
            </w:r>
            <w:r w:rsidR="00C7238F" w:rsidRPr="00153510">
              <w:rPr>
                <w:rFonts w:ascii="Times New Roman" w:eastAsia="Times New Roman" w:hAnsi="Times New Roman" w:cs="Times New Roman"/>
                <w:sz w:val="24"/>
                <w:szCs w:val="24"/>
                <w:lang w:val="ro-RO"/>
              </w:rPr>
              <w:t>de</w:t>
            </w:r>
            <w:r w:rsidR="00C7238F" w:rsidRPr="00153510">
              <w:rPr>
                <w:rFonts w:ascii="Times New Roman" w:eastAsia="Times New Roman" w:hAnsi="Times New Roman" w:cs="Times New Roman"/>
                <w:color w:val="000000"/>
                <w:sz w:val="24"/>
                <w:szCs w:val="24"/>
                <w:lang w:val="ro-RO"/>
              </w:rPr>
              <w:t xml:space="preserve"> aprovizionarea cu apă potabilă</w:t>
            </w:r>
            <w:r w:rsidR="00C7238F" w:rsidRPr="00153510">
              <w:rPr>
                <w:rFonts w:ascii="Times New Roman" w:eastAsia="Times New Roman" w:hAnsi="Times New Roman" w:cs="Times New Roman"/>
                <w:sz w:val="24"/>
                <w:szCs w:val="24"/>
                <w:lang w:val="ro-RO"/>
              </w:rPr>
              <w:t xml:space="preserve"> și stabilirea măsurilor de control adecvate. </w:t>
            </w:r>
          </w:p>
          <w:p w14:paraId="3CBA2FEF" w14:textId="4C8E07AA" w:rsidR="00F37D63" w:rsidRPr="00153510" w:rsidRDefault="00F37D63" w:rsidP="00F37D63">
            <w:pPr>
              <w:spacing w:after="0"/>
              <w:jc w:val="both"/>
              <w:rPr>
                <w:rFonts w:ascii="Times New Roman" w:eastAsia="Times New Roman" w:hAnsi="Times New Roman" w:cs="Times New Roman"/>
                <w:sz w:val="24"/>
                <w:szCs w:val="24"/>
                <w:lang w:val="ro-RO" w:eastAsia="ro-MD"/>
              </w:rPr>
            </w:pPr>
            <w:r w:rsidRPr="00153510">
              <w:rPr>
                <w:rFonts w:ascii="Times New Roman" w:eastAsia="Times New Roman" w:hAnsi="Times New Roman" w:cs="Times New Roman"/>
                <w:sz w:val="24"/>
                <w:szCs w:val="24"/>
                <w:lang w:val="ro-RO" w:eastAsia="ro-MD"/>
              </w:rPr>
              <w:t>În 2015, Comisia Europeană a modificat anexele II și III la Directiva UE 98/83/CE privind apa potabilă</w:t>
            </w:r>
            <w:r w:rsidR="00147B52" w:rsidRPr="00153510">
              <w:rPr>
                <w:rFonts w:ascii="Times New Roman" w:eastAsia="Times New Roman" w:hAnsi="Times New Roman" w:cs="Times New Roman"/>
                <w:sz w:val="24"/>
                <w:szCs w:val="24"/>
                <w:lang w:val="ro-RO" w:eastAsia="ro-MD"/>
              </w:rPr>
              <w:t>, m</w:t>
            </w:r>
            <w:r w:rsidRPr="00153510">
              <w:rPr>
                <w:rFonts w:ascii="Times New Roman" w:eastAsia="Times New Roman" w:hAnsi="Times New Roman" w:cs="Times New Roman"/>
                <w:sz w:val="24"/>
                <w:szCs w:val="24"/>
                <w:lang w:val="ro-RO" w:eastAsia="ro-MD"/>
              </w:rPr>
              <w:t>odificările</w:t>
            </w:r>
            <w:r w:rsidR="008E311D" w:rsidRPr="00153510">
              <w:rPr>
                <w:rFonts w:ascii="Times New Roman" w:eastAsia="Times New Roman" w:hAnsi="Times New Roman" w:cs="Times New Roman"/>
                <w:sz w:val="24"/>
                <w:szCs w:val="24"/>
                <w:lang w:val="ro-RO" w:eastAsia="ro-MD"/>
              </w:rPr>
              <w:t xml:space="preserve"> au fost fixate</w:t>
            </w:r>
            <w:r w:rsidRPr="00153510">
              <w:rPr>
                <w:rFonts w:ascii="Times New Roman" w:eastAsia="Times New Roman" w:hAnsi="Times New Roman" w:cs="Times New Roman"/>
                <w:sz w:val="24"/>
                <w:szCs w:val="24"/>
                <w:lang w:val="ro-RO" w:eastAsia="ro-MD"/>
              </w:rPr>
              <w:t xml:space="preserve"> pe principii bazate pe risc pentru identificarea și ierarhizarea parametrilor de monitorizare și a frecvențelor, pentru a permite stabilirea programelor de monitorizare bazate pe risc pentru calitatea apei potabile.</w:t>
            </w:r>
            <w:r w:rsidR="00147B52" w:rsidRPr="00153510">
              <w:rPr>
                <w:rFonts w:ascii="Times New Roman" w:eastAsia="Times New Roman" w:hAnsi="Times New Roman" w:cs="Times New Roman"/>
                <w:sz w:val="24"/>
                <w:szCs w:val="24"/>
                <w:lang w:val="ro-RO" w:eastAsia="ro-MD"/>
              </w:rPr>
              <w:t xml:space="preserve"> </w:t>
            </w:r>
            <w:r w:rsidRPr="00153510">
              <w:rPr>
                <w:rFonts w:ascii="Times New Roman" w:eastAsia="Times New Roman" w:hAnsi="Times New Roman" w:cs="Times New Roman"/>
                <w:sz w:val="24"/>
                <w:szCs w:val="24"/>
                <w:lang w:val="ro-RO" w:eastAsia="ro-MD"/>
              </w:rPr>
              <w:t xml:space="preserve">În 2020, Comisia Europeană a încheiat reformarea comprehensivă a Directivei și stipulează o abordare completă a siguranței apei bazată pe risc, care acoperă întregul lanț de aprovizionare, de la zona de captare, extracție, tratare, depozitare și distribuție până la punctul de conformitate. </w:t>
            </w:r>
          </w:p>
          <w:p w14:paraId="5AFCD7EB" w14:textId="2A1714EF" w:rsidR="00FE27E6" w:rsidRPr="00153510" w:rsidRDefault="00F37D63" w:rsidP="00FE27E6">
            <w:pPr>
              <w:spacing w:after="0"/>
              <w:jc w:val="both"/>
              <w:rPr>
                <w:rFonts w:ascii="Times New Roman" w:eastAsia="Times New Roman" w:hAnsi="Times New Roman" w:cs="Times New Roman"/>
                <w:color w:val="000000" w:themeColor="text1"/>
                <w:sz w:val="24"/>
                <w:szCs w:val="24"/>
                <w:lang w:val="ro-RO"/>
              </w:rPr>
            </w:pPr>
            <w:r w:rsidRPr="00153510">
              <w:rPr>
                <w:rFonts w:ascii="Times New Roman" w:eastAsia="Times New Roman" w:hAnsi="Times New Roman" w:cs="Times New Roman"/>
                <w:sz w:val="24"/>
                <w:szCs w:val="24"/>
                <w:lang w:val="ro-RO" w:eastAsia="ro-MD"/>
              </w:rPr>
              <w:t>Prin urmare,</w:t>
            </w:r>
            <w:r w:rsidRPr="00153510">
              <w:rPr>
                <w:rFonts w:ascii="Times New Roman" w:hAnsi="Times New Roman" w:cs="Times New Roman"/>
                <w:sz w:val="24"/>
                <w:szCs w:val="24"/>
                <w:lang w:val="ro-RO"/>
              </w:rPr>
              <w:t xml:space="preserve"> se stabilește necesitatea</w:t>
            </w:r>
            <w:r w:rsidRPr="00153510">
              <w:rPr>
                <w:rFonts w:ascii="Times New Roman" w:eastAsia="Times New Roman" w:hAnsi="Times New Roman" w:cs="Times New Roman"/>
                <w:sz w:val="24"/>
                <w:szCs w:val="24"/>
                <w:lang w:val="ro-RO" w:eastAsia="ro-MD"/>
              </w:rPr>
              <w:t xml:space="preserve"> alinierii proiectului Regulamentului Sanitar la cerințele prevăzute </w:t>
            </w:r>
            <w:r w:rsidR="006276C5" w:rsidRPr="00153510">
              <w:rPr>
                <w:rFonts w:ascii="Times New Roman" w:eastAsia="Times New Roman" w:hAnsi="Times New Roman" w:cs="Times New Roman"/>
                <w:sz w:val="24"/>
                <w:szCs w:val="24"/>
                <w:lang w:val="ro-RO" w:eastAsia="ro-MD"/>
              </w:rPr>
              <w:t xml:space="preserve">în </w:t>
            </w:r>
            <w:r w:rsidR="00967EF3" w:rsidRPr="00153510">
              <w:rPr>
                <w:rFonts w:ascii="Times New Roman" w:eastAsia="Times New Roman" w:hAnsi="Times New Roman" w:cs="Times New Roman"/>
                <w:sz w:val="24"/>
                <w:szCs w:val="24"/>
                <w:lang w:val="ro-RO" w:eastAsia="ro-MD"/>
              </w:rPr>
              <w:t xml:space="preserve"> </w:t>
            </w:r>
            <w:r w:rsidR="00967EF3" w:rsidRPr="00153510">
              <w:rPr>
                <w:rFonts w:ascii="Times New Roman" w:hAnsi="Times New Roman" w:cs="Times New Roman"/>
                <w:sz w:val="24"/>
                <w:szCs w:val="24"/>
                <w:lang w:val="ro-RO"/>
              </w:rPr>
              <w:t xml:space="preserve">Directiva </w:t>
            </w:r>
            <w:r w:rsidR="00B152D1" w:rsidRPr="00153510">
              <w:rPr>
                <w:rFonts w:ascii="Times New Roman" w:hAnsi="Times New Roman" w:cs="Times New Roman"/>
                <w:sz w:val="24"/>
                <w:szCs w:val="24"/>
                <w:lang w:val="ro-RO"/>
              </w:rPr>
              <w:t>(UE) 2020/2184 a Parlamentului European și a Consiliului din 16 decembrie 2020 privind calitatea apei destinate consumului uman, publicat în Jurnalul Oficial al Uniunii Europene, (OJ) L 435, 23.12.2020, p. 1–62</w:t>
            </w:r>
            <w:r w:rsidR="00E84F02" w:rsidRPr="00153510">
              <w:rPr>
                <w:rFonts w:ascii="Times New Roman" w:eastAsia="Times New Roman" w:hAnsi="Times New Roman" w:cs="Times New Roman"/>
                <w:sz w:val="24"/>
                <w:szCs w:val="24"/>
                <w:lang w:val="ro-RO" w:eastAsia="ro-MD"/>
              </w:rPr>
              <w:t xml:space="preserve"> (în continuare – Directiva (UE) 2020/2184).</w:t>
            </w:r>
            <w:r w:rsidR="00E84F02" w:rsidRPr="00153510">
              <w:rPr>
                <w:rFonts w:ascii="Times New Roman" w:eastAsia="Times New Roman" w:hAnsi="Times New Roman" w:cs="Times New Roman"/>
                <w:color w:val="000000" w:themeColor="text1"/>
                <w:sz w:val="24"/>
                <w:szCs w:val="24"/>
                <w:lang w:val="ro-RO"/>
              </w:rPr>
              <w:t xml:space="preserve"> </w:t>
            </w:r>
          </w:p>
          <w:p w14:paraId="535FD8BA" w14:textId="0698B382" w:rsidR="00F02B1E" w:rsidRPr="00153510" w:rsidRDefault="00147B52" w:rsidP="00F02B1E">
            <w:pPr>
              <w:tabs>
                <w:tab w:val="left" w:pos="284"/>
              </w:tabs>
              <w:spacing w:after="0" w:line="276" w:lineRule="auto"/>
              <w:ind w:right="95"/>
              <w:jc w:val="both"/>
              <w:rPr>
                <w:rFonts w:ascii="Times New Roman" w:eastAsia="Calibri" w:hAnsi="Times New Roman" w:cs="Times New Roman"/>
                <w:bCs/>
                <w:color w:val="000000"/>
                <w:sz w:val="24"/>
                <w:szCs w:val="24"/>
                <w:lang w:val="ro-RO"/>
              </w:rPr>
            </w:pPr>
            <w:r w:rsidRPr="00153510">
              <w:rPr>
                <w:rFonts w:ascii="Times New Roman" w:eastAsia="Calibri" w:hAnsi="Times New Roman" w:cs="Times New Roman"/>
                <w:color w:val="000000"/>
                <w:sz w:val="24"/>
                <w:szCs w:val="24"/>
                <w:lang w:val="ro-RO"/>
              </w:rPr>
              <w:t>În același timp, r</w:t>
            </w:r>
            <w:r w:rsidR="00F02B1E" w:rsidRPr="00153510">
              <w:rPr>
                <w:rFonts w:ascii="Times New Roman" w:eastAsia="Calibri" w:hAnsi="Times New Roman" w:cs="Times New Roman"/>
                <w:bCs/>
                <w:color w:val="000000"/>
                <w:sz w:val="24"/>
                <w:szCs w:val="24"/>
                <w:lang w:val="ro-RO"/>
              </w:rPr>
              <w:t>egulile de tehnică legislativă prevăzute în</w:t>
            </w:r>
            <w:r w:rsidR="00663449" w:rsidRPr="00153510">
              <w:rPr>
                <w:rFonts w:ascii="Times New Roman" w:eastAsia="Calibri" w:hAnsi="Times New Roman" w:cs="Times New Roman"/>
                <w:bCs/>
                <w:color w:val="000000"/>
                <w:sz w:val="24"/>
                <w:szCs w:val="24"/>
                <w:lang w:val="ro-RO"/>
              </w:rPr>
              <w:t xml:space="preserve"> art. 65, alin. (2) din</w:t>
            </w:r>
            <w:r w:rsidR="00F02B1E" w:rsidRPr="00153510">
              <w:rPr>
                <w:rFonts w:ascii="Times New Roman" w:eastAsia="Calibri" w:hAnsi="Times New Roman" w:cs="Times New Roman"/>
                <w:bCs/>
                <w:color w:val="000000"/>
                <w:sz w:val="24"/>
                <w:szCs w:val="24"/>
                <w:lang w:val="ro-RO"/>
              </w:rPr>
              <w:t xml:space="preserve"> Legea nr. 100/2017</w:t>
            </w:r>
            <w:r w:rsidR="00F02B1E" w:rsidRPr="00153510">
              <w:rPr>
                <w:rFonts w:ascii="Times New Roman" w:eastAsia="Calibri" w:hAnsi="Times New Roman" w:cs="Times New Roman"/>
                <w:b/>
                <w:color w:val="000000"/>
                <w:sz w:val="24"/>
                <w:szCs w:val="24"/>
                <w:lang w:val="ro-RO"/>
              </w:rPr>
              <w:t xml:space="preserve"> </w:t>
            </w:r>
            <w:r w:rsidR="00F02B1E" w:rsidRPr="00153510">
              <w:rPr>
                <w:rFonts w:ascii="Times New Roman" w:eastAsia="Calibri" w:hAnsi="Times New Roman" w:cs="Times New Roman"/>
                <w:color w:val="000000"/>
                <w:sz w:val="24"/>
                <w:szCs w:val="24"/>
                <w:lang w:val="ro-RO"/>
              </w:rPr>
              <w:t>cu privire la actele normative</w:t>
            </w:r>
            <w:r w:rsidR="00663449" w:rsidRPr="00153510">
              <w:rPr>
                <w:rFonts w:ascii="Times New Roman" w:eastAsia="Calibri" w:hAnsi="Times New Roman" w:cs="Times New Roman"/>
                <w:color w:val="000000"/>
                <w:sz w:val="24"/>
                <w:szCs w:val="24"/>
                <w:lang w:val="ro-RO"/>
              </w:rPr>
              <w:t xml:space="preserve">, abrogarea intervine pentru evitarea paralelismelor în legislație, </w:t>
            </w:r>
            <w:r w:rsidR="00F02B1E" w:rsidRPr="00153510">
              <w:rPr>
                <w:rFonts w:ascii="Times New Roman" w:eastAsia="Calibri" w:hAnsi="Times New Roman" w:cs="Times New Roman"/>
                <w:bCs/>
                <w:color w:val="000000"/>
                <w:sz w:val="24"/>
                <w:szCs w:val="24"/>
                <w:lang w:val="ro-RO"/>
              </w:rPr>
              <w:t>pentru a nu fi</w:t>
            </w:r>
            <w:r w:rsidR="00F02B1E" w:rsidRPr="00153510">
              <w:rPr>
                <w:rFonts w:ascii="Times New Roman" w:eastAsia="Calibri" w:hAnsi="Times New Roman" w:cs="Times New Roman"/>
                <w:b/>
                <w:color w:val="000000"/>
                <w:sz w:val="24"/>
                <w:szCs w:val="24"/>
                <w:lang w:val="ro-RO"/>
              </w:rPr>
              <w:t xml:space="preserve"> </w:t>
            </w:r>
            <w:r w:rsidR="00F02B1E" w:rsidRPr="00153510">
              <w:rPr>
                <w:rFonts w:ascii="Times New Roman" w:eastAsia="Calibri" w:hAnsi="Times New Roman" w:cs="Times New Roman"/>
                <w:bCs/>
                <w:color w:val="000000"/>
                <w:sz w:val="24"/>
                <w:szCs w:val="24"/>
                <w:lang w:val="ro-RO"/>
              </w:rPr>
              <w:t>admisă reglementarea juridică a aspectelor ce vizează același obiect sau aceleași relații</w:t>
            </w:r>
            <w:r w:rsidR="00F02B1E" w:rsidRPr="00153510">
              <w:rPr>
                <w:rFonts w:ascii="Times New Roman" w:eastAsia="Calibri" w:hAnsi="Times New Roman" w:cs="Times New Roman"/>
                <w:b/>
                <w:color w:val="000000"/>
                <w:sz w:val="24"/>
                <w:szCs w:val="24"/>
                <w:lang w:val="ro-RO"/>
              </w:rPr>
              <w:t xml:space="preserve"> </w:t>
            </w:r>
            <w:r w:rsidR="00F02B1E" w:rsidRPr="00153510">
              <w:rPr>
                <w:rFonts w:ascii="Times New Roman" w:eastAsia="Calibri" w:hAnsi="Times New Roman" w:cs="Times New Roman"/>
                <w:bCs/>
                <w:color w:val="000000"/>
                <w:sz w:val="24"/>
                <w:szCs w:val="24"/>
                <w:lang w:val="ro-RO"/>
              </w:rPr>
              <w:t>sociale în acte normative diferite.</w:t>
            </w:r>
            <w:r w:rsidR="00663449" w:rsidRPr="00153510">
              <w:rPr>
                <w:rFonts w:ascii="Times New Roman" w:eastAsia="Calibri" w:hAnsi="Times New Roman" w:cs="Times New Roman"/>
                <w:bCs/>
                <w:color w:val="000000"/>
                <w:sz w:val="24"/>
                <w:szCs w:val="24"/>
                <w:lang w:val="ro-RO"/>
              </w:rPr>
              <w:t xml:space="preserve"> Astfel se constată că, în conformitate cu anexa nr. 2  la </w:t>
            </w:r>
            <w:r w:rsidR="009F3838" w:rsidRPr="00153510">
              <w:rPr>
                <w:rFonts w:ascii="Times New Roman" w:eastAsia="Calibri" w:hAnsi="Times New Roman" w:cs="Times New Roman"/>
                <w:bCs/>
                <w:color w:val="000000"/>
                <w:sz w:val="24"/>
                <w:szCs w:val="24"/>
                <w:lang w:val="ro-RO"/>
              </w:rPr>
              <w:t>Hotărârea</w:t>
            </w:r>
            <w:r w:rsidR="00663449" w:rsidRPr="00153510">
              <w:rPr>
                <w:rFonts w:ascii="Times New Roman" w:eastAsia="Calibri" w:hAnsi="Times New Roman" w:cs="Times New Roman"/>
                <w:bCs/>
                <w:color w:val="000000"/>
                <w:sz w:val="24"/>
                <w:szCs w:val="24"/>
                <w:lang w:val="ro-RO"/>
              </w:rPr>
              <w:t xml:space="preserve"> Guvernului nr. 934</w:t>
            </w:r>
            <w:r w:rsidR="00BC1648" w:rsidRPr="00153510">
              <w:rPr>
                <w:rFonts w:ascii="Times New Roman" w:eastAsia="Calibri" w:hAnsi="Times New Roman" w:cs="Times New Roman"/>
                <w:bCs/>
                <w:color w:val="000000"/>
                <w:sz w:val="24"/>
                <w:szCs w:val="24"/>
                <w:lang w:val="ro-RO"/>
              </w:rPr>
              <w:t>/</w:t>
            </w:r>
            <w:r w:rsidR="00663449" w:rsidRPr="00153510">
              <w:rPr>
                <w:rFonts w:ascii="Times New Roman" w:eastAsia="Calibri" w:hAnsi="Times New Roman" w:cs="Times New Roman"/>
                <w:bCs/>
                <w:color w:val="000000"/>
                <w:sz w:val="24"/>
                <w:szCs w:val="24"/>
                <w:lang w:val="ro-RO"/>
              </w:rPr>
              <w:t xml:space="preserve">2007 cu privire la instituirea Sistemului informațional automatizat „Registrul de stat al apelor minerale naturale, potabile </w:t>
            </w:r>
            <w:proofErr w:type="spellStart"/>
            <w:r w:rsidR="00663449" w:rsidRPr="00153510">
              <w:rPr>
                <w:rFonts w:ascii="Times New Roman" w:eastAsia="Calibri" w:hAnsi="Times New Roman" w:cs="Times New Roman"/>
                <w:bCs/>
                <w:color w:val="000000"/>
                <w:sz w:val="24"/>
                <w:szCs w:val="24"/>
                <w:lang w:val="ro-RO"/>
              </w:rPr>
              <w:t>şi</w:t>
            </w:r>
            <w:proofErr w:type="spellEnd"/>
            <w:r w:rsidR="00663449" w:rsidRPr="00153510">
              <w:rPr>
                <w:rFonts w:ascii="Times New Roman" w:eastAsia="Calibri" w:hAnsi="Times New Roman" w:cs="Times New Roman"/>
                <w:bCs/>
                <w:color w:val="000000"/>
                <w:sz w:val="24"/>
                <w:szCs w:val="24"/>
                <w:lang w:val="ro-RO"/>
              </w:rPr>
              <w:t xml:space="preserve"> băuturilor nealcoolice îmbuteliate” sunt stabilite norme sanitare privind calitatea apei potabile, și parametrii de calitate ai apei potabile. În același timp, în urma adoptării </w:t>
            </w:r>
            <w:r w:rsidR="00663449" w:rsidRPr="00153510">
              <w:rPr>
                <w:rFonts w:ascii="Times New Roman" w:hAnsi="Times New Roman" w:cs="Times New Roman"/>
                <w:sz w:val="24"/>
                <w:szCs w:val="24"/>
                <w:lang w:val="ro-RO"/>
              </w:rPr>
              <w:t>Legii nr.182</w:t>
            </w:r>
            <w:r w:rsidR="009F3838" w:rsidRPr="00153510">
              <w:rPr>
                <w:rFonts w:ascii="Times New Roman" w:hAnsi="Times New Roman" w:cs="Times New Roman"/>
                <w:sz w:val="24"/>
                <w:szCs w:val="24"/>
                <w:lang w:val="ro-RO"/>
              </w:rPr>
              <w:t>/2019</w:t>
            </w:r>
            <w:r w:rsidR="00663449" w:rsidRPr="00153510">
              <w:rPr>
                <w:rFonts w:ascii="Times New Roman" w:hAnsi="Times New Roman" w:cs="Times New Roman"/>
                <w:sz w:val="24"/>
                <w:szCs w:val="24"/>
                <w:lang w:val="ro-RO"/>
              </w:rPr>
              <w:t xml:space="preserve"> privind calitatea apei potabile, au fost stabiliți parametrii de calitate ai apei potabile, ceea ce a dus la </w:t>
            </w:r>
            <w:r w:rsidR="00663449" w:rsidRPr="00153510">
              <w:rPr>
                <w:rFonts w:ascii="Times New Roman" w:eastAsia="Calibri" w:hAnsi="Times New Roman" w:cs="Times New Roman"/>
                <w:bCs/>
                <w:color w:val="000000"/>
                <w:sz w:val="24"/>
                <w:szCs w:val="24"/>
                <w:lang w:val="ro-RO"/>
              </w:rPr>
              <w:t xml:space="preserve">paralelisme în reglementare. </w:t>
            </w:r>
            <w:r w:rsidR="00663449" w:rsidRPr="00153510">
              <w:rPr>
                <w:rFonts w:ascii="Times New Roman" w:hAnsi="Times New Roman" w:cs="Times New Roman"/>
                <w:sz w:val="24"/>
                <w:szCs w:val="24"/>
                <w:lang w:val="ro-RO"/>
              </w:rPr>
              <w:t xml:space="preserve">Prin urmare, având în vedere actele legislative și normative </w:t>
            </w:r>
            <w:r w:rsidRPr="00153510">
              <w:rPr>
                <w:rFonts w:ascii="Times New Roman" w:hAnsi="Times New Roman" w:cs="Times New Roman"/>
                <w:sz w:val="24"/>
                <w:szCs w:val="24"/>
                <w:lang w:val="ro-RO"/>
              </w:rPr>
              <w:t>inv</w:t>
            </w:r>
            <w:r w:rsidR="00663449" w:rsidRPr="00153510">
              <w:rPr>
                <w:rFonts w:ascii="Times New Roman" w:hAnsi="Times New Roman" w:cs="Times New Roman"/>
                <w:sz w:val="24"/>
                <w:szCs w:val="24"/>
                <w:lang w:val="ro-RO"/>
              </w:rPr>
              <w:t xml:space="preserve">ocate, se constată necesitatea abrogării </w:t>
            </w:r>
            <w:r w:rsidR="008A54EB" w:rsidRPr="00153510">
              <w:rPr>
                <w:rFonts w:ascii="Times New Roman" w:eastAsia="Calibri" w:hAnsi="Times New Roman" w:cs="Times New Roman"/>
                <w:bCs/>
                <w:color w:val="000000"/>
                <w:sz w:val="24"/>
                <w:szCs w:val="24"/>
                <w:lang w:val="ro-RO"/>
              </w:rPr>
              <w:t>Hotărârii Guvernului</w:t>
            </w:r>
            <w:r w:rsidR="00663449" w:rsidRPr="00153510">
              <w:rPr>
                <w:rFonts w:ascii="Times New Roman" w:hAnsi="Times New Roman" w:cs="Times New Roman"/>
                <w:sz w:val="24"/>
                <w:szCs w:val="24"/>
                <w:lang w:val="ro-RO"/>
              </w:rPr>
              <w:t xml:space="preserve"> nr. 934/2007</w:t>
            </w:r>
            <w:r w:rsidRPr="00153510">
              <w:rPr>
                <w:rFonts w:ascii="Times New Roman" w:hAnsi="Times New Roman" w:cs="Times New Roman"/>
                <w:sz w:val="24"/>
                <w:szCs w:val="24"/>
                <w:lang w:val="ro-RO"/>
              </w:rPr>
              <w:t>.</w:t>
            </w:r>
          </w:p>
          <w:p w14:paraId="71EC7E97" w14:textId="6E8AA02E" w:rsidR="00DF7809" w:rsidRPr="00153510" w:rsidRDefault="00672E03" w:rsidP="00F02B1E">
            <w:pPr>
              <w:tabs>
                <w:tab w:val="left" w:pos="284"/>
              </w:tabs>
              <w:spacing w:after="0" w:line="276" w:lineRule="auto"/>
              <w:ind w:right="95"/>
              <w:jc w:val="both"/>
              <w:rPr>
                <w:rFonts w:ascii="Times New Roman" w:eastAsia="Times New Roman" w:hAnsi="Times New Roman" w:cs="Times New Roman"/>
                <w:sz w:val="24"/>
                <w:szCs w:val="24"/>
                <w:highlight w:val="white"/>
                <w:lang w:val="ro-RO"/>
              </w:rPr>
            </w:pPr>
            <w:r w:rsidRPr="00153510">
              <w:rPr>
                <w:rFonts w:ascii="Times New Roman" w:eastAsia="Times New Roman" w:hAnsi="Times New Roman" w:cs="Times New Roman"/>
                <w:sz w:val="24"/>
                <w:szCs w:val="24"/>
                <w:highlight w:val="white"/>
                <w:lang w:val="ro-RO"/>
              </w:rPr>
              <w:t xml:space="preserve">Concomitent, se constată că apa folosită în scopuri potabile pe teritoriul țării, este un factor care determina până la 15-20% din cazurile de boli diareice acute </w:t>
            </w:r>
            <w:proofErr w:type="spellStart"/>
            <w:r w:rsidRPr="00153510">
              <w:rPr>
                <w:rFonts w:ascii="Times New Roman" w:eastAsia="Times New Roman" w:hAnsi="Times New Roman" w:cs="Times New Roman"/>
                <w:sz w:val="24"/>
                <w:szCs w:val="24"/>
                <w:highlight w:val="white"/>
                <w:lang w:val="ro-RO"/>
              </w:rPr>
              <w:t>şi</w:t>
            </w:r>
            <w:proofErr w:type="spellEnd"/>
            <w:r w:rsidRPr="00153510">
              <w:rPr>
                <w:rFonts w:ascii="Times New Roman" w:eastAsia="Times New Roman" w:hAnsi="Times New Roman" w:cs="Times New Roman"/>
                <w:sz w:val="24"/>
                <w:szCs w:val="24"/>
                <w:highlight w:val="white"/>
                <w:lang w:val="ro-RO"/>
              </w:rPr>
              <w:t xml:space="preserve"> hepatită virală A, preponderent în zonele rurale, 20-25% din bolile somatice, în cazul fluorozei dentare – 100%. Astfel,</w:t>
            </w:r>
            <w:r w:rsidR="00DF7809" w:rsidRPr="00153510">
              <w:rPr>
                <w:rFonts w:ascii="Times New Roman" w:eastAsia="Times New Roman" w:hAnsi="Times New Roman" w:cs="Times New Roman"/>
                <w:sz w:val="24"/>
                <w:szCs w:val="24"/>
                <w:highlight w:val="white"/>
                <w:lang w:val="ro-RO"/>
              </w:rPr>
              <w:t xml:space="preserve"> în Republica Moldova, anual, se înregistrează cca.</w:t>
            </w:r>
            <w:r w:rsidR="00BC1648" w:rsidRPr="00153510">
              <w:rPr>
                <w:rFonts w:ascii="Times New Roman" w:eastAsia="Times New Roman" w:hAnsi="Times New Roman" w:cs="Times New Roman"/>
                <w:sz w:val="24"/>
                <w:szCs w:val="24"/>
                <w:highlight w:val="white"/>
                <w:lang w:val="ro-RO"/>
              </w:rPr>
              <w:t xml:space="preserve"> </w:t>
            </w:r>
            <w:r w:rsidR="00967EF3" w:rsidRPr="00153510">
              <w:rPr>
                <w:rFonts w:ascii="Times New Roman" w:eastAsia="Times New Roman" w:hAnsi="Times New Roman" w:cs="Times New Roman"/>
                <w:sz w:val="24"/>
                <w:szCs w:val="24"/>
                <w:highlight w:val="white"/>
                <w:lang w:val="ro-RO"/>
              </w:rPr>
              <w:t>aproximativ</w:t>
            </w:r>
            <w:r w:rsidR="00BC1648" w:rsidRPr="00153510">
              <w:rPr>
                <w:rFonts w:ascii="Times New Roman" w:eastAsia="Times New Roman" w:hAnsi="Times New Roman" w:cs="Times New Roman"/>
                <w:sz w:val="24"/>
                <w:szCs w:val="24"/>
                <w:highlight w:val="white"/>
                <w:lang w:val="ro-RO"/>
              </w:rPr>
              <w:t xml:space="preserve"> </w:t>
            </w:r>
            <w:r w:rsidR="00DF7809" w:rsidRPr="00153510">
              <w:rPr>
                <w:rFonts w:ascii="Times New Roman" w:eastAsia="Times New Roman" w:hAnsi="Times New Roman" w:cs="Times New Roman"/>
                <w:sz w:val="24"/>
                <w:szCs w:val="24"/>
                <w:highlight w:val="white"/>
                <w:lang w:val="ro-RO"/>
              </w:rPr>
              <w:t xml:space="preserve">16-20 mii cazuri de </w:t>
            </w:r>
            <w:r w:rsidR="00C26E28" w:rsidRPr="00153510">
              <w:rPr>
                <w:rFonts w:ascii="Times New Roman" w:eastAsia="Times New Roman" w:hAnsi="Times New Roman" w:cs="Times New Roman"/>
                <w:sz w:val="24"/>
                <w:szCs w:val="24"/>
                <w:highlight w:val="white"/>
                <w:lang w:val="ro-RO"/>
              </w:rPr>
              <w:t>boli diareice acute (BDA),</w:t>
            </w:r>
            <w:r w:rsidR="00DF7809" w:rsidRPr="00153510">
              <w:rPr>
                <w:rFonts w:ascii="Times New Roman" w:eastAsia="Times New Roman" w:hAnsi="Times New Roman" w:cs="Times New Roman"/>
                <w:sz w:val="24"/>
                <w:szCs w:val="24"/>
                <w:highlight w:val="white"/>
                <w:lang w:val="ro-RO"/>
              </w:rPr>
              <w:t xml:space="preserve"> inclusiv cu până la 10 decese printre copiii sub vârsta de 5 ani. </w:t>
            </w:r>
            <w:r w:rsidR="00DF7809" w:rsidRPr="00153510">
              <w:rPr>
                <w:rFonts w:ascii="Times New Roman" w:eastAsia="Times New Roman" w:hAnsi="Times New Roman" w:cs="Times New Roman"/>
                <w:sz w:val="24"/>
                <w:szCs w:val="24"/>
                <w:lang w:val="ro-RO"/>
              </w:rPr>
              <w:t xml:space="preserve">De asemenea, </w:t>
            </w:r>
            <w:r w:rsidR="00DF7809" w:rsidRPr="00153510">
              <w:rPr>
                <w:rFonts w:ascii="Times New Roman" w:eastAsia="Times New Roman" w:hAnsi="Times New Roman" w:cs="Times New Roman"/>
                <w:sz w:val="24"/>
                <w:szCs w:val="24"/>
                <w:highlight w:val="white"/>
                <w:lang w:val="ro-RO"/>
              </w:rPr>
              <w:t xml:space="preserve">urmare contaminării, a apei potabile cu nitrați, în perioada anilor 2017-2021, s-au raportat la </w:t>
            </w:r>
            <w:r w:rsidR="00DF7809" w:rsidRPr="00153510">
              <w:rPr>
                <w:rFonts w:ascii="Times New Roman" w:eastAsia="Times New Roman" w:hAnsi="Times New Roman" w:cs="Times New Roman"/>
                <w:sz w:val="24"/>
                <w:szCs w:val="24"/>
                <w:highlight w:val="white"/>
                <w:lang w:val="ro-RO"/>
              </w:rPr>
              <w:lastRenderedPageBreak/>
              <w:t>nivel național 34</w:t>
            </w:r>
            <w:r w:rsidR="00DF7809" w:rsidRPr="00153510">
              <w:rPr>
                <w:rFonts w:ascii="Times New Roman" w:eastAsia="Times New Roman" w:hAnsi="Times New Roman" w:cs="Times New Roman"/>
                <w:color w:val="FF0000"/>
                <w:sz w:val="24"/>
                <w:szCs w:val="24"/>
                <w:highlight w:val="white"/>
                <w:lang w:val="ro-RO"/>
              </w:rPr>
              <w:t xml:space="preserve"> </w:t>
            </w:r>
            <w:r w:rsidR="00DF7809" w:rsidRPr="00153510">
              <w:rPr>
                <w:rFonts w:ascii="Times New Roman" w:eastAsia="Times New Roman" w:hAnsi="Times New Roman" w:cs="Times New Roman"/>
                <w:sz w:val="24"/>
                <w:szCs w:val="24"/>
                <w:highlight w:val="white"/>
                <w:lang w:val="ro-RO"/>
              </w:rPr>
              <w:t>cazuri de intoxicații acute cu nitrați, dintre care 3</w:t>
            </w:r>
            <w:r w:rsidR="00DF7809" w:rsidRPr="00153510">
              <w:rPr>
                <w:rFonts w:ascii="Times New Roman" w:eastAsia="Times New Roman" w:hAnsi="Times New Roman" w:cs="Times New Roman"/>
                <w:color w:val="FF0000"/>
                <w:sz w:val="24"/>
                <w:szCs w:val="24"/>
                <w:highlight w:val="white"/>
                <w:lang w:val="ro-RO"/>
              </w:rPr>
              <w:t xml:space="preserve"> </w:t>
            </w:r>
            <w:r w:rsidR="00DF7809" w:rsidRPr="00153510">
              <w:rPr>
                <w:rFonts w:ascii="Times New Roman" w:eastAsia="Times New Roman" w:hAnsi="Times New Roman" w:cs="Times New Roman"/>
                <w:sz w:val="24"/>
                <w:szCs w:val="24"/>
                <w:highlight w:val="white"/>
                <w:lang w:val="ro-RO"/>
              </w:rPr>
              <w:t>cazuri, fiind soldate cu deces în rândul copiilor.</w:t>
            </w:r>
            <w:r w:rsidR="00DF7809" w:rsidRPr="00153510">
              <w:rPr>
                <w:rFonts w:ascii="Times New Roman" w:eastAsia="Times New Roman" w:hAnsi="Times New Roman" w:cs="Times New Roman"/>
                <w:sz w:val="24"/>
                <w:szCs w:val="24"/>
                <w:lang w:val="ro-RO"/>
              </w:rPr>
              <w:t xml:space="preserve"> </w:t>
            </w:r>
          </w:p>
          <w:p w14:paraId="79473DA6" w14:textId="2753A5BF" w:rsidR="00F37D63" w:rsidRPr="00153510" w:rsidRDefault="00DF7809" w:rsidP="00F02B1E">
            <w:pPr>
              <w:tabs>
                <w:tab w:val="left" w:pos="284"/>
              </w:tabs>
              <w:spacing w:after="0" w:line="276" w:lineRule="auto"/>
              <w:ind w:right="95"/>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sz w:val="24"/>
                <w:szCs w:val="24"/>
                <w:lang w:val="ro-RO"/>
              </w:rPr>
              <w:t>În plus, conform ultimelor date din 2021 p</w:t>
            </w:r>
            <w:r w:rsidR="00F37D63" w:rsidRPr="00153510">
              <w:rPr>
                <w:rFonts w:ascii="Times New Roman" w:eastAsia="Times New Roman" w:hAnsi="Times New Roman" w:cs="Times New Roman"/>
                <w:sz w:val="24"/>
                <w:szCs w:val="24"/>
                <w:lang w:val="ro-RO"/>
              </w:rPr>
              <w:t>onderea neconformității apei din apeductele urbane, alimentate din sursele de suprafață constituie 8,6%, iar la parametrii microbiologici 6,3%</w:t>
            </w:r>
            <w:r w:rsidRPr="00153510">
              <w:rPr>
                <w:rFonts w:ascii="Times New Roman" w:eastAsia="Times New Roman" w:hAnsi="Times New Roman" w:cs="Times New Roman"/>
                <w:sz w:val="24"/>
                <w:szCs w:val="24"/>
                <w:lang w:val="ro-RO"/>
              </w:rPr>
              <w:t xml:space="preserve">, </w:t>
            </w:r>
            <w:r w:rsidR="00F37D63" w:rsidRPr="00153510">
              <w:rPr>
                <w:rFonts w:ascii="Times New Roman" w:eastAsia="Times New Roman" w:hAnsi="Times New Roman" w:cs="Times New Roman"/>
                <w:sz w:val="24"/>
                <w:szCs w:val="24"/>
                <w:lang w:val="ro-RO"/>
              </w:rPr>
              <w:t xml:space="preserve"> </w:t>
            </w:r>
            <w:r w:rsidR="00672E03" w:rsidRPr="00153510">
              <w:rPr>
                <w:rFonts w:ascii="Times New Roman" w:eastAsia="Times New Roman" w:hAnsi="Times New Roman" w:cs="Times New Roman"/>
                <w:sz w:val="24"/>
                <w:szCs w:val="24"/>
                <w:lang w:val="ro-RO"/>
              </w:rPr>
              <w:t>t</w:t>
            </w:r>
            <w:r w:rsidRPr="00153510">
              <w:rPr>
                <w:rFonts w:ascii="Times New Roman" w:eastAsia="Times New Roman" w:hAnsi="Times New Roman" w:cs="Times New Roman"/>
                <w:sz w:val="24"/>
                <w:szCs w:val="24"/>
                <w:lang w:val="ro-RO"/>
              </w:rPr>
              <w:t xml:space="preserve">otodată, 90 % dintre sonde arteziene investigate sunt neconforme cerințelor legislative, </w:t>
            </w:r>
            <w:r w:rsidR="00147B52" w:rsidRPr="00153510">
              <w:rPr>
                <w:rFonts w:ascii="Times New Roman" w:eastAsia="Times New Roman" w:hAnsi="Times New Roman" w:cs="Times New Roman"/>
                <w:sz w:val="24"/>
                <w:szCs w:val="24"/>
                <w:lang w:val="ro-RO"/>
              </w:rPr>
              <w:t xml:space="preserve">ceea ce prezintă </w:t>
            </w:r>
            <w:r w:rsidR="00F37D63" w:rsidRPr="00153510">
              <w:rPr>
                <w:rFonts w:ascii="Times New Roman" w:eastAsia="Times New Roman" w:hAnsi="Times New Roman" w:cs="Times New Roman"/>
                <w:sz w:val="24"/>
                <w:szCs w:val="24"/>
                <w:lang w:val="ro-RO"/>
              </w:rPr>
              <w:t>necesitatea revizuirii procesului de supraveghere și monitorizare a calității apei potabile pentru atingerea unui nivel înalt de protecție a sănătății populației, cât și prevenirea îmbolnăvirilor.</w:t>
            </w:r>
          </w:p>
          <w:p w14:paraId="59D82088" w14:textId="38524C0B" w:rsidR="005F1533" w:rsidRPr="00153510" w:rsidRDefault="00F02B1E" w:rsidP="00F02B1E">
            <w:pPr>
              <w:tabs>
                <w:tab w:val="left" w:pos="284"/>
              </w:tabs>
              <w:spacing w:after="0" w:line="276" w:lineRule="auto"/>
              <w:ind w:right="95"/>
              <w:jc w:val="both"/>
              <w:rPr>
                <w:rFonts w:ascii="Times New Roman" w:hAnsi="Times New Roman" w:cs="Times New Roman"/>
                <w:sz w:val="24"/>
                <w:szCs w:val="24"/>
                <w:lang w:val="ro-RO"/>
              </w:rPr>
            </w:pPr>
            <w:r w:rsidRPr="00153510">
              <w:rPr>
                <w:rFonts w:ascii="Times New Roman" w:hAnsi="Times New Roman" w:cs="Times New Roman"/>
                <w:sz w:val="24"/>
                <w:szCs w:val="24"/>
                <w:lang w:val="ro-RO"/>
              </w:rPr>
              <w:t xml:space="preserve">În </w:t>
            </w:r>
            <w:r w:rsidR="00F37D63" w:rsidRPr="00153510">
              <w:rPr>
                <w:rFonts w:ascii="Times New Roman" w:hAnsi="Times New Roman" w:cs="Times New Roman"/>
                <w:sz w:val="24"/>
                <w:szCs w:val="24"/>
                <w:lang w:val="ro-RO"/>
              </w:rPr>
              <w:t>contextul celor</w:t>
            </w:r>
            <w:r w:rsidRPr="00153510">
              <w:rPr>
                <w:rFonts w:ascii="Times New Roman" w:hAnsi="Times New Roman" w:cs="Times New Roman"/>
                <w:sz w:val="24"/>
                <w:szCs w:val="24"/>
                <w:lang w:val="ro-RO"/>
              </w:rPr>
              <w:t xml:space="preserve"> </w:t>
            </w:r>
            <w:r w:rsidR="00147B52" w:rsidRPr="00153510">
              <w:rPr>
                <w:rFonts w:ascii="Times New Roman" w:hAnsi="Times New Roman" w:cs="Times New Roman"/>
                <w:sz w:val="24"/>
                <w:szCs w:val="24"/>
                <w:lang w:val="ro-RO"/>
              </w:rPr>
              <w:t>expuse</w:t>
            </w:r>
            <w:r w:rsidRPr="00153510">
              <w:rPr>
                <w:rFonts w:ascii="Times New Roman" w:hAnsi="Times New Roman" w:cs="Times New Roman"/>
                <w:sz w:val="24"/>
                <w:szCs w:val="24"/>
                <w:lang w:val="ro-RO"/>
              </w:rPr>
              <w:t xml:space="preserve">, se constată că nu există prevederi suficiente pentru reglementarea în întregime a </w:t>
            </w:r>
            <w:r w:rsidR="005F1533" w:rsidRPr="00153510">
              <w:rPr>
                <w:rFonts w:ascii="Times New Roman" w:hAnsi="Times New Roman" w:cs="Times New Roman"/>
                <w:sz w:val="24"/>
                <w:szCs w:val="24"/>
                <w:lang w:val="ro-RO"/>
              </w:rPr>
              <w:t>cerințelor privind supravegherea și monitorizarea calității apei potabile, în special a identificării riscurilor la toate etapele de aprovizionare cu apă potabilă.</w:t>
            </w:r>
          </w:p>
          <w:p w14:paraId="24761AE1" w14:textId="22518C66" w:rsidR="00F02B1E" w:rsidRPr="00153510" w:rsidRDefault="00F02B1E" w:rsidP="00F37D63">
            <w:pPr>
              <w:pStyle w:val="NormalWeb"/>
              <w:shd w:val="clear" w:color="auto" w:fill="FFFFFF"/>
              <w:tabs>
                <w:tab w:val="left" w:pos="284"/>
              </w:tabs>
              <w:spacing w:line="276" w:lineRule="auto"/>
              <w:ind w:right="95" w:firstLine="0"/>
            </w:pPr>
            <w:r w:rsidRPr="00153510">
              <w:t>Astfel,</w:t>
            </w:r>
            <w:r w:rsidRPr="00153510">
              <w:rPr>
                <w:b/>
              </w:rPr>
              <w:t xml:space="preserve"> </w:t>
            </w:r>
            <w:r w:rsidRPr="00153510">
              <w:t>pentru</w:t>
            </w:r>
            <w:r w:rsidR="005F1533" w:rsidRPr="00153510">
              <w:t xml:space="preserve"> </w:t>
            </w:r>
            <w:r w:rsidRPr="00153510">
              <w:t>asigura</w:t>
            </w:r>
            <w:r w:rsidR="005F1533" w:rsidRPr="00153510">
              <w:t>rea</w:t>
            </w:r>
            <w:r w:rsidRPr="00153510">
              <w:t xml:space="preserve"> </w:t>
            </w:r>
            <w:r w:rsidR="005F1533" w:rsidRPr="00153510">
              <w:t xml:space="preserve">sănătății publice, </w:t>
            </w:r>
            <w:r w:rsidRPr="00153510">
              <w:t xml:space="preserve">se impune reglementarea </w:t>
            </w:r>
            <w:r w:rsidR="005F1533" w:rsidRPr="00153510">
              <w:t>cerințelor față de parametrii și frecvențele de monitorizare</w:t>
            </w:r>
            <w:r w:rsidRPr="00153510">
              <w:t xml:space="preserve">, ca norme general aplicabile tuturor </w:t>
            </w:r>
            <w:r w:rsidR="005F1533" w:rsidRPr="00153510">
              <w:t>autorităților responsabile</w:t>
            </w:r>
            <w:r w:rsidR="00F37D63" w:rsidRPr="00153510">
              <w:t xml:space="preserve"> </w:t>
            </w:r>
            <w:r w:rsidR="005F1533" w:rsidRPr="00153510">
              <w:t>pentru asigurarea conformității calității apei potabile</w:t>
            </w:r>
            <w:r w:rsidRPr="00153510">
              <w:t>.</w:t>
            </w:r>
          </w:p>
          <w:p w14:paraId="14A0CCF3" w14:textId="3CB43780" w:rsidR="00140E76" w:rsidRPr="00153510" w:rsidRDefault="00927058" w:rsidP="00F02B1E">
            <w:pPr>
              <w:tabs>
                <w:tab w:val="left" w:pos="284"/>
              </w:tabs>
              <w:spacing w:after="0" w:line="276" w:lineRule="auto"/>
              <w:ind w:right="95"/>
              <w:jc w:val="both"/>
              <w:rPr>
                <w:rFonts w:ascii="Times New Roman" w:eastAsia="Calibri" w:hAnsi="Times New Roman" w:cs="Times New Roman"/>
                <w:bCs/>
                <w:color w:val="000000"/>
                <w:sz w:val="24"/>
                <w:szCs w:val="24"/>
                <w:lang w:val="ro-RO"/>
              </w:rPr>
            </w:pPr>
            <w:r w:rsidRPr="00153510">
              <w:rPr>
                <w:rFonts w:ascii="Times New Roman" w:eastAsia="Times New Roman" w:hAnsi="Times New Roman" w:cs="Times New Roman"/>
                <w:sz w:val="24"/>
                <w:szCs w:val="24"/>
                <w:lang w:val="ro-RO" w:eastAsia="ro-MD"/>
              </w:rPr>
              <w:t xml:space="preserve">În context, finalitatea urmărită prin elaborarea prezentului proiect de act normativ rezidă în asigurarea unor prevederi suficiente pentru reglementarea în întregime a modului de supraveghere și monitorizare a apei potabile pentru asigurarea </w:t>
            </w:r>
            <w:r w:rsidR="0031562F" w:rsidRPr="00153510">
              <w:rPr>
                <w:rFonts w:ascii="Times New Roman" w:eastAsia="Times New Roman" w:hAnsi="Times New Roman" w:cs="Times New Roman"/>
                <w:sz w:val="24"/>
                <w:szCs w:val="24"/>
                <w:lang w:val="ro-RO" w:eastAsia="ro-MD"/>
              </w:rPr>
              <w:t>populației</w:t>
            </w:r>
            <w:r w:rsidRPr="00153510">
              <w:rPr>
                <w:rFonts w:ascii="Times New Roman" w:eastAsia="Times New Roman" w:hAnsi="Times New Roman" w:cs="Times New Roman"/>
                <w:sz w:val="24"/>
                <w:szCs w:val="24"/>
                <w:lang w:val="ro-RO" w:eastAsia="ro-MD"/>
              </w:rPr>
              <w:t xml:space="preserve"> cu apă potabilă sigură, prin stabilirea unui sistem de monitorizare în dependență de riscurile identificate. Precum și, identificarea și minimizarea riscurilor pentru sănătate, prin reducerea cazurilor de morbiditate prin boli netransmisibile și transmisibile condiționate de consumul apei potabile  nesigură.</w:t>
            </w:r>
          </w:p>
          <w:p w14:paraId="5BE65751" w14:textId="7F8EF72D" w:rsidR="00F02B1E" w:rsidRPr="00153510" w:rsidRDefault="00FE17E6" w:rsidP="00F02B1E">
            <w:pPr>
              <w:pStyle w:val="NormalWeb"/>
              <w:shd w:val="clear" w:color="auto" w:fill="FFFFFF"/>
              <w:tabs>
                <w:tab w:val="left" w:pos="284"/>
              </w:tabs>
              <w:spacing w:line="276" w:lineRule="auto"/>
              <w:ind w:right="95" w:firstLine="0"/>
            </w:pPr>
            <w:r w:rsidRPr="00153510">
              <w:t xml:space="preserve">Deoarece proiectul de act normativ inserează norme de reglementare a activității de întreprinzător și impune anumite reguli și obligații producătorului/operatorului de apă potabilă, prin prisma prevederilor art. 25 al Legii nr. 100/2017 privind actele normative și ale Legii nr. 235/2006 cu privire la principiile de bază ale activității de întreprinzător, se impune elaborarea analizei impactului de reglementare. </w:t>
            </w:r>
          </w:p>
        </w:tc>
      </w:tr>
      <w:tr w:rsidR="00140E76" w:rsidRPr="00153510" w14:paraId="39472573"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4BCAAC77" w14:textId="45ED024D"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lastRenderedPageBreak/>
              <w:t>3. Descrierea gradului de compatibilitate pentru proiectele care au ca scop</w:t>
            </w:r>
            <w:r w:rsidR="005071FB" w:rsidRPr="00153510">
              <w:rPr>
                <w:rFonts w:ascii="Times New Roman" w:hAnsi="Times New Roman" w:cs="Times New Roman"/>
                <w:b/>
                <w:bCs/>
                <w:sz w:val="24"/>
                <w:szCs w:val="24"/>
                <w:lang w:val="ro-RO"/>
              </w:rPr>
              <w:t xml:space="preserve">  </w:t>
            </w:r>
            <w:r w:rsidRPr="00153510">
              <w:rPr>
                <w:rFonts w:ascii="Times New Roman" w:hAnsi="Times New Roman" w:cs="Times New Roman"/>
                <w:b/>
                <w:bCs/>
                <w:sz w:val="24"/>
                <w:szCs w:val="24"/>
                <w:lang w:val="ro-RO"/>
              </w:rPr>
              <w:t>armonizarea legislației naționale cu legislația Uniunii Europene</w:t>
            </w:r>
          </w:p>
        </w:tc>
      </w:tr>
      <w:tr w:rsidR="00140E76" w:rsidRPr="00153510" w14:paraId="074EA236" w14:textId="77777777" w:rsidTr="00C7238F">
        <w:tc>
          <w:tcPr>
            <w:tcW w:w="5000" w:type="pct"/>
            <w:tcBorders>
              <w:top w:val="single" w:sz="4" w:space="0" w:color="auto"/>
              <w:left w:val="single" w:sz="4" w:space="0" w:color="auto"/>
              <w:bottom w:val="single" w:sz="4" w:space="0" w:color="auto"/>
              <w:right w:val="single" w:sz="4" w:space="0" w:color="auto"/>
            </w:tcBorders>
          </w:tcPr>
          <w:p w14:paraId="79748CE8" w14:textId="073548F8" w:rsidR="005A020F" w:rsidRPr="00153510" w:rsidRDefault="00C7238F" w:rsidP="00A70A5D">
            <w:pPr>
              <w:spacing w:after="0"/>
              <w:jc w:val="both"/>
              <w:rPr>
                <w:rFonts w:ascii="Times New Roman" w:hAnsi="Times New Roman" w:cs="Times New Roman"/>
                <w:sz w:val="24"/>
                <w:szCs w:val="24"/>
                <w:lang w:val="ro-RO"/>
              </w:rPr>
            </w:pPr>
            <w:r w:rsidRPr="00153510">
              <w:rPr>
                <w:rFonts w:ascii="Times New Roman" w:hAnsi="Times New Roman" w:cs="Times New Roman"/>
                <w:sz w:val="24"/>
                <w:szCs w:val="24"/>
                <w:lang w:val="ro-RO"/>
              </w:rPr>
              <w:t xml:space="preserve">Prezentul Regulament sanitar privind supravegherea </w:t>
            </w:r>
            <w:proofErr w:type="spellStart"/>
            <w:r w:rsidRPr="00153510">
              <w:rPr>
                <w:rFonts w:ascii="Times New Roman" w:hAnsi="Times New Roman" w:cs="Times New Roman"/>
                <w:sz w:val="24"/>
                <w:szCs w:val="24"/>
                <w:lang w:val="ro-RO"/>
              </w:rPr>
              <w:t>şi</w:t>
            </w:r>
            <w:proofErr w:type="spellEnd"/>
            <w:r w:rsidRPr="00153510">
              <w:rPr>
                <w:rFonts w:ascii="Times New Roman" w:hAnsi="Times New Roman" w:cs="Times New Roman"/>
                <w:sz w:val="24"/>
                <w:szCs w:val="24"/>
                <w:lang w:val="ro-RO"/>
              </w:rPr>
              <w:t xml:space="preserve"> monitorizarea apei potabile transpune parțial Directiva (UE) 2020/2184 a Parlamentului European și a Consiliului din 16 decembrie 2020 privind calitatea apei destinate consumului uman</w:t>
            </w:r>
            <w:r w:rsidR="005A020F" w:rsidRPr="00153510">
              <w:rPr>
                <w:rFonts w:ascii="Times New Roman" w:hAnsi="Times New Roman" w:cs="Times New Roman"/>
                <w:sz w:val="24"/>
                <w:szCs w:val="24"/>
                <w:lang w:val="ro-RO"/>
              </w:rPr>
              <w:t>, publicat în Jurnalul Oficial al Uniunii Europene,</w:t>
            </w:r>
            <w:r w:rsidR="00F17F87" w:rsidRPr="00153510">
              <w:rPr>
                <w:rFonts w:ascii="Times New Roman" w:hAnsi="Times New Roman" w:cs="Times New Roman"/>
                <w:sz w:val="24"/>
                <w:szCs w:val="24"/>
                <w:lang w:val="ro-RO"/>
              </w:rPr>
              <w:t xml:space="preserve"> </w:t>
            </w:r>
            <w:r w:rsidR="005A020F" w:rsidRPr="00153510">
              <w:rPr>
                <w:rFonts w:ascii="Times New Roman" w:hAnsi="Times New Roman" w:cs="Times New Roman"/>
                <w:sz w:val="24"/>
                <w:szCs w:val="24"/>
                <w:lang w:val="ro-RO"/>
              </w:rPr>
              <w:t>(OJ) L 435, 23.12.2020, p. 1–62 și creează cadrul normativ în domeniul menționat.</w:t>
            </w:r>
          </w:p>
        </w:tc>
      </w:tr>
      <w:tr w:rsidR="00140E76" w:rsidRPr="00153510" w14:paraId="2FE95D76"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6EB1A3E4" w14:textId="6CE7D89A"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t xml:space="preserve">4. </w:t>
            </w:r>
            <w:r w:rsidR="00AD1FDA" w:rsidRPr="00153510">
              <w:rPr>
                <w:rFonts w:ascii="Times New Roman" w:eastAsia="Times New Roman" w:hAnsi="Times New Roman" w:cs="Times New Roman"/>
                <w:b/>
                <w:bCs/>
                <w:sz w:val="24"/>
                <w:szCs w:val="24"/>
                <w:lang w:val="ro-RO"/>
              </w:rPr>
              <w:t>Principalele prevederi ale proiectului și evidențierea elementelor noi</w:t>
            </w:r>
          </w:p>
        </w:tc>
      </w:tr>
      <w:tr w:rsidR="00140E76" w:rsidRPr="001647C1" w14:paraId="2CC2FC10" w14:textId="77777777" w:rsidTr="00C7238F">
        <w:tc>
          <w:tcPr>
            <w:tcW w:w="5000" w:type="pct"/>
            <w:tcBorders>
              <w:top w:val="single" w:sz="4" w:space="0" w:color="auto"/>
              <w:left w:val="single" w:sz="4" w:space="0" w:color="auto"/>
              <w:bottom w:val="single" w:sz="4" w:space="0" w:color="auto"/>
              <w:right w:val="single" w:sz="4" w:space="0" w:color="auto"/>
            </w:tcBorders>
          </w:tcPr>
          <w:p w14:paraId="038A0EDF" w14:textId="77777777" w:rsidR="00343CEA" w:rsidRPr="00153510" w:rsidRDefault="00343CEA" w:rsidP="00343CEA">
            <w:pPr>
              <w:spacing w:after="0" w:line="240" w:lineRule="auto"/>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color w:val="000000"/>
                <w:sz w:val="24"/>
                <w:szCs w:val="24"/>
                <w:shd w:val="clear" w:color="auto" w:fill="FFFFFF"/>
                <w:lang w:val="ro-RO"/>
              </w:rPr>
              <w:t>Principalele prevederi ale Regulamentului propus spre aprobare sunt:</w:t>
            </w:r>
          </w:p>
          <w:p w14:paraId="62692D5E" w14:textId="77777777" w:rsidR="00343CEA" w:rsidRPr="00153510" w:rsidRDefault="00343CEA" w:rsidP="00343CEA">
            <w:pPr>
              <w:numPr>
                <w:ilvl w:val="0"/>
                <w:numId w:val="2"/>
              </w:numPr>
              <w:spacing w:after="0" w:line="240" w:lineRule="auto"/>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Stabilirea procedurilor de monitorizare a calității apei potabile, stabilire a punctelor de control, frecvenței și numărului minim de probe analizate, cu clarificarea atribuțiilor de monitorizare operațională și de audit a calității apei potabile furnizate,</w:t>
            </w:r>
          </w:p>
          <w:p w14:paraId="77FE5D5D" w14:textId="77777777" w:rsidR="00343CEA" w:rsidRPr="00153510" w:rsidRDefault="00343CEA" w:rsidP="00343CEA">
            <w:pPr>
              <w:numPr>
                <w:ilvl w:val="0"/>
                <w:numId w:val="2"/>
              </w:numPr>
              <w:spacing w:after="0" w:line="240" w:lineRule="auto"/>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Clarificarea procedurilor de derogare acordate de către Guvern conform Legii 182/2019 privind calitatea apei potabile,</w:t>
            </w:r>
          </w:p>
          <w:p w14:paraId="7450C067" w14:textId="77777777" w:rsidR="00343CEA" w:rsidRPr="00153510" w:rsidRDefault="00343CEA" w:rsidP="00343CEA">
            <w:pPr>
              <w:numPr>
                <w:ilvl w:val="0"/>
                <w:numId w:val="2"/>
              </w:numPr>
              <w:spacing w:after="0" w:line="240" w:lineRule="auto"/>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Stabilirea principiilor de gestionare a riscurilor de contaminare de către furnizorii de apă și ANSP, identificarea surselor potențiale de contaminare, evaluarea riscurilor, elaborarea și implementarea planurilor de acțiune pentru reducerea riscurilor;</w:t>
            </w:r>
          </w:p>
          <w:p w14:paraId="58F226ED" w14:textId="77777777" w:rsidR="00343CEA" w:rsidRPr="00153510" w:rsidRDefault="00343CEA" w:rsidP="00343CEA">
            <w:pPr>
              <w:numPr>
                <w:ilvl w:val="0"/>
                <w:numId w:val="2"/>
              </w:numPr>
              <w:spacing w:after="0" w:line="240" w:lineRule="auto"/>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Revizuirea metodelor de analiză pentru parametrii chimici și parametrii indicatori în ceea ce privește caracteristică minimă de performanță „incertitudinea de măsurare”, în conformitate cu prevederile Directiva (UE) 2020/2184.</w:t>
            </w:r>
          </w:p>
          <w:p w14:paraId="5CCC4782" w14:textId="4989ECDC" w:rsidR="00343CEA" w:rsidRPr="00153510" w:rsidRDefault="00343CEA" w:rsidP="001E2E6D">
            <w:pPr>
              <w:numPr>
                <w:ilvl w:val="0"/>
                <w:numId w:val="2"/>
              </w:numPr>
              <w:tabs>
                <w:tab w:val="clear" w:pos="720"/>
                <w:tab w:val="num" w:pos="360"/>
              </w:tabs>
              <w:spacing w:after="0" w:line="240" w:lineRule="auto"/>
              <w:ind w:left="22"/>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lastRenderedPageBreak/>
              <w:t>Stabilirea unei liste de acțiuni pentru furnizorii de apă și ANSP cu privire la modurile de raportare și de informare a consumatorilor cu privire la calitatea apei furnizate, inclusiv</w:t>
            </w:r>
            <w:r w:rsidR="001E2E6D">
              <w:rPr>
                <w:rFonts w:ascii="Times New Roman" w:eastAsia="Times New Roman" w:hAnsi="Times New Roman" w:cs="Times New Roman"/>
                <w:color w:val="000000"/>
                <w:sz w:val="24"/>
                <w:szCs w:val="24"/>
                <w:shd w:val="clear" w:color="auto" w:fill="FFFFFF"/>
                <w:lang w:val="ro-RO"/>
              </w:rPr>
              <w:t xml:space="preserve"> </w:t>
            </w:r>
            <w:r w:rsidRPr="00153510">
              <w:rPr>
                <w:rFonts w:ascii="Times New Roman" w:eastAsia="Times New Roman" w:hAnsi="Times New Roman" w:cs="Times New Roman"/>
                <w:color w:val="000000"/>
                <w:sz w:val="24"/>
                <w:szCs w:val="24"/>
                <w:shd w:val="clear" w:color="auto" w:fill="FFFFFF"/>
                <w:lang w:val="ro-RO"/>
              </w:rPr>
              <w:t>modalitățile de acces la informații și comunicarea eventualelor probleme în legătură cu calitatea apei;</w:t>
            </w:r>
          </w:p>
          <w:p w14:paraId="23E03845" w14:textId="77777777" w:rsidR="00343CEA" w:rsidRPr="00153510" w:rsidRDefault="00343CEA" w:rsidP="00343CEA">
            <w:pPr>
              <w:spacing w:after="0" w:line="240" w:lineRule="auto"/>
              <w:ind w:firstLine="458"/>
              <w:jc w:val="both"/>
              <w:textAlignment w:val="baseline"/>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lang w:val="ro-RO"/>
              </w:rPr>
              <w:t>Prevederile fundamentale ale prezentului Regulament se adresează în mod direct sănătății publice și identificării riscurilor consumului de apă potabilă care nu asigură normativele în vigoare.</w:t>
            </w:r>
          </w:p>
          <w:p w14:paraId="6BDB7413" w14:textId="77777777" w:rsidR="00343CEA" w:rsidRPr="00153510" w:rsidRDefault="00343CEA" w:rsidP="00343CEA">
            <w:pPr>
              <w:spacing w:after="0" w:line="240" w:lineRule="auto"/>
              <w:ind w:firstLine="420"/>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color w:val="000000"/>
                <w:sz w:val="24"/>
                <w:szCs w:val="24"/>
                <w:lang w:val="ro-RO"/>
              </w:rPr>
              <w:t>Conform Directiva (UE) 2020/2184 furnizorii de apă trebuie să efectueze evaluări ale riscurilor asociate cu sursele de apă și cu sistemele de furnizare a apei potabile. Această cerință este impusă inclusiv de Legea nr. 182/2019 și este esențială pentru protejarea sănătății publice.</w:t>
            </w:r>
          </w:p>
          <w:p w14:paraId="5D00E1E7" w14:textId="77777777" w:rsidR="00343CEA" w:rsidRPr="00153510" w:rsidRDefault="00343CEA" w:rsidP="00343CEA">
            <w:pPr>
              <w:spacing w:after="0" w:line="240" w:lineRule="auto"/>
              <w:ind w:left="33" w:firstLine="420"/>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color w:val="000000"/>
                <w:sz w:val="24"/>
                <w:szCs w:val="24"/>
                <w:lang w:val="ro-RO"/>
              </w:rPr>
              <w:t>Cu toate acestea, evaluarea riscurilor poate fi o sarcină complexă și poate necesita cunoștințe specializate și expertiză tehnică. Astfel, reglementările specifice sunt necesare pentru a oferi furnizorilor de apă procese concrete și clare pentru a efectua evaluarea riscurilor și pentru a gestiona riscurile identificate.</w:t>
            </w:r>
          </w:p>
          <w:p w14:paraId="0BA04234" w14:textId="77777777" w:rsidR="00AB6C5F" w:rsidRPr="00153510" w:rsidRDefault="00AB6C5F" w:rsidP="00AB6C5F">
            <w:pPr>
              <w:spacing w:after="0" w:line="240" w:lineRule="auto"/>
              <w:ind w:left="33" w:firstLine="420"/>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color w:val="000000"/>
                <w:sz w:val="24"/>
                <w:szCs w:val="24"/>
                <w:shd w:val="clear" w:color="auto" w:fill="FFFFFF"/>
                <w:lang w:val="ro-RO"/>
              </w:rPr>
              <w:t>OMS recomandă aplicarea abordării bazate pe riscuri în ceea ce privește siguranța apei, care acoperă întregul lanț de aprovizionare, de la bazinul hidrografic până la punctul de conformitate, trecând prin captare, tratare, înmagazinare și distribuție. </w:t>
            </w:r>
          </w:p>
          <w:p w14:paraId="1E187E5D" w14:textId="77777777" w:rsidR="00AB6C5F" w:rsidRPr="00153510" w:rsidRDefault="00AB6C5F" w:rsidP="00AB6C5F">
            <w:pPr>
              <w:spacing w:after="0" w:line="240" w:lineRule="auto"/>
              <w:ind w:left="33" w:firstLine="529"/>
              <w:jc w:val="both"/>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Prin proiectul propus spre aprobare se instituie cerințe față de furnizorii de apă și autorităților (ANSP), atribuțiile lor în contextul implementării unei astfel de abordări.</w:t>
            </w:r>
            <w:r w:rsidRPr="00153510">
              <w:rPr>
                <w:rFonts w:ascii="Times New Roman" w:eastAsia="Times New Roman" w:hAnsi="Times New Roman" w:cs="Times New Roman"/>
                <w:color w:val="000000"/>
                <w:sz w:val="24"/>
                <w:szCs w:val="24"/>
                <w:lang w:val="ro-RO"/>
              </w:rPr>
              <w:t xml:space="preserve"> </w:t>
            </w:r>
          </w:p>
          <w:p w14:paraId="2CB480FA" w14:textId="77777777" w:rsidR="00AB6C5F" w:rsidRPr="00153510" w:rsidRDefault="00AB6C5F" w:rsidP="00AB6C5F">
            <w:pPr>
              <w:spacing w:after="0" w:line="240" w:lineRule="auto"/>
              <w:ind w:left="33" w:firstLine="529"/>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color w:val="000000"/>
                <w:sz w:val="24"/>
                <w:szCs w:val="24"/>
                <w:lang w:val="ro-RO"/>
              </w:rPr>
              <w:t>Introducerea și aplicarea abordării bazate pe riscuri, va permite furnizorilor de apă, inclusiv ANSP, să reducă frecvența și numărul de parametri testați, ce nu sunt relevanți pentru o anumită zonă de aprovizionare. Prin urmare, situația respectivă va contribui la testarea mai multor surse, cu posibilitatea implementării măsurilor de remediere a riscurilor asupra sănătății.</w:t>
            </w:r>
          </w:p>
          <w:p w14:paraId="23C4C815" w14:textId="77777777" w:rsidR="00AB6C5F" w:rsidRPr="00153510" w:rsidRDefault="00AB6C5F" w:rsidP="00AB6C5F">
            <w:pPr>
              <w:spacing w:after="0" w:line="240" w:lineRule="auto"/>
              <w:ind w:left="33" w:firstLine="529"/>
              <w:jc w:val="both"/>
              <w:rPr>
                <w:rFonts w:ascii="Times New Roman" w:eastAsia="Times New Roman" w:hAnsi="Times New Roman" w:cs="Times New Roman"/>
                <w:color w:val="000000"/>
                <w:sz w:val="24"/>
                <w:szCs w:val="24"/>
                <w:lang w:val="ro-RO"/>
              </w:rPr>
            </w:pPr>
            <w:r w:rsidRPr="00153510">
              <w:rPr>
                <w:rFonts w:ascii="Times New Roman" w:eastAsia="Times New Roman" w:hAnsi="Times New Roman" w:cs="Times New Roman"/>
                <w:color w:val="000000"/>
                <w:sz w:val="24"/>
                <w:szCs w:val="24"/>
                <w:shd w:val="clear" w:color="auto" w:fill="FFFFFF"/>
                <w:lang w:val="ro-RO"/>
              </w:rPr>
              <w:t>Aplicarea prevederilor noi propuse va ajuta furnizorilor și ANSP să se concentreze asupra a celor mai relevante probleme, de a preveni pericolele și pla</w:t>
            </w:r>
            <w:r w:rsidRPr="00153510">
              <w:rPr>
                <w:rFonts w:ascii="Times New Roman" w:eastAsia="Times New Roman" w:hAnsi="Times New Roman" w:cs="Times New Roman"/>
                <w:color w:val="000000"/>
                <w:sz w:val="24"/>
                <w:szCs w:val="24"/>
                <w:lang w:val="ro-RO"/>
              </w:rPr>
              <w:t>nifică în prealabil acțiuni de remediere. </w:t>
            </w:r>
          </w:p>
          <w:p w14:paraId="4F3C93E0" w14:textId="77777777" w:rsidR="00AB6C5F" w:rsidRPr="00153510" w:rsidRDefault="00AB6C5F" w:rsidP="00AB6C5F">
            <w:pPr>
              <w:spacing w:after="0" w:line="240" w:lineRule="auto"/>
              <w:ind w:left="33" w:firstLine="529"/>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sz w:val="24"/>
                <w:szCs w:val="24"/>
                <w:lang w:val="ro-RO"/>
              </w:rPr>
              <w:t>De reiterat faptul, că Regulamentul propus vine însoțit de reglementări tehnice și proceduri operaționale care vizează evidența, raportarea datelor obținute în urma investigațiilor, precum și procedura de solicitare și acordare a derogărilor. Aceste aspecte vor fi clar și transparent definite pentru furnizorii de apă.</w:t>
            </w:r>
          </w:p>
          <w:p w14:paraId="6201CA15" w14:textId="77777777" w:rsidR="00AB6C5F" w:rsidRPr="00153510" w:rsidRDefault="00AB6C5F" w:rsidP="00AB6C5F">
            <w:pPr>
              <w:spacing w:after="0" w:line="240" w:lineRule="auto"/>
              <w:ind w:left="33" w:firstLine="529"/>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sz w:val="24"/>
                <w:szCs w:val="24"/>
                <w:lang w:val="ro-RO"/>
              </w:rPr>
              <w:t>Inovația proiectului constă în introducerea unui temei legal pentru inițierea proceselor de gestionare a riscurilor care vizează bazinele hidrografice aferente punctelor de captare a apei destinate consumului uman și gestionarea riscurilor ce vizează sistemele de distribuție casnică.</w:t>
            </w:r>
          </w:p>
          <w:p w14:paraId="79B277B8" w14:textId="77777777" w:rsidR="00AB6C5F" w:rsidRPr="00153510" w:rsidRDefault="00AB6C5F" w:rsidP="00AB6C5F">
            <w:pPr>
              <w:spacing w:after="0" w:line="240" w:lineRule="auto"/>
              <w:ind w:left="33" w:firstLine="529"/>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sz w:val="24"/>
                <w:szCs w:val="24"/>
                <w:lang w:val="ro-RO"/>
              </w:rPr>
              <w:t xml:space="preserve">Până în prezent, procedura de gestionare a riscurilor este prevăzută doar pentru sistemului de distribuție a apei. Se propune extinderea acestei abordări pentru a urma standardele europene în acest sens. </w:t>
            </w:r>
          </w:p>
          <w:p w14:paraId="0446D76C" w14:textId="0D39F590" w:rsidR="00140E76" w:rsidRPr="005944AB" w:rsidRDefault="00AB6C5F" w:rsidP="005944AB">
            <w:pPr>
              <w:spacing w:after="0" w:line="240" w:lineRule="auto"/>
              <w:ind w:left="33" w:firstLine="529"/>
              <w:jc w:val="both"/>
              <w:rPr>
                <w:rFonts w:ascii="Times New Roman" w:eastAsia="Times New Roman" w:hAnsi="Times New Roman" w:cs="Times New Roman"/>
                <w:sz w:val="24"/>
                <w:szCs w:val="24"/>
                <w:lang w:val="ro-RO"/>
              </w:rPr>
            </w:pPr>
            <w:r w:rsidRPr="00153510">
              <w:rPr>
                <w:rFonts w:ascii="Times New Roman" w:eastAsia="Times New Roman" w:hAnsi="Times New Roman" w:cs="Times New Roman"/>
                <w:sz w:val="24"/>
                <w:szCs w:val="24"/>
                <w:lang w:val="ro-RO"/>
              </w:rPr>
              <w:t>Este important de menționat că țările europene propun un termen până în 2029 pentru implementarea acestor măsuri, astfel, autorii proiectului propun aceeași abordare inclusiv pentru Republica Moldova. Astfel, prin instituirea temeiului legal și a procedurilor aferente procesului de gestionare a riscurilor, urmează a fi demarate proceduri de elaborare a documentației metodologice cu referire la planurile de siguranță, activități instruire a personalului și alte acțiuni necesare pentru a realiza acest obiectiv.</w:t>
            </w:r>
          </w:p>
        </w:tc>
      </w:tr>
      <w:tr w:rsidR="00140E76" w:rsidRPr="00153510" w14:paraId="4EFA052D"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4F4CC3A2" w14:textId="77777777"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lastRenderedPageBreak/>
              <w:t xml:space="preserve">5. Fundamentarea </w:t>
            </w:r>
            <w:proofErr w:type="spellStart"/>
            <w:r w:rsidRPr="00153510">
              <w:rPr>
                <w:rFonts w:ascii="Times New Roman" w:hAnsi="Times New Roman" w:cs="Times New Roman"/>
                <w:b/>
                <w:bCs/>
                <w:sz w:val="24"/>
                <w:szCs w:val="24"/>
                <w:lang w:val="ro-RO"/>
              </w:rPr>
              <w:t>economico</w:t>
            </w:r>
            <w:proofErr w:type="spellEnd"/>
            <w:r w:rsidRPr="00153510">
              <w:rPr>
                <w:rFonts w:ascii="Times New Roman" w:hAnsi="Times New Roman" w:cs="Times New Roman"/>
                <w:b/>
                <w:bCs/>
                <w:sz w:val="24"/>
                <w:szCs w:val="24"/>
                <w:lang w:val="ro-RO"/>
              </w:rPr>
              <w:t>-financiară</w:t>
            </w:r>
          </w:p>
        </w:tc>
      </w:tr>
      <w:tr w:rsidR="00140E76" w:rsidRPr="001647C1" w14:paraId="6F1CBE8D" w14:textId="77777777" w:rsidTr="00C7238F">
        <w:tc>
          <w:tcPr>
            <w:tcW w:w="5000" w:type="pct"/>
            <w:tcBorders>
              <w:top w:val="single" w:sz="4" w:space="0" w:color="auto"/>
              <w:left w:val="single" w:sz="4" w:space="0" w:color="auto"/>
              <w:bottom w:val="single" w:sz="4" w:space="0" w:color="auto"/>
              <w:right w:val="single" w:sz="4" w:space="0" w:color="auto"/>
            </w:tcBorders>
          </w:tcPr>
          <w:p w14:paraId="17DFDBD7" w14:textId="77777777" w:rsidR="004635DD" w:rsidRPr="00153510" w:rsidRDefault="004635DD" w:rsidP="00AD0057">
            <w:pPr>
              <w:tabs>
                <w:tab w:val="left" w:pos="884"/>
                <w:tab w:val="left" w:pos="1196"/>
              </w:tabs>
              <w:spacing w:after="0" w:line="240" w:lineRule="auto"/>
              <w:jc w:val="both"/>
              <w:rPr>
                <w:rFonts w:ascii="Times New Roman" w:eastAsia="Times New Roman" w:hAnsi="Times New Roman" w:cs="Times New Roman"/>
                <w:bCs/>
                <w:sz w:val="24"/>
                <w:szCs w:val="24"/>
                <w:lang w:val="ro-RO"/>
              </w:rPr>
            </w:pPr>
            <w:r w:rsidRPr="00153510">
              <w:rPr>
                <w:rFonts w:ascii="Times New Roman" w:hAnsi="Times New Roman" w:cs="Times New Roman"/>
                <w:sz w:val="24"/>
                <w:szCs w:val="24"/>
                <w:lang w:val="ro-RO"/>
              </w:rPr>
              <w:t xml:space="preserve">Implementarea prevederilor proiectului de Hotărâre de Guvern nu necesită alocări </w:t>
            </w:r>
            <w:r w:rsidRPr="00153510">
              <w:rPr>
                <w:rFonts w:ascii="Times New Roman" w:eastAsia="Times New Roman" w:hAnsi="Times New Roman" w:cs="Times New Roman"/>
                <w:bCs/>
                <w:sz w:val="24"/>
                <w:szCs w:val="24"/>
                <w:lang w:val="ro-RO"/>
              </w:rPr>
              <w:t xml:space="preserve">financiare suplimentare din bugetul de stat. </w:t>
            </w:r>
          </w:p>
          <w:p w14:paraId="0302B17F" w14:textId="51909505" w:rsidR="005704B9" w:rsidRPr="00153510" w:rsidRDefault="00AB6C5F" w:rsidP="005704B9">
            <w:pPr>
              <w:tabs>
                <w:tab w:val="left" w:pos="884"/>
                <w:tab w:val="left" w:pos="1196"/>
              </w:tabs>
              <w:spacing w:after="0" w:line="240" w:lineRule="auto"/>
              <w:jc w:val="both"/>
              <w:rPr>
                <w:rFonts w:ascii="Times New Roman" w:hAnsi="Times New Roman" w:cs="Times New Roman"/>
                <w:sz w:val="24"/>
                <w:szCs w:val="24"/>
                <w:lang w:val="ro-RO"/>
              </w:rPr>
            </w:pPr>
            <w:r w:rsidRPr="00153510">
              <w:rPr>
                <w:rFonts w:ascii="Times New Roman" w:hAnsi="Times New Roman" w:cs="Times New Roman"/>
                <w:color w:val="000000"/>
                <w:sz w:val="24"/>
                <w:szCs w:val="24"/>
                <w:lang w:val="ro-RO"/>
              </w:rPr>
              <w:t xml:space="preserve">Respectarea </w:t>
            </w:r>
            <w:r w:rsidR="005704B9" w:rsidRPr="00153510">
              <w:rPr>
                <w:rFonts w:ascii="Times New Roman" w:hAnsi="Times New Roman" w:cs="Times New Roman"/>
                <w:color w:val="000000"/>
                <w:sz w:val="24"/>
                <w:szCs w:val="24"/>
                <w:lang w:val="ro-RO"/>
              </w:rPr>
              <w:t xml:space="preserve">cerințelor </w:t>
            </w:r>
            <w:r w:rsidRPr="00153510">
              <w:rPr>
                <w:rFonts w:ascii="Times New Roman" w:hAnsi="Times New Roman" w:cs="Times New Roman"/>
                <w:color w:val="000000"/>
                <w:sz w:val="24"/>
                <w:szCs w:val="24"/>
                <w:lang w:val="ro-RO"/>
              </w:rPr>
              <w:t>act</w:t>
            </w:r>
            <w:r w:rsidR="005704B9" w:rsidRPr="00153510">
              <w:rPr>
                <w:rFonts w:ascii="Times New Roman" w:hAnsi="Times New Roman" w:cs="Times New Roman"/>
                <w:color w:val="000000"/>
                <w:sz w:val="24"/>
                <w:szCs w:val="24"/>
                <w:lang w:val="ro-RO"/>
              </w:rPr>
              <w:t>ului</w:t>
            </w:r>
            <w:r w:rsidRPr="00153510">
              <w:rPr>
                <w:rFonts w:ascii="Times New Roman" w:hAnsi="Times New Roman" w:cs="Times New Roman"/>
                <w:color w:val="000000"/>
                <w:sz w:val="24"/>
                <w:szCs w:val="24"/>
                <w:lang w:val="ro-RO"/>
              </w:rPr>
              <w:t xml:space="preserve"> normativ </w:t>
            </w:r>
            <w:r w:rsidR="005704B9" w:rsidRPr="00153510">
              <w:rPr>
                <w:rFonts w:ascii="Times New Roman" w:hAnsi="Times New Roman" w:cs="Times New Roman"/>
                <w:color w:val="000000"/>
                <w:sz w:val="24"/>
                <w:szCs w:val="24"/>
                <w:lang w:val="ro-RO"/>
              </w:rPr>
              <w:t xml:space="preserve">propus, </w:t>
            </w:r>
            <w:r w:rsidRPr="00153510">
              <w:rPr>
                <w:rFonts w:ascii="Times New Roman" w:hAnsi="Times New Roman" w:cs="Times New Roman"/>
                <w:color w:val="000000"/>
                <w:sz w:val="24"/>
                <w:szCs w:val="24"/>
                <w:lang w:val="ro-RO"/>
              </w:rPr>
              <w:t>va genera costuri de conformare pentru furnizorii de apă, în partea ce ține acoperirea cheltuielilor legate de efectuarea investigațiilor de laborator, precum și construcția/reabilitarea stațiilor de tratare a apei potabile în cazul când apa din surse nu corespunde prevederilor normative în vigoare.</w:t>
            </w:r>
            <w:r w:rsidR="005704B9" w:rsidRPr="00153510">
              <w:rPr>
                <w:rFonts w:ascii="Times New Roman" w:hAnsi="Times New Roman" w:cs="Times New Roman"/>
                <w:sz w:val="24"/>
                <w:szCs w:val="24"/>
                <w:lang w:val="ro-RO"/>
              </w:rPr>
              <w:t xml:space="preserve"> Costurile asociate supravegherii și monitorizării calității apei la parametrii microbiologici, </w:t>
            </w:r>
            <w:proofErr w:type="spellStart"/>
            <w:r w:rsidR="005704B9" w:rsidRPr="00153510">
              <w:rPr>
                <w:rFonts w:ascii="Times New Roman" w:hAnsi="Times New Roman" w:cs="Times New Roman"/>
                <w:sz w:val="24"/>
                <w:szCs w:val="24"/>
                <w:lang w:val="ro-RO"/>
              </w:rPr>
              <w:t>sanitaro</w:t>
            </w:r>
            <w:proofErr w:type="spellEnd"/>
            <w:r w:rsidR="005704B9" w:rsidRPr="00153510">
              <w:rPr>
                <w:rFonts w:ascii="Times New Roman" w:hAnsi="Times New Roman" w:cs="Times New Roman"/>
                <w:sz w:val="24"/>
                <w:szCs w:val="24"/>
                <w:lang w:val="ro-RO"/>
              </w:rPr>
              <w:t xml:space="preserve">-chimici, radiologici, planificarea cheltuielilor va fi </w:t>
            </w:r>
            <w:r w:rsidR="00FF2CCE">
              <w:rPr>
                <w:rFonts w:ascii="Times New Roman" w:hAnsi="Times New Roman" w:cs="Times New Roman"/>
                <w:sz w:val="24"/>
                <w:szCs w:val="24"/>
                <w:lang w:val="ro-RO"/>
              </w:rPr>
              <w:t xml:space="preserve">efectuată </w:t>
            </w:r>
            <w:r w:rsidR="005704B9" w:rsidRPr="00153510">
              <w:rPr>
                <w:rFonts w:ascii="Times New Roman" w:hAnsi="Times New Roman" w:cs="Times New Roman"/>
                <w:sz w:val="24"/>
                <w:szCs w:val="24"/>
                <w:lang w:val="ro-RO"/>
              </w:rPr>
              <w:t>în conformitate cu prevederile HG nr. 533</w:t>
            </w:r>
            <w:r w:rsidR="00FF2CCE">
              <w:rPr>
                <w:rFonts w:ascii="Times New Roman" w:hAnsi="Times New Roman" w:cs="Times New Roman"/>
                <w:sz w:val="24"/>
                <w:szCs w:val="24"/>
                <w:lang w:val="ro-RO"/>
              </w:rPr>
              <w:t>/</w:t>
            </w:r>
            <w:r w:rsidR="005704B9" w:rsidRPr="00153510">
              <w:rPr>
                <w:rFonts w:ascii="Times New Roman" w:hAnsi="Times New Roman" w:cs="Times New Roman"/>
                <w:sz w:val="24"/>
                <w:szCs w:val="24"/>
                <w:lang w:val="ro-RO"/>
              </w:rPr>
              <w:t xml:space="preserve">2011 cu privire la aprobarea Listei și </w:t>
            </w:r>
            <w:r w:rsidR="005704B9" w:rsidRPr="00153510">
              <w:rPr>
                <w:rFonts w:ascii="Times New Roman" w:hAnsi="Times New Roman" w:cs="Times New Roman"/>
                <w:sz w:val="24"/>
                <w:szCs w:val="24"/>
                <w:lang w:val="ro-RO"/>
              </w:rPr>
              <w:lastRenderedPageBreak/>
              <w:t xml:space="preserve">tarifelor serviciilor contra cost din sfera sănătății publice prestate persoanelor fizice și juridice și variază în dependență de numărul și parametri investigați. </w:t>
            </w:r>
          </w:p>
          <w:p w14:paraId="3B323C4E" w14:textId="195FFC2D" w:rsidR="00AB6C5F" w:rsidRPr="00153510" w:rsidRDefault="005704B9" w:rsidP="005704B9">
            <w:pPr>
              <w:spacing w:after="0" w:line="240" w:lineRule="auto"/>
              <w:ind w:firstLine="600"/>
              <w:jc w:val="both"/>
              <w:rPr>
                <w:rFonts w:ascii="Times New Roman" w:hAnsi="Times New Roman" w:cs="Times New Roman"/>
                <w:color w:val="000000"/>
                <w:sz w:val="24"/>
                <w:szCs w:val="24"/>
                <w:lang w:val="ro-RO"/>
              </w:rPr>
            </w:pPr>
            <w:r w:rsidRPr="00153510">
              <w:rPr>
                <w:rFonts w:ascii="Times New Roman" w:eastAsia="Calibri" w:hAnsi="Times New Roman" w:cs="Times New Roman"/>
                <w:sz w:val="24"/>
                <w:szCs w:val="24"/>
                <w:lang w:val="ro-RO"/>
              </w:rPr>
              <w:t>Costurile estimative pentru testarea tuturor parametrilor în cadrul monitorizării operaționale, constituie 1326 lei, iar pentru monitorizarea de audit 5880 lei, lista parametrilor și frecvențele pot varia în funcție de volumul de apă distribuit sau produs în fiecare zi în interiorul unei zone de aprovizionare.</w:t>
            </w:r>
          </w:p>
          <w:p w14:paraId="2F87282B" w14:textId="2EE7F1D5" w:rsidR="00EA2181" w:rsidRPr="001E2E6D" w:rsidRDefault="00AB6C5F" w:rsidP="001E2E6D">
            <w:pPr>
              <w:spacing w:after="0" w:line="240" w:lineRule="auto"/>
              <w:ind w:firstLine="600"/>
              <w:jc w:val="both"/>
              <w:rPr>
                <w:rFonts w:ascii="Times New Roman" w:hAnsi="Times New Roman" w:cs="Times New Roman"/>
                <w:color w:val="000000"/>
                <w:sz w:val="24"/>
                <w:szCs w:val="24"/>
                <w:lang w:val="ro-RO"/>
              </w:rPr>
            </w:pPr>
            <w:r w:rsidRPr="00153510">
              <w:rPr>
                <w:rFonts w:ascii="Times New Roman" w:hAnsi="Times New Roman" w:cs="Times New Roman"/>
                <w:color w:val="000000"/>
                <w:sz w:val="24"/>
                <w:szCs w:val="24"/>
                <w:lang w:val="ro-RO"/>
              </w:rPr>
              <w:t>Din costurile pe care le implică implementarea Regulamentului sanitar putem menționa cele necesare de evaluarea riscurilor pentru sistemele de alimentare cu apă potabilă pentru elaborarea Planurilor de Siguranță a Apei, în conformitate cu prevederile Legii 182/2019. Conform estimărilor, prețul mediu al elaborării unui Plan a fost estimat la circa 50 mii lei</w:t>
            </w:r>
            <w:r w:rsidR="0031562F">
              <w:rPr>
                <w:rFonts w:ascii="Times New Roman" w:hAnsi="Times New Roman" w:cs="Times New Roman"/>
                <w:color w:val="000000"/>
                <w:sz w:val="24"/>
                <w:szCs w:val="24"/>
                <w:lang w:val="ro-RO"/>
              </w:rPr>
              <w:t>,</w:t>
            </w:r>
            <w:r w:rsidR="00FF2CCE">
              <w:rPr>
                <w:rFonts w:ascii="Times New Roman" w:hAnsi="Times New Roman" w:cs="Times New Roman"/>
                <w:color w:val="000000"/>
                <w:sz w:val="24"/>
                <w:szCs w:val="24"/>
                <w:lang w:val="ro-RO"/>
              </w:rPr>
              <w:t xml:space="preserve"> </w:t>
            </w:r>
            <w:r w:rsidR="0031562F">
              <w:rPr>
                <w:rFonts w:ascii="Times New Roman" w:hAnsi="Times New Roman" w:cs="Times New Roman"/>
                <w:color w:val="000000"/>
                <w:sz w:val="24"/>
                <w:szCs w:val="24"/>
                <w:lang w:val="ro-RO"/>
              </w:rPr>
              <w:t>cheltuieli</w:t>
            </w:r>
            <w:r w:rsidR="00FF2CCE">
              <w:rPr>
                <w:rFonts w:ascii="Times New Roman" w:hAnsi="Times New Roman" w:cs="Times New Roman"/>
                <w:color w:val="000000"/>
                <w:sz w:val="24"/>
                <w:szCs w:val="24"/>
                <w:lang w:val="ro-RO"/>
              </w:rPr>
              <w:t xml:space="preserve"> încadrate în limita alocațiilor bugetare.</w:t>
            </w:r>
          </w:p>
        </w:tc>
      </w:tr>
      <w:tr w:rsidR="00140E76" w:rsidRPr="001647C1" w14:paraId="3FE14B1A"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3CC72B9F" w14:textId="70AAF4AF" w:rsidR="00140E76" w:rsidRPr="00153510" w:rsidRDefault="00140E76"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lastRenderedPageBreak/>
              <w:t xml:space="preserve">6. </w:t>
            </w:r>
            <w:r w:rsidR="00BD09B3" w:rsidRPr="00153510">
              <w:rPr>
                <w:rFonts w:ascii="Times New Roman" w:hAnsi="Times New Roman" w:cs="Times New Roman"/>
                <w:b/>
                <w:bCs/>
                <w:sz w:val="24"/>
                <w:szCs w:val="24"/>
                <w:lang w:val="ro-RO"/>
              </w:rPr>
              <w:t>Modul de încorporare a actului în cadrul normativ în vigoare</w:t>
            </w:r>
          </w:p>
        </w:tc>
      </w:tr>
      <w:tr w:rsidR="00140E76" w:rsidRPr="001647C1" w14:paraId="5EAD1DF9" w14:textId="77777777" w:rsidTr="00C7238F">
        <w:tc>
          <w:tcPr>
            <w:tcW w:w="5000" w:type="pct"/>
            <w:tcBorders>
              <w:top w:val="single" w:sz="4" w:space="0" w:color="auto"/>
              <w:left w:val="single" w:sz="4" w:space="0" w:color="auto"/>
              <w:bottom w:val="single" w:sz="4" w:space="0" w:color="auto"/>
              <w:right w:val="single" w:sz="4" w:space="0" w:color="auto"/>
            </w:tcBorders>
          </w:tcPr>
          <w:p w14:paraId="52523549" w14:textId="77777777" w:rsidR="00153510" w:rsidRPr="00153510" w:rsidRDefault="00153510" w:rsidP="0021080C">
            <w:pPr>
              <w:tabs>
                <w:tab w:val="left" w:pos="284"/>
              </w:tabs>
              <w:spacing w:after="0" w:line="276" w:lineRule="auto"/>
              <w:ind w:right="95"/>
              <w:jc w:val="both"/>
              <w:rPr>
                <w:rFonts w:ascii="Times New Roman" w:hAnsi="Times New Roman" w:cs="Times New Roman"/>
                <w:sz w:val="24"/>
                <w:szCs w:val="24"/>
                <w:lang w:val="ro-RO"/>
              </w:rPr>
            </w:pPr>
            <w:r w:rsidRPr="00153510">
              <w:rPr>
                <w:rFonts w:ascii="Times New Roman" w:hAnsi="Times New Roman" w:cs="Times New Roman"/>
                <w:sz w:val="24"/>
                <w:szCs w:val="24"/>
                <w:lang w:val="ro-RO"/>
              </w:rPr>
              <w:t xml:space="preserve">Implementarea proiectului Hotărârii Guvernului nu necesită modificarea altor acte normative. </w:t>
            </w:r>
          </w:p>
          <w:p w14:paraId="622E89E7" w14:textId="1787DDBC" w:rsidR="0021080C" w:rsidRPr="00153510" w:rsidRDefault="00140E76" w:rsidP="0021080C">
            <w:pPr>
              <w:tabs>
                <w:tab w:val="left" w:pos="284"/>
              </w:tabs>
              <w:spacing w:after="0" w:line="276" w:lineRule="auto"/>
              <w:ind w:right="95"/>
              <w:jc w:val="both"/>
              <w:rPr>
                <w:rFonts w:ascii="Times New Roman" w:hAnsi="Times New Roman" w:cs="Times New Roman"/>
                <w:sz w:val="24"/>
                <w:szCs w:val="24"/>
                <w:lang w:val="ro-RO"/>
              </w:rPr>
            </w:pPr>
            <w:r w:rsidRPr="00153510">
              <w:rPr>
                <w:rFonts w:ascii="Times New Roman" w:hAnsi="Times New Roman" w:cs="Times New Roman"/>
                <w:sz w:val="24"/>
                <w:szCs w:val="24"/>
                <w:lang w:val="ro-RO"/>
              </w:rPr>
              <w:t>Actul normativ este unul necesar</w:t>
            </w:r>
            <w:r w:rsidR="004635DD" w:rsidRPr="00153510">
              <w:rPr>
                <w:rFonts w:ascii="Times New Roman" w:hAnsi="Times New Roman" w:cs="Times New Roman"/>
                <w:sz w:val="24"/>
                <w:szCs w:val="24"/>
                <w:lang w:val="ro-RO"/>
              </w:rPr>
              <w:t xml:space="preserve">, </w:t>
            </w:r>
            <w:r w:rsidR="00C435D9" w:rsidRPr="00153510">
              <w:rPr>
                <w:rFonts w:ascii="Times New Roman" w:hAnsi="Times New Roman" w:cs="Times New Roman"/>
                <w:sz w:val="24"/>
                <w:szCs w:val="24"/>
                <w:lang w:val="ro-RO"/>
              </w:rPr>
              <w:t xml:space="preserve">pentru </w:t>
            </w:r>
            <w:r w:rsidR="0021080C" w:rsidRPr="00153510">
              <w:rPr>
                <w:rFonts w:ascii="Times New Roman" w:hAnsi="Times New Roman" w:cs="Times New Roman"/>
                <w:sz w:val="24"/>
                <w:szCs w:val="24"/>
                <w:lang w:val="ro-RO"/>
              </w:rPr>
              <w:t>implementarea art. 16 din</w:t>
            </w:r>
            <w:r w:rsidR="00C435D9" w:rsidRPr="00153510">
              <w:rPr>
                <w:rFonts w:ascii="Times New Roman" w:hAnsi="Times New Roman" w:cs="Times New Roman"/>
                <w:sz w:val="24"/>
                <w:szCs w:val="24"/>
                <w:lang w:val="ro-RO"/>
              </w:rPr>
              <w:t xml:space="preserve"> </w:t>
            </w:r>
            <w:r w:rsidRPr="00153510">
              <w:rPr>
                <w:rFonts w:ascii="Times New Roman" w:hAnsi="Times New Roman" w:cs="Times New Roman"/>
                <w:sz w:val="24"/>
                <w:szCs w:val="24"/>
                <w:lang w:val="ro-RO"/>
              </w:rPr>
              <w:t xml:space="preserve">Legii </w:t>
            </w:r>
            <w:r w:rsidR="00C435D9" w:rsidRPr="00153510">
              <w:rPr>
                <w:rFonts w:ascii="Times New Roman" w:hAnsi="Times New Roman" w:cs="Times New Roman"/>
                <w:sz w:val="24"/>
                <w:szCs w:val="24"/>
                <w:lang w:val="ro-RO"/>
              </w:rPr>
              <w:t xml:space="preserve">nr.182/2019 </w:t>
            </w:r>
            <w:r w:rsidRPr="00153510">
              <w:rPr>
                <w:rFonts w:ascii="Times New Roman" w:hAnsi="Times New Roman" w:cs="Times New Roman"/>
                <w:sz w:val="24"/>
                <w:szCs w:val="24"/>
                <w:lang w:val="ro-RO"/>
              </w:rPr>
              <w:t>privind calitatea apei potabile</w:t>
            </w:r>
            <w:r w:rsidR="004635DD" w:rsidRPr="00153510">
              <w:rPr>
                <w:rFonts w:ascii="Times New Roman" w:hAnsi="Times New Roman" w:cs="Times New Roman"/>
                <w:sz w:val="24"/>
                <w:szCs w:val="24"/>
                <w:lang w:val="ro-RO"/>
              </w:rPr>
              <w:t xml:space="preserve">, </w:t>
            </w:r>
            <w:r w:rsidR="0021080C" w:rsidRPr="00153510">
              <w:rPr>
                <w:rFonts w:ascii="Times New Roman" w:eastAsia="Times New Roman" w:hAnsi="Times New Roman" w:cs="Times New Roman"/>
                <w:color w:val="000000"/>
                <w:sz w:val="24"/>
                <w:szCs w:val="24"/>
                <w:shd w:val="clear" w:color="auto" w:fill="FFFFFF"/>
                <w:lang w:val="ro-RO"/>
              </w:rPr>
              <w:t xml:space="preserve">se impune ca Regulamentul să fie aprobat în termen de 3 luni de la intrare în vigoare a legii. Cu toate acestea, deși legea a intrat în vigoare în 2020, Regulamentul aprobat prin HG nr. 934/2007 nu a fost supus modificărilor. </w:t>
            </w:r>
          </w:p>
          <w:p w14:paraId="410B0434" w14:textId="4C208AC4" w:rsidR="00140E76" w:rsidRPr="00153510" w:rsidRDefault="0021080C" w:rsidP="0021080C">
            <w:pPr>
              <w:tabs>
                <w:tab w:val="left" w:pos="284"/>
              </w:tabs>
              <w:spacing w:after="0" w:line="276" w:lineRule="auto"/>
              <w:ind w:right="95"/>
              <w:jc w:val="both"/>
              <w:rPr>
                <w:rFonts w:ascii="Times New Roman" w:eastAsia="Calibri" w:hAnsi="Times New Roman" w:cs="Times New Roman"/>
                <w:sz w:val="24"/>
                <w:szCs w:val="24"/>
                <w:lang w:val="ro-RO"/>
              </w:rPr>
            </w:pPr>
            <w:r w:rsidRPr="00153510">
              <w:rPr>
                <w:rFonts w:ascii="Times New Roman" w:hAnsi="Times New Roman" w:cs="Times New Roman"/>
                <w:sz w:val="24"/>
                <w:szCs w:val="24"/>
                <w:lang w:val="ro-RO"/>
              </w:rPr>
              <w:t>În temeiul</w:t>
            </w:r>
            <w:r w:rsidR="005071FB" w:rsidRPr="00153510">
              <w:rPr>
                <w:rFonts w:ascii="Times New Roman" w:hAnsi="Times New Roman" w:cs="Times New Roman"/>
                <w:sz w:val="24"/>
                <w:szCs w:val="24"/>
                <w:lang w:val="ro-RO"/>
              </w:rPr>
              <w:t xml:space="preserve"> art. </w:t>
            </w:r>
            <w:r w:rsidR="00140E76" w:rsidRPr="00153510">
              <w:rPr>
                <w:rFonts w:ascii="Times New Roman" w:hAnsi="Times New Roman" w:cs="Times New Roman"/>
                <w:sz w:val="24"/>
                <w:szCs w:val="24"/>
                <w:lang w:val="ro-RO"/>
              </w:rPr>
              <w:t>6 și art</w:t>
            </w:r>
            <w:r w:rsidR="005071FB" w:rsidRPr="00153510">
              <w:rPr>
                <w:rFonts w:ascii="Times New Roman" w:hAnsi="Times New Roman" w:cs="Times New Roman"/>
                <w:sz w:val="24"/>
                <w:szCs w:val="24"/>
                <w:lang w:val="ro-RO"/>
              </w:rPr>
              <w:t xml:space="preserve">. </w:t>
            </w:r>
            <w:r w:rsidR="00140E76" w:rsidRPr="00153510">
              <w:rPr>
                <w:rFonts w:ascii="Times New Roman" w:hAnsi="Times New Roman" w:cs="Times New Roman"/>
                <w:sz w:val="24"/>
                <w:szCs w:val="24"/>
                <w:lang w:val="ro-RO"/>
              </w:rPr>
              <w:t>10 din Legea 10/2009 privind supravegherea de stat a sănătății publice și HG nr.</w:t>
            </w:r>
            <w:r w:rsidR="005071FB" w:rsidRPr="00153510">
              <w:rPr>
                <w:rFonts w:ascii="Times New Roman" w:hAnsi="Times New Roman" w:cs="Times New Roman"/>
                <w:sz w:val="24"/>
                <w:szCs w:val="24"/>
                <w:lang w:val="ro-RO"/>
              </w:rPr>
              <w:t>1472</w:t>
            </w:r>
            <w:r w:rsidR="001647C1">
              <w:rPr>
                <w:rFonts w:ascii="Times New Roman" w:hAnsi="Times New Roman" w:cs="Times New Roman"/>
                <w:sz w:val="24"/>
                <w:szCs w:val="24"/>
                <w:lang w:val="ro-RO"/>
              </w:rPr>
              <w:t>/</w:t>
            </w:r>
            <w:r w:rsidR="005071FB" w:rsidRPr="00153510">
              <w:rPr>
                <w:rFonts w:ascii="Times New Roman" w:hAnsi="Times New Roman" w:cs="Times New Roman"/>
                <w:sz w:val="24"/>
                <w:szCs w:val="24"/>
                <w:lang w:val="ro-RO"/>
              </w:rPr>
              <w:t xml:space="preserve">2016 cu privire </w:t>
            </w:r>
            <w:r w:rsidR="00140E76" w:rsidRPr="00153510">
              <w:rPr>
                <w:rFonts w:ascii="Times New Roman" w:hAnsi="Times New Roman" w:cs="Times New Roman"/>
                <w:sz w:val="24"/>
                <w:szCs w:val="24"/>
                <w:lang w:val="ro-RO"/>
              </w:rPr>
              <w:t>la aprobarea Planului Național pentru implementarea Acordului de Asociere Republica Moldova-Uniunea Europeană în perioada 2017-2019.</w:t>
            </w:r>
            <w:r w:rsidRPr="00153510">
              <w:rPr>
                <w:rFonts w:ascii="Times New Roman" w:eastAsia="Times New Roman" w:hAnsi="Times New Roman" w:cs="Times New Roman"/>
                <w:color w:val="000000"/>
                <w:sz w:val="24"/>
                <w:szCs w:val="24"/>
                <w:shd w:val="clear" w:color="auto" w:fill="FFFFFF"/>
                <w:lang w:val="ro-RO"/>
              </w:rPr>
              <w:t xml:space="preserve"> Totodată, în Planul Guvernului este prevăzută acțiunea de </w:t>
            </w:r>
            <w:r w:rsidR="00153510" w:rsidRPr="00153510">
              <w:rPr>
                <w:rFonts w:ascii="Times New Roman" w:eastAsia="Times New Roman" w:hAnsi="Times New Roman" w:cs="Times New Roman"/>
                <w:color w:val="000000"/>
                <w:sz w:val="24"/>
                <w:szCs w:val="24"/>
                <w:shd w:val="clear" w:color="auto" w:fill="FFFFFF"/>
                <w:lang w:val="ro-RO"/>
              </w:rPr>
              <w:t>reglementare</w:t>
            </w:r>
            <w:r w:rsidRPr="00153510">
              <w:rPr>
                <w:rFonts w:ascii="Times New Roman" w:eastAsia="Times New Roman" w:hAnsi="Times New Roman" w:cs="Times New Roman"/>
                <w:color w:val="000000"/>
                <w:sz w:val="24"/>
                <w:szCs w:val="24"/>
                <w:shd w:val="clear" w:color="auto" w:fill="FFFFFF"/>
                <w:lang w:val="ro-RO"/>
              </w:rPr>
              <w:t xml:space="preserve"> a sistemului de </w:t>
            </w:r>
            <w:r w:rsidR="00153510" w:rsidRPr="00153510">
              <w:rPr>
                <w:rFonts w:ascii="Times New Roman" w:hAnsi="Times New Roman" w:cs="Times New Roman"/>
                <w:sz w:val="24"/>
                <w:szCs w:val="24"/>
                <w:lang w:val="ro-RO"/>
              </w:rPr>
              <w:t xml:space="preserve">supraveghere și </w:t>
            </w:r>
            <w:r w:rsidRPr="00153510">
              <w:rPr>
                <w:rFonts w:ascii="Times New Roman" w:eastAsia="Times New Roman" w:hAnsi="Times New Roman" w:cs="Times New Roman"/>
                <w:color w:val="000000"/>
                <w:sz w:val="24"/>
                <w:szCs w:val="24"/>
                <w:shd w:val="clear" w:color="auto" w:fill="FFFFFF"/>
                <w:lang w:val="ro-RO"/>
              </w:rPr>
              <w:t>monitorizare a calității apei potabile prin aprobarea noului regulament în termen – trimestru II ale anului 202</w:t>
            </w:r>
            <w:r w:rsidR="00153510" w:rsidRPr="00153510">
              <w:rPr>
                <w:rFonts w:ascii="Times New Roman" w:eastAsia="Times New Roman" w:hAnsi="Times New Roman" w:cs="Times New Roman"/>
                <w:color w:val="000000"/>
                <w:sz w:val="24"/>
                <w:szCs w:val="24"/>
                <w:shd w:val="clear" w:color="auto" w:fill="FFFFFF"/>
                <w:lang w:val="ro-RO"/>
              </w:rPr>
              <w:t>3</w:t>
            </w:r>
            <w:r w:rsidRPr="00153510">
              <w:rPr>
                <w:rFonts w:ascii="Times New Roman" w:eastAsia="Times New Roman" w:hAnsi="Times New Roman" w:cs="Times New Roman"/>
                <w:color w:val="000000"/>
                <w:sz w:val="24"/>
                <w:szCs w:val="24"/>
                <w:shd w:val="clear" w:color="auto" w:fill="FFFFFF"/>
                <w:lang w:val="ro-RO"/>
              </w:rPr>
              <w:t>.</w:t>
            </w:r>
          </w:p>
        </w:tc>
      </w:tr>
      <w:tr w:rsidR="00140E76" w:rsidRPr="00153510" w14:paraId="38C4FB0C" w14:textId="77777777" w:rsidTr="00C7238F">
        <w:tc>
          <w:tcPr>
            <w:tcW w:w="5000" w:type="pct"/>
            <w:tcBorders>
              <w:top w:val="single" w:sz="4" w:space="0" w:color="auto"/>
              <w:left w:val="single" w:sz="4" w:space="0" w:color="auto"/>
              <w:bottom w:val="single" w:sz="4" w:space="0" w:color="auto"/>
              <w:right w:val="single" w:sz="4" w:space="0" w:color="auto"/>
            </w:tcBorders>
            <w:hideMark/>
          </w:tcPr>
          <w:p w14:paraId="3263C68E" w14:textId="6C2C1139" w:rsidR="00140E76" w:rsidRPr="00153510" w:rsidRDefault="00BD09B3" w:rsidP="00140E76">
            <w:pPr>
              <w:tabs>
                <w:tab w:val="left" w:pos="884"/>
                <w:tab w:val="left" w:pos="1196"/>
              </w:tabs>
              <w:spacing w:after="0" w:line="240" w:lineRule="auto"/>
              <w:jc w:val="both"/>
              <w:rPr>
                <w:rFonts w:ascii="Times New Roman" w:eastAsia="Calibri" w:hAnsi="Times New Roman" w:cs="Times New Roman"/>
                <w:sz w:val="24"/>
                <w:szCs w:val="24"/>
                <w:lang w:val="ro-RO"/>
              </w:rPr>
            </w:pPr>
            <w:r w:rsidRPr="00153510">
              <w:rPr>
                <w:rFonts w:ascii="Times New Roman" w:hAnsi="Times New Roman" w:cs="Times New Roman"/>
                <w:b/>
                <w:bCs/>
                <w:sz w:val="24"/>
                <w:szCs w:val="24"/>
                <w:lang w:val="ro-RO"/>
              </w:rPr>
              <w:t>7.Avizarea, expertizarea și consultarea publică a proiectului</w:t>
            </w:r>
          </w:p>
        </w:tc>
      </w:tr>
      <w:tr w:rsidR="00140E76" w:rsidRPr="001647C1" w14:paraId="13A8CD31" w14:textId="77777777" w:rsidTr="00C7238F">
        <w:tc>
          <w:tcPr>
            <w:tcW w:w="5000" w:type="pct"/>
            <w:tcBorders>
              <w:top w:val="single" w:sz="4" w:space="0" w:color="auto"/>
              <w:left w:val="single" w:sz="4" w:space="0" w:color="auto"/>
              <w:bottom w:val="single" w:sz="4" w:space="0" w:color="auto"/>
              <w:right w:val="single" w:sz="4" w:space="0" w:color="auto"/>
            </w:tcBorders>
          </w:tcPr>
          <w:p w14:paraId="143CFCE4" w14:textId="77777777" w:rsidR="005944AB" w:rsidRPr="005944AB" w:rsidRDefault="00153510" w:rsidP="005944AB">
            <w:pPr>
              <w:spacing w:after="0"/>
              <w:rPr>
                <w:rFonts w:ascii="Times New Roman" w:hAnsi="Times New Roman" w:cs="Times New Roman"/>
                <w:sz w:val="24"/>
                <w:szCs w:val="24"/>
                <w:lang w:val="ro-RO"/>
              </w:rPr>
            </w:pPr>
            <w:r w:rsidRPr="00153510">
              <w:rPr>
                <w:rFonts w:ascii="Times New Roman" w:hAnsi="Times New Roman" w:cs="Times New Roman"/>
                <w:sz w:val="24"/>
                <w:szCs w:val="24"/>
                <w:lang w:val="ro-RO"/>
              </w:rPr>
              <w:t xml:space="preserve">       </w:t>
            </w:r>
            <w:r w:rsidR="005944AB" w:rsidRPr="005944AB">
              <w:rPr>
                <w:rFonts w:ascii="Times New Roman" w:hAnsi="Times New Roman" w:cs="Times New Roman"/>
                <w:sz w:val="24"/>
                <w:szCs w:val="24"/>
                <w:lang w:val="ro-RO"/>
              </w:rPr>
              <w:t>În conformitate cu prevederile art. 32 din Legea nr. 100/2017 cu privire la actele normative și pct. 190 din Regulamentul Guvernului, aprobat prin Hotărârea Guvernului nr. 610/2018 proiectul v-a fi propus pentru consultări publice, expertizare în modul stabilit.</w:t>
            </w:r>
          </w:p>
          <w:p w14:paraId="37D579A7" w14:textId="5722CBF3" w:rsidR="00140E76" w:rsidRPr="00153510" w:rsidRDefault="005944AB" w:rsidP="005944AB">
            <w:pPr>
              <w:spacing w:after="0"/>
              <w:jc w:val="both"/>
              <w:rPr>
                <w:rFonts w:ascii="Times New Roman" w:hAnsi="Times New Roman" w:cs="Times New Roman"/>
                <w:color w:val="000000" w:themeColor="text1"/>
                <w:sz w:val="24"/>
                <w:szCs w:val="24"/>
                <w:lang w:val="ro-RO"/>
              </w:rPr>
            </w:pPr>
            <w:r w:rsidRPr="005944AB">
              <w:rPr>
                <w:rFonts w:ascii="Times New Roman" w:hAnsi="Times New Roman" w:cs="Times New Roman"/>
                <w:sz w:val="24"/>
                <w:szCs w:val="24"/>
                <w:lang w:val="ro-RO"/>
              </w:rPr>
              <w:t xml:space="preserve">       În scopul respectării prevederilor Legii nr. 239</w:t>
            </w:r>
            <w:r w:rsidR="001647C1">
              <w:rPr>
                <w:rFonts w:ascii="Times New Roman" w:hAnsi="Times New Roman" w:cs="Times New Roman"/>
                <w:sz w:val="24"/>
                <w:szCs w:val="24"/>
                <w:lang w:val="ro-RO"/>
              </w:rPr>
              <w:t>/</w:t>
            </w:r>
            <w:r w:rsidRPr="005944AB">
              <w:rPr>
                <w:rFonts w:ascii="Times New Roman" w:hAnsi="Times New Roman" w:cs="Times New Roman"/>
                <w:sz w:val="24"/>
                <w:szCs w:val="24"/>
                <w:lang w:val="ro-RO"/>
              </w:rPr>
              <w:t>2008 privind transparența în procesul decizional, Proiectul Hotărârii Guvernului este plasat pe pagina web oficială a Ministerului Sănătății, compartimentul „Transparență. Proiecte supuse consultărilor publice” și pe portalul guvernamental  (</w:t>
            </w:r>
            <w:hyperlink r:id="rId6" w:history="1">
              <w:r w:rsidRPr="005944AB">
                <w:rPr>
                  <w:rStyle w:val="Hyperlink"/>
                  <w:rFonts w:ascii="Times New Roman" w:hAnsi="Times New Roman" w:cs="Times New Roman"/>
                  <w:sz w:val="24"/>
                  <w:szCs w:val="24"/>
                  <w:lang w:val="ro-RO"/>
                </w:rPr>
                <w:t>https://particip.gov.md/ro/document/stages/proiectul-de-hotarare-a-guvernului-cu-privire-la-aprobarea-re</w:t>
              </w:r>
              <w:r w:rsidRPr="005944AB">
                <w:rPr>
                  <w:rStyle w:val="Hyperlink"/>
                  <w:rFonts w:ascii="Times New Roman" w:hAnsi="Times New Roman" w:cs="Times New Roman"/>
                  <w:sz w:val="24"/>
                  <w:szCs w:val="24"/>
                  <w:lang w:val="ro-RO"/>
                </w:rPr>
                <w:t>g</w:t>
              </w:r>
              <w:r w:rsidRPr="005944AB">
                <w:rPr>
                  <w:rStyle w:val="Hyperlink"/>
                  <w:rFonts w:ascii="Times New Roman" w:hAnsi="Times New Roman" w:cs="Times New Roman"/>
                  <w:sz w:val="24"/>
                  <w:szCs w:val="24"/>
                  <w:lang w:val="ro-RO"/>
                </w:rPr>
                <w:t>ulamentului-sanitar-privind-supravegherea-si-monitorizarea-calitatii-apei-potabile/10408</w:t>
              </w:r>
            </w:hyperlink>
            <w:r w:rsidRPr="005944AB">
              <w:rPr>
                <w:rFonts w:ascii="Times New Roman" w:hAnsi="Times New Roman" w:cs="Times New Roman"/>
                <w:sz w:val="24"/>
                <w:szCs w:val="24"/>
                <w:lang w:val="ro-RO"/>
              </w:rPr>
              <w:t xml:space="preserve">)  </w:t>
            </w:r>
          </w:p>
        </w:tc>
      </w:tr>
      <w:tr w:rsidR="005944AB" w:rsidRPr="005944AB" w14:paraId="2EA27004" w14:textId="77777777" w:rsidTr="00C7238F">
        <w:tc>
          <w:tcPr>
            <w:tcW w:w="5000" w:type="pct"/>
            <w:tcBorders>
              <w:top w:val="single" w:sz="4" w:space="0" w:color="auto"/>
              <w:left w:val="single" w:sz="4" w:space="0" w:color="auto"/>
              <w:bottom w:val="single" w:sz="4" w:space="0" w:color="auto"/>
              <w:right w:val="single" w:sz="4" w:space="0" w:color="auto"/>
            </w:tcBorders>
          </w:tcPr>
          <w:p w14:paraId="00BEB13F" w14:textId="0919BAA1" w:rsidR="005944AB" w:rsidRPr="00153510" w:rsidRDefault="005944AB" w:rsidP="005944AB">
            <w:pPr>
              <w:spacing w:after="0"/>
              <w:rPr>
                <w:rFonts w:ascii="Times New Roman" w:hAnsi="Times New Roman" w:cs="Times New Roman"/>
                <w:sz w:val="24"/>
                <w:szCs w:val="24"/>
                <w:lang w:val="ro-RO"/>
              </w:rPr>
            </w:pPr>
            <w:r w:rsidRPr="007F4A31">
              <w:rPr>
                <w:rFonts w:asciiTheme="majorBidi" w:eastAsia="Times New Roman" w:hAnsiTheme="majorBidi" w:cstheme="majorBidi"/>
                <w:b/>
                <w:bCs/>
              </w:rPr>
              <w:t>8</w:t>
            </w:r>
            <w:r w:rsidRPr="005944AB">
              <w:rPr>
                <w:rFonts w:asciiTheme="majorBidi" w:eastAsia="Times New Roman" w:hAnsiTheme="majorBidi" w:cstheme="majorBidi"/>
                <w:b/>
                <w:bCs/>
                <w:lang w:val="ro-RO"/>
              </w:rPr>
              <w:t>. Constatările expertizei anticorupție.</w:t>
            </w:r>
          </w:p>
        </w:tc>
      </w:tr>
      <w:tr w:rsidR="005944AB" w:rsidRPr="004C1ECC" w14:paraId="39ECB2EA" w14:textId="77777777" w:rsidTr="00C7238F">
        <w:tc>
          <w:tcPr>
            <w:tcW w:w="5000" w:type="pct"/>
            <w:tcBorders>
              <w:top w:val="single" w:sz="4" w:space="0" w:color="auto"/>
              <w:left w:val="single" w:sz="4" w:space="0" w:color="auto"/>
              <w:bottom w:val="single" w:sz="4" w:space="0" w:color="auto"/>
              <w:right w:val="single" w:sz="4" w:space="0" w:color="auto"/>
            </w:tcBorders>
          </w:tcPr>
          <w:p w14:paraId="0580D15E" w14:textId="5A23BE3A" w:rsidR="005944AB" w:rsidRPr="00153510" w:rsidRDefault="005944AB" w:rsidP="005944AB">
            <w:pPr>
              <w:spacing w:after="0"/>
              <w:rPr>
                <w:rFonts w:ascii="Times New Roman" w:hAnsi="Times New Roman" w:cs="Times New Roman"/>
                <w:sz w:val="24"/>
                <w:szCs w:val="24"/>
                <w:lang w:val="ro-RO"/>
              </w:rPr>
            </w:pPr>
            <w:r w:rsidRPr="005944AB">
              <w:rPr>
                <w:rFonts w:ascii="Times New Roman" w:hAnsi="Times New Roman" w:cs="Times New Roman"/>
                <w:sz w:val="24"/>
                <w:szCs w:val="24"/>
                <w:lang w:val="ro-RO"/>
              </w:rPr>
              <w:t xml:space="preserve">Proiectul în cauză </w:t>
            </w:r>
            <w:r w:rsidR="004C1ECC">
              <w:rPr>
                <w:rFonts w:ascii="Times New Roman" w:hAnsi="Times New Roman" w:cs="Times New Roman"/>
                <w:sz w:val="24"/>
                <w:szCs w:val="24"/>
                <w:lang w:val="ro-RO"/>
              </w:rPr>
              <w:t>va</w:t>
            </w:r>
            <w:r w:rsidRPr="005944AB">
              <w:rPr>
                <w:rFonts w:ascii="Times New Roman" w:hAnsi="Times New Roman" w:cs="Times New Roman"/>
                <w:sz w:val="24"/>
                <w:szCs w:val="24"/>
                <w:lang w:val="ro-RO"/>
              </w:rPr>
              <w:t xml:space="preserve"> a fi supus expertizei anticorupție.</w:t>
            </w:r>
          </w:p>
        </w:tc>
      </w:tr>
      <w:tr w:rsidR="005944AB" w:rsidRPr="005944AB" w14:paraId="01A7780A" w14:textId="77777777" w:rsidTr="00C7238F">
        <w:tc>
          <w:tcPr>
            <w:tcW w:w="5000" w:type="pct"/>
            <w:tcBorders>
              <w:top w:val="single" w:sz="4" w:space="0" w:color="auto"/>
              <w:left w:val="single" w:sz="4" w:space="0" w:color="auto"/>
              <w:bottom w:val="single" w:sz="4" w:space="0" w:color="auto"/>
              <w:right w:val="single" w:sz="4" w:space="0" w:color="auto"/>
            </w:tcBorders>
          </w:tcPr>
          <w:p w14:paraId="2FD4615A" w14:textId="2922CF13" w:rsidR="005944AB" w:rsidRPr="005944AB" w:rsidRDefault="005944AB" w:rsidP="005944AB">
            <w:pPr>
              <w:spacing w:after="0"/>
              <w:rPr>
                <w:rFonts w:ascii="Times New Roman" w:hAnsi="Times New Roman" w:cs="Times New Roman"/>
                <w:b/>
                <w:bCs/>
                <w:sz w:val="24"/>
                <w:szCs w:val="24"/>
                <w:lang w:val="ro-RO"/>
              </w:rPr>
            </w:pPr>
            <w:r w:rsidRPr="005944AB">
              <w:rPr>
                <w:rFonts w:ascii="Times New Roman" w:hAnsi="Times New Roman" w:cs="Times New Roman"/>
                <w:b/>
                <w:bCs/>
                <w:sz w:val="24"/>
                <w:szCs w:val="24"/>
                <w:lang w:val="ro-RO"/>
              </w:rPr>
              <w:t>9. Constatările expertizei de compatibilitate</w:t>
            </w:r>
          </w:p>
        </w:tc>
      </w:tr>
      <w:tr w:rsidR="005944AB" w:rsidRPr="005944AB" w14:paraId="39A03C5F" w14:textId="77777777" w:rsidTr="00C7238F">
        <w:tc>
          <w:tcPr>
            <w:tcW w:w="5000" w:type="pct"/>
            <w:tcBorders>
              <w:top w:val="single" w:sz="4" w:space="0" w:color="auto"/>
              <w:left w:val="single" w:sz="4" w:space="0" w:color="auto"/>
              <w:bottom w:val="single" w:sz="4" w:space="0" w:color="auto"/>
              <w:right w:val="single" w:sz="4" w:space="0" w:color="auto"/>
            </w:tcBorders>
          </w:tcPr>
          <w:p w14:paraId="3A67C292" w14:textId="7FD99C9B" w:rsidR="005944AB" w:rsidRPr="005944AB" w:rsidRDefault="005944AB" w:rsidP="005944AB">
            <w:pPr>
              <w:spacing w:after="0"/>
              <w:rPr>
                <w:rFonts w:ascii="Times New Roman" w:hAnsi="Times New Roman" w:cs="Times New Roman"/>
                <w:sz w:val="24"/>
                <w:szCs w:val="24"/>
                <w:lang w:val="ro-RO"/>
              </w:rPr>
            </w:pPr>
            <w:r w:rsidRPr="005944AB">
              <w:rPr>
                <w:rFonts w:ascii="Times New Roman" w:hAnsi="Times New Roman" w:cs="Times New Roman"/>
                <w:sz w:val="24"/>
                <w:szCs w:val="24"/>
                <w:lang w:val="ro-RO"/>
              </w:rPr>
              <w:t xml:space="preserve">Proiectul  de </w:t>
            </w:r>
            <w:r w:rsidR="001647C1">
              <w:rPr>
                <w:rFonts w:ascii="Times New Roman" w:hAnsi="Times New Roman" w:cs="Times New Roman"/>
                <w:sz w:val="24"/>
                <w:szCs w:val="24"/>
                <w:lang w:val="ro-RO"/>
              </w:rPr>
              <w:t>hotărâre</w:t>
            </w:r>
            <w:r w:rsidRPr="005944AB">
              <w:rPr>
                <w:rFonts w:ascii="Times New Roman" w:hAnsi="Times New Roman" w:cs="Times New Roman"/>
                <w:sz w:val="24"/>
                <w:szCs w:val="24"/>
                <w:lang w:val="ro-RO"/>
              </w:rPr>
              <w:t xml:space="preserve"> conține norme privind armonizarea legislației naționale cu legislația Uniunii Europene și  este compatibil.  </w:t>
            </w:r>
          </w:p>
        </w:tc>
      </w:tr>
      <w:tr w:rsidR="005944AB" w:rsidRPr="005944AB" w14:paraId="2C899EA0" w14:textId="77777777" w:rsidTr="00C7238F">
        <w:tc>
          <w:tcPr>
            <w:tcW w:w="5000" w:type="pct"/>
            <w:tcBorders>
              <w:top w:val="single" w:sz="4" w:space="0" w:color="auto"/>
              <w:left w:val="single" w:sz="4" w:space="0" w:color="auto"/>
              <w:bottom w:val="single" w:sz="4" w:space="0" w:color="auto"/>
              <w:right w:val="single" w:sz="4" w:space="0" w:color="auto"/>
            </w:tcBorders>
          </w:tcPr>
          <w:p w14:paraId="5E2780EB" w14:textId="1C24B93D" w:rsidR="005944AB" w:rsidRPr="005944AB" w:rsidRDefault="005944AB" w:rsidP="005944AB">
            <w:pPr>
              <w:spacing w:after="0"/>
              <w:rPr>
                <w:rFonts w:ascii="Times New Roman" w:hAnsi="Times New Roman" w:cs="Times New Roman"/>
                <w:b/>
                <w:bCs/>
                <w:sz w:val="24"/>
                <w:szCs w:val="24"/>
                <w:lang w:val="ro-RO"/>
              </w:rPr>
            </w:pPr>
            <w:r w:rsidRPr="005944AB">
              <w:rPr>
                <w:rFonts w:ascii="Times New Roman" w:hAnsi="Times New Roman" w:cs="Times New Roman"/>
                <w:b/>
                <w:bCs/>
                <w:sz w:val="24"/>
                <w:szCs w:val="24"/>
                <w:lang w:val="ro-RO"/>
              </w:rPr>
              <w:t>10. Constatările expertizei juridice</w:t>
            </w:r>
          </w:p>
        </w:tc>
      </w:tr>
      <w:tr w:rsidR="005944AB" w:rsidRPr="001647C1" w14:paraId="7D7C57E9" w14:textId="77777777" w:rsidTr="00C7238F">
        <w:tc>
          <w:tcPr>
            <w:tcW w:w="5000" w:type="pct"/>
            <w:tcBorders>
              <w:top w:val="single" w:sz="4" w:space="0" w:color="auto"/>
              <w:left w:val="single" w:sz="4" w:space="0" w:color="auto"/>
              <w:bottom w:val="single" w:sz="4" w:space="0" w:color="auto"/>
              <w:right w:val="single" w:sz="4" w:space="0" w:color="auto"/>
            </w:tcBorders>
          </w:tcPr>
          <w:p w14:paraId="704E0E02" w14:textId="64A5840F" w:rsidR="005944AB" w:rsidRPr="00132232" w:rsidRDefault="005944AB" w:rsidP="005944AB">
            <w:pPr>
              <w:spacing w:after="0"/>
              <w:rPr>
                <w:rFonts w:ascii="Times New Roman" w:hAnsi="Times New Roman" w:cs="Times New Roman"/>
                <w:sz w:val="24"/>
                <w:szCs w:val="24"/>
                <w:lang w:val="ro-RO"/>
              </w:rPr>
            </w:pPr>
            <w:r w:rsidRPr="00132232">
              <w:rPr>
                <w:rFonts w:ascii="Times New Roman" w:hAnsi="Times New Roman" w:cs="Times New Roman"/>
                <w:sz w:val="24"/>
                <w:szCs w:val="24"/>
                <w:lang w:val="ro-RO"/>
              </w:rPr>
              <w:t xml:space="preserve">În temeiul art. 34 și 37 din Legea nr. 100/2017 cu privire la actele normative, proiectul  de </w:t>
            </w:r>
            <w:r w:rsidR="001647C1">
              <w:rPr>
                <w:rFonts w:ascii="Times New Roman" w:hAnsi="Times New Roman" w:cs="Times New Roman"/>
                <w:sz w:val="24"/>
                <w:szCs w:val="24"/>
                <w:lang w:val="ro-RO"/>
              </w:rPr>
              <w:t>hotărâre</w:t>
            </w:r>
            <w:r w:rsidRPr="00132232">
              <w:rPr>
                <w:rFonts w:ascii="Times New Roman" w:hAnsi="Times New Roman" w:cs="Times New Roman"/>
                <w:sz w:val="24"/>
                <w:szCs w:val="24"/>
                <w:lang w:val="ro-RO"/>
              </w:rPr>
              <w:t xml:space="preserve">  va fi supus expertizei juridice.</w:t>
            </w:r>
          </w:p>
        </w:tc>
      </w:tr>
      <w:tr w:rsidR="00DC0784" w:rsidRPr="001E2E6D" w14:paraId="6C6FB3DE" w14:textId="77777777" w:rsidTr="00C7238F">
        <w:tc>
          <w:tcPr>
            <w:tcW w:w="5000" w:type="pct"/>
            <w:tcBorders>
              <w:top w:val="single" w:sz="4" w:space="0" w:color="auto"/>
              <w:left w:val="single" w:sz="4" w:space="0" w:color="auto"/>
              <w:bottom w:val="single" w:sz="4" w:space="0" w:color="auto"/>
              <w:right w:val="single" w:sz="4" w:space="0" w:color="auto"/>
            </w:tcBorders>
          </w:tcPr>
          <w:p w14:paraId="3679744E" w14:textId="2349DAFB" w:rsidR="00DC0784" w:rsidRPr="00DC0784" w:rsidRDefault="00DC0784" w:rsidP="005944AB">
            <w:pPr>
              <w:spacing w:after="0"/>
              <w:rPr>
                <w:rFonts w:ascii="Times New Roman" w:hAnsi="Times New Roman" w:cs="Times New Roman"/>
                <w:b/>
                <w:bCs/>
                <w:sz w:val="24"/>
                <w:szCs w:val="24"/>
                <w:lang w:val="ro-RO"/>
              </w:rPr>
            </w:pPr>
            <w:r w:rsidRPr="00DC0784">
              <w:rPr>
                <w:rFonts w:ascii="Times New Roman" w:hAnsi="Times New Roman" w:cs="Times New Roman"/>
                <w:b/>
                <w:bCs/>
                <w:sz w:val="24"/>
                <w:szCs w:val="24"/>
                <w:lang w:val="ro-RO"/>
              </w:rPr>
              <w:t>11. Constatările altor expertize</w:t>
            </w:r>
          </w:p>
        </w:tc>
      </w:tr>
      <w:tr w:rsidR="00DC0784" w:rsidRPr="001E2E6D" w14:paraId="575EA87F" w14:textId="77777777" w:rsidTr="00C7238F">
        <w:tc>
          <w:tcPr>
            <w:tcW w:w="5000" w:type="pct"/>
            <w:tcBorders>
              <w:top w:val="single" w:sz="4" w:space="0" w:color="auto"/>
              <w:left w:val="single" w:sz="4" w:space="0" w:color="auto"/>
              <w:bottom w:val="single" w:sz="4" w:space="0" w:color="auto"/>
              <w:right w:val="single" w:sz="4" w:space="0" w:color="auto"/>
            </w:tcBorders>
          </w:tcPr>
          <w:p w14:paraId="5851DB80" w14:textId="77777777" w:rsidR="00DC0784" w:rsidRPr="00DC0784" w:rsidRDefault="00DC0784" w:rsidP="005944AB">
            <w:pPr>
              <w:spacing w:after="0"/>
              <w:rPr>
                <w:rFonts w:ascii="Times New Roman" w:hAnsi="Times New Roman" w:cs="Times New Roman"/>
                <w:b/>
                <w:bCs/>
                <w:sz w:val="24"/>
                <w:szCs w:val="24"/>
                <w:lang w:val="ro-RO"/>
              </w:rPr>
            </w:pPr>
          </w:p>
        </w:tc>
      </w:tr>
    </w:tbl>
    <w:p w14:paraId="1B4A0B0E" w14:textId="77777777" w:rsidR="001E2E6D" w:rsidRPr="00153510" w:rsidRDefault="001E2E6D">
      <w:pPr>
        <w:rPr>
          <w:rFonts w:ascii="Times New Roman" w:hAnsi="Times New Roman" w:cs="Times New Roman"/>
          <w:sz w:val="24"/>
          <w:szCs w:val="24"/>
          <w:lang w:val="ro-RO"/>
        </w:rPr>
      </w:pPr>
    </w:p>
    <w:p w14:paraId="39B3CC82" w14:textId="200C3039" w:rsidR="002902FB" w:rsidRPr="00153510" w:rsidRDefault="00D57178" w:rsidP="002902FB">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Secretar General</w:t>
      </w:r>
      <w:r w:rsidR="002902FB" w:rsidRPr="00153510">
        <w:rPr>
          <w:rFonts w:ascii="Times New Roman" w:hAnsi="Times New Roman" w:cs="Times New Roman"/>
          <w:b/>
          <w:bCs/>
          <w:sz w:val="24"/>
          <w:szCs w:val="24"/>
          <w:lang w:val="ro-RO"/>
        </w:rPr>
        <w:t xml:space="preserve">                                                                                   </w:t>
      </w:r>
      <w:proofErr w:type="spellStart"/>
      <w:r>
        <w:rPr>
          <w:rFonts w:ascii="Times New Roman" w:hAnsi="Times New Roman" w:cs="Times New Roman"/>
          <w:b/>
          <w:bCs/>
          <w:sz w:val="24"/>
          <w:szCs w:val="24"/>
          <w:lang w:val="ro-RO"/>
        </w:rPr>
        <w:t>Lilia</w:t>
      </w:r>
      <w:proofErr w:type="spellEnd"/>
      <w:r>
        <w:rPr>
          <w:rFonts w:ascii="Times New Roman" w:hAnsi="Times New Roman" w:cs="Times New Roman"/>
          <w:b/>
          <w:bCs/>
          <w:sz w:val="24"/>
          <w:szCs w:val="24"/>
          <w:lang w:val="ro-RO"/>
        </w:rPr>
        <w:t xml:space="preserve"> GANTEA</w:t>
      </w:r>
    </w:p>
    <w:sectPr w:rsidR="002902FB" w:rsidRPr="00153510" w:rsidSect="00263C9E">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6B42"/>
    <w:multiLevelType w:val="hybridMultilevel"/>
    <w:tmpl w:val="0046D9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B6C10C5"/>
    <w:multiLevelType w:val="multilevel"/>
    <w:tmpl w:val="F5A414B0"/>
    <w:lvl w:ilvl="0">
      <w:start w:val="1"/>
      <w:numFmt w:val="decimal"/>
      <w:lvlText w:val="%1."/>
      <w:lvlJc w:val="left"/>
      <w:pPr>
        <w:tabs>
          <w:tab w:val="num" w:pos="720"/>
        </w:tabs>
        <w:ind w:left="720" w:hanging="360"/>
      </w:pPr>
      <w:rPr>
        <w:b/>
      </w:rPr>
    </w:lvl>
    <w:lvl w:ilvl="1">
      <w:start w:val="2"/>
      <w:numFmt w:val="bullet"/>
      <w:lvlText w:val="-"/>
      <w:lvlJc w:val="left"/>
      <w:pPr>
        <w:ind w:left="1440" w:hanging="360"/>
      </w:pPr>
      <w:rPr>
        <w:rFonts w:ascii="Times New Roman" w:eastAsia="Times New Roman" w:hAnsi="Times New Roman" w:cs="Times New Roman" w:hint="default"/>
        <w:i/>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653359">
    <w:abstractNumId w:val="0"/>
  </w:num>
  <w:num w:numId="2" w16cid:durableId="176452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76"/>
    <w:rsid w:val="00006105"/>
    <w:rsid w:val="00071E24"/>
    <w:rsid w:val="00104969"/>
    <w:rsid w:val="00132232"/>
    <w:rsid w:val="00140E76"/>
    <w:rsid w:val="00147B52"/>
    <w:rsid w:val="00153510"/>
    <w:rsid w:val="00156931"/>
    <w:rsid w:val="001647C1"/>
    <w:rsid w:val="00174704"/>
    <w:rsid w:val="001C63F1"/>
    <w:rsid w:val="001E2E6D"/>
    <w:rsid w:val="0021080C"/>
    <w:rsid w:val="00227255"/>
    <w:rsid w:val="00263C9E"/>
    <w:rsid w:val="00276926"/>
    <w:rsid w:val="002900B0"/>
    <w:rsid w:val="002902FB"/>
    <w:rsid w:val="002C1580"/>
    <w:rsid w:val="002E0FF6"/>
    <w:rsid w:val="0031562F"/>
    <w:rsid w:val="00342F5C"/>
    <w:rsid w:val="00343CEA"/>
    <w:rsid w:val="00374BF8"/>
    <w:rsid w:val="00416165"/>
    <w:rsid w:val="004635DD"/>
    <w:rsid w:val="004C1ECC"/>
    <w:rsid w:val="00503483"/>
    <w:rsid w:val="005071FB"/>
    <w:rsid w:val="005308AD"/>
    <w:rsid w:val="005704B9"/>
    <w:rsid w:val="005944AB"/>
    <w:rsid w:val="005A020F"/>
    <w:rsid w:val="005B7E4E"/>
    <w:rsid w:val="005F1533"/>
    <w:rsid w:val="006276C5"/>
    <w:rsid w:val="006313AD"/>
    <w:rsid w:val="00654414"/>
    <w:rsid w:val="00654906"/>
    <w:rsid w:val="00663449"/>
    <w:rsid w:val="00672E03"/>
    <w:rsid w:val="007B05AF"/>
    <w:rsid w:val="008954B9"/>
    <w:rsid w:val="008A54EB"/>
    <w:rsid w:val="008A6375"/>
    <w:rsid w:val="008E311D"/>
    <w:rsid w:val="008F2450"/>
    <w:rsid w:val="00917397"/>
    <w:rsid w:val="00927058"/>
    <w:rsid w:val="00967EF3"/>
    <w:rsid w:val="009C2254"/>
    <w:rsid w:val="009C2B5F"/>
    <w:rsid w:val="009F3838"/>
    <w:rsid w:val="00A608A7"/>
    <w:rsid w:val="00A70A5D"/>
    <w:rsid w:val="00AB6C5F"/>
    <w:rsid w:val="00AD0057"/>
    <w:rsid w:val="00AD0474"/>
    <w:rsid w:val="00AD1FDA"/>
    <w:rsid w:val="00AD57EB"/>
    <w:rsid w:val="00B152D1"/>
    <w:rsid w:val="00B76A65"/>
    <w:rsid w:val="00B838F9"/>
    <w:rsid w:val="00BC1648"/>
    <w:rsid w:val="00BD09B3"/>
    <w:rsid w:val="00BE5B40"/>
    <w:rsid w:val="00BF03E7"/>
    <w:rsid w:val="00C26E28"/>
    <w:rsid w:val="00C435D9"/>
    <w:rsid w:val="00C7238F"/>
    <w:rsid w:val="00C84D43"/>
    <w:rsid w:val="00CA1813"/>
    <w:rsid w:val="00CE5885"/>
    <w:rsid w:val="00CF7517"/>
    <w:rsid w:val="00D2189B"/>
    <w:rsid w:val="00D522AB"/>
    <w:rsid w:val="00D5268C"/>
    <w:rsid w:val="00D57178"/>
    <w:rsid w:val="00D854F8"/>
    <w:rsid w:val="00DB50E6"/>
    <w:rsid w:val="00DC0784"/>
    <w:rsid w:val="00DD5191"/>
    <w:rsid w:val="00DF7809"/>
    <w:rsid w:val="00E6724E"/>
    <w:rsid w:val="00E84F02"/>
    <w:rsid w:val="00EA2181"/>
    <w:rsid w:val="00F02B1E"/>
    <w:rsid w:val="00F07CE3"/>
    <w:rsid w:val="00F17F87"/>
    <w:rsid w:val="00F32D7F"/>
    <w:rsid w:val="00F36586"/>
    <w:rsid w:val="00F37D63"/>
    <w:rsid w:val="00F826C0"/>
    <w:rsid w:val="00FA2676"/>
    <w:rsid w:val="00FE17E6"/>
    <w:rsid w:val="00FE27E6"/>
    <w:rsid w:val="00FF2C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9717"/>
  <w15:docId w15:val="{C79D58D2-3F53-48FB-AF92-D36EEFCD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0E76"/>
    <w:rPr>
      <w:sz w:val="16"/>
      <w:szCs w:val="16"/>
    </w:rPr>
  </w:style>
  <w:style w:type="paragraph" w:styleId="CommentText">
    <w:name w:val="annotation text"/>
    <w:basedOn w:val="Normal"/>
    <w:link w:val="CommentTextChar"/>
    <w:uiPriority w:val="99"/>
    <w:unhideWhenUsed/>
    <w:rsid w:val="00140E76"/>
    <w:pPr>
      <w:spacing w:line="240" w:lineRule="auto"/>
    </w:pPr>
    <w:rPr>
      <w:sz w:val="20"/>
      <w:szCs w:val="20"/>
      <w:lang w:val="ru-RU"/>
    </w:rPr>
  </w:style>
  <w:style w:type="character" w:customStyle="1" w:styleId="CommentTextChar">
    <w:name w:val="Comment Text Char"/>
    <w:basedOn w:val="DefaultParagraphFont"/>
    <w:link w:val="CommentText"/>
    <w:uiPriority w:val="99"/>
    <w:rsid w:val="00140E76"/>
    <w:rPr>
      <w:sz w:val="20"/>
      <w:szCs w:val="20"/>
      <w:lang w:val="ru-RU"/>
    </w:rPr>
  </w:style>
  <w:style w:type="paragraph" w:styleId="BalloonText">
    <w:name w:val="Balloon Text"/>
    <w:basedOn w:val="Normal"/>
    <w:link w:val="BalloonTextChar"/>
    <w:uiPriority w:val="99"/>
    <w:semiHidden/>
    <w:unhideWhenUsed/>
    <w:rsid w:val="00140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E76"/>
    <w:rPr>
      <w:rFonts w:ascii="Segoe UI" w:hAnsi="Segoe UI" w:cs="Segoe UI"/>
      <w:sz w:val="18"/>
      <w:szCs w:val="18"/>
    </w:rPr>
  </w:style>
  <w:style w:type="paragraph" w:styleId="NormalWeb">
    <w:name w:val="Normal (Web)"/>
    <w:basedOn w:val="Normal"/>
    <w:uiPriority w:val="99"/>
    <w:unhideWhenUsed/>
    <w:rsid w:val="00FE17E6"/>
    <w:pPr>
      <w:spacing w:after="0" w:line="240" w:lineRule="auto"/>
      <w:ind w:firstLine="567"/>
      <w:jc w:val="both"/>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B152D1"/>
    <w:rPr>
      <w:color w:val="0563C1" w:themeColor="hyperlink"/>
      <w:u w:val="single"/>
    </w:rPr>
  </w:style>
  <w:style w:type="character" w:styleId="UnresolvedMention">
    <w:name w:val="Unresolved Mention"/>
    <w:basedOn w:val="DefaultParagraphFont"/>
    <w:uiPriority w:val="99"/>
    <w:semiHidden/>
    <w:unhideWhenUsed/>
    <w:rsid w:val="00B152D1"/>
    <w:rPr>
      <w:color w:val="605E5C"/>
      <w:shd w:val="clear" w:color="auto" w:fill="E1DFDD"/>
    </w:rPr>
  </w:style>
  <w:style w:type="paragraph" w:styleId="Revision">
    <w:name w:val="Revision"/>
    <w:hidden/>
    <w:uiPriority w:val="99"/>
    <w:semiHidden/>
    <w:rsid w:val="009F3838"/>
    <w:pPr>
      <w:spacing w:after="0" w:line="240" w:lineRule="auto"/>
    </w:pPr>
  </w:style>
  <w:style w:type="paragraph" w:styleId="CommentSubject">
    <w:name w:val="annotation subject"/>
    <w:basedOn w:val="CommentText"/>
    <w:next w:val="CommentText"/>
    <w:link w:val="CommentSubjectChar"/>
    <w:uiPriority w:val="99"/>
    <w:semiHidden/>
    <w:unhideWhenUsed/>
    <w:rsid w:val="009F3838"/>
    <w:rPr>
      <w:b/>
      <w:bCs/>
      <w:lang w:val="en-US"/>
    </w:rPr>
  </w:style>
  <w:style w:type="character" w:customStyle="1" w:styleId="CommentSubjectChar">
    <w:name w:val="Comment Subject Char"/>
    <w:basedOn w:val="CommentTextChar"/>
    <w:link w:val="CommentSubject"/>
    <w:uiPriority w:val="99"/>
    <w:semiHidden/>
    <w:rsid w:val="009F3838"/>
    <w:rPr>
      <w:b/>
      <w:bCs/>
      <w:sz w:val="20"/>
      <w:szCs w:val="20"/>
      <w:lang w:val="ru-RU"/>
    </w:rPr>
  </w:style>
  <w:style w:type="character" w:styleId="FollowedHyperlink">
    <w:name w:val="FollowedHyperlink"/>
    <w:basedOn w:val="DefaultParagraphFont"/>
    <w:uiPriority w:val="99"/>
    <w:semiHidden/>
    <w:unhideWhenUsed/>
    <w:rsid w:val="004C1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proiectul-de-hotarare-a-guvernului-cu-privire-la-aprobarea-regulamentului-sanitar-privind-supravegherea-si-monitorizarea-calitatii-apei-potabile/1040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1FBDF-1254-495D-B0DE-8B414A15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2265</Words>
  <Characters>12914</Characters>
  <Application>Microsoft Office Word</Application>
  <DocSecurity>0</DocSecurity>
  <Lines>107</Lines>
  <Paragraphs>30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Serviciul Programe Nationale</cp:lastModifiedBy>
  <cp:revision>12</cp:revision>
  <cp:lastPrinted>2021-01-28T09:12:00Z</cp:lastPrinted>
  <dcterms:created xsi:type="dcterms:W3CDTF">2023-06-14T22:14:00Z</dcterms:created>
  <dcterms:modified xsi:type="dcterms:W3CDTF">2023-06-15T07:42:00Z</dcterms:modified>
</cp:coreProperties>
</file>