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72" w:rsidRPr="00886775" w:rsidRDefault="00925C72" w:rsidP="00551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B4" w:rsidRPr="00886775" w:rsidRDefault="005513B4" w:rsidP="00221F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6775">
        <w:rPr>
          <w:rFonts w:ascii="Times New Roman" w:eastAsia="Calibri" w:hAnsi="Times New Roman" w:cs="Times New Roman"/>
          <w:b/>
          <w:sz w:val="28"/>
          <w:szCs w:val="28"/>
        </w:rPr>
        <w:t>NOTĂ INFORMATIVĂ</w:t>
      </w:r>
    </w:p>
    <w:p w:rsidR="00251585" w:rsidRPr="00886775" w:rsidRDefault="00251585" w:rsidP="00221F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75">
        <w:rPr>
          <w:rFonts w:ascii="Times New Roman" w:hAnsi="Times New Roman" w:cs="Times New Roman"/>
          <w:b/>
          <w:sz w:val="28"/>
          <w:szCs w:val="28"/>
        </w:rPr>
        <w:t>la proiectul hotăr</w:t>
      </w:r>
      <w:r w:rsidR="00F5645B">
        <w:rPr>
          <w:rFonts w:ascii="Times New Roman" w:hAnsi="Times New Roman" w:cs="Times New Roman"/>
          <w:b/>
          <w:sz w:val="28"/>
          <w:szCs w:val="28"/>
        </w:rPr>
        <w:t>â</w:t>
      </w:r>
      <w:r w:rsidRPr="00886775">
        <w:rPr>
          <w:rFonts w:ascii="Times New Roman" w:hAnsi="Times New Roman" w:cs="Times New Roman"/>
          <w:b/>
          <w:sz w:val="28"/>
          <w:szCs w:val="28"/>
        </w:rPr>
        <w:t>rii Guvernului</w:t>
      </w:r>
    </w:p>
    <w:p w:rsidR="00CA1CB1" w:rsidRPr="00886775" w:rsidRDefault="00CA1CB1" w:rsidP="00221F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CB1" w:rsidRPr="00886775" w:rsidRDefault="00CA1CB1" w:rsidP="00221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75">
        <w:rPr>
          <w:rFonts w:ascii="Times New Roman" w:hAnsi="Times New Roman" w:cs="Times New Roman"/>
          <w:b/>
          <w:sz w:val="28"/>
          <w:szCs w:val="28"/>
        </w:rPr>
        <w:t>„Cu privire la alocarea mijloacelor financiare”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Denumirea autorului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după caz, 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participanţilor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 elaborarea proiectului</w:t>
            </w:r>
          </w:p>
        </w:tc>
      </w:tr>
      <w:tr w:rsidR="005513B4" w:rsidRPr="00886775" w:rsidTr="003E4509">
        <w:tc>
          <w:tcPr>
            <w:tcW w:w="5000" w:type="pct"/>
          </w:tcPr>
          <w:p w:rsidR="00CA1CB1" w:rsidRPr="00886775" w:rsidRDefault="005513B4" w:rsidP="00221F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hotărârii Guvernului </w:t>
            </w:r>
            <w:r w:rsidR="00CA1CB1" w:rsidRPr="00886775">
              <w:rPr>
                <w:rFonts w:ascii="Times New Roman" w:hAnsi="Times New Roman" w:cs="Times New Roman"/>
                <w:sz w:val="28"/>
                <w:szCs w:val="28"/>
              </w:rPr>
              <w:t>„Cu privire la alocarea mijloacelor financiare”</w:t>
            </w:r>
          </w:p>
          <w:p w:rsidR="005513B4" w:rsidRPr="00886775" w:rsidRDefault="006637EC" w:rsidP="00221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3B4" w:rsidRPr="008867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(în continuare – proiect)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este elaborat de Ministerul Finanțelor.</w:t>
            </w:r>
          </w:p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Condiţiile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ce au impus elaborarea proiectului de act normativ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finalităţile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urmărite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prenotat este elaborat în contextul</w:t>
            </w:r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acordării unui sprijin din partea statului unor categorii de </w:t>
            </w:r>
            <w:proofErr w:type="spellStart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populaţie</w:t>
            </w:r>
            <w:proofErr w:type="spellEnd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în vederea asigurării cu </w:t>
            </w:r>
            <w:proofErr w:type="spellStart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spaţiu</w:t>
            </w:r>
            <w:proofErr w:type="spellEnd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locativ.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Descrierea gradului de compatibilitate pentru proiectele care au ca scop armonizarea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legislaţiei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naţionale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cu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legislaţia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Uniunii Europene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Prezentul proiect de hotărâre nu contravine legislației UE. </w:t>
            </w:r>
          </w:p>
          <w:p w:rsidR="005513B4" w:rsidRPr="00886775" w:rsidRDefault="005513B4" w:rsidP="00221F61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Principalele prevederi ale proiectului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evidenţierea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elementelor noi</w:t>
            </w:r>
          </w:p>
        </w:tc>
      </w:tr>
      <w:tr w:rsidR="005513B4" w:rsidRPr="00886775" w:rsidTr="003E4509">
        <w:tc>
          <w:tcPr>
            <w:tcW w:w="5000" w:type="pct"/>
          </w:tcPr>
          <w:p w:rsidR="00E7119B" w:rsidRPr="00886775" w:rsidRDefault="00221F61" w:rsidP="00221F61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Proiectul dat este elaborat în baza Hotăr</w:t>
            </w:r>
            <w:r w:rsidR="00F5645B">
              <w:rPr>
                <w:rFonts w:ascii="Times New Roman" w:hAnsi="Times New Roman" w:cs="Times New Roman"/>
                <w:sz w:val="28"/>
                <w:szCs w:val="28"/>
              </w:rPr>
              <w:t>âr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ii Guvernului nr.836 din 13 septembrie 2010 ”Cu privire la acordarea indemnizațiilor unice pentru construcția sau procurarea spațiului locativ, sau restaurarea caselor ve</w:t>
            </w:r>
            <w:r w:rsidR="00886775">
              <w:rPr>
                <w:rFonts w:ascii="Times New Roman" w:hAnsi="Times New Roman" w:cs="Times New Roman"/>
                <w:sz w:val="28"/>
                <w:szCs w:val="28"/>
              </w:rPr>
              <w:t>chi unor categorii de cetățeni”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Potrivit punctului 1 al Hotăr</w:t>
            </w:r>
            <w:r w:rsidR="00F5645B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rii Guvernului nr.836/2010 se acordă indemnizații unice pentru construcția unei case individuale ori a unei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locuinţe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cooperatiste, sau procurarea spațiului locativ, sau restaurarea caselor vechi unor categorii de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cetăţeni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care, nu au beneficiat de credite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preferenţiale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de la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instituţiile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financiare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nu au fost asigurați cu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spaţiu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locativ la situația din 22 octombrie 2004.</w:t>
            </w:r>
          </w:p>
          <w:p w:rsidR="005513B4" w:rsidRDefault="00221F61" w:rsidP="00F564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în cauză prevede  alocarea mijloacelor financiare de la bugetul de stat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autorităţi</w:t>
            </w:r>
            <w:r w:rsidR="00F5645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administraţiei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publice locale de nivelul al doilea în sumă totală de </w:t>
            </w:r>
            <w:r w:rsidR="00060ED6">
              <w:rPr>
                <w:rFonts w:ascii="Times New Roman" w:hAnsi="Times New Roman" w:cs="Times New Roman"/>
                <w:b/>
                <w:sz w:val="28"/>
                <w:szCs w:val="28"/>
              </w:rPr>
              <w:t>41,0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mii lei, întru acordarea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indemnizaţi</w:t>
            </w:r>
            <w:r w:rsidR="00F5645B">
              <w:rPr>
                <w:rFonts w:ascii="Times New Roman" w:hAnsi="Times New Roman" w:cs="Times New Roman"/>
                <w:sz w:val="28"/>
                <w:szCs w:val="28"/>
              </w:rPr>
              <w:t>ei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unice pentru </w:t>
            </w:r>
            <w:r w:rsidR="00060E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beneficiar</w:t>
            </w:r>
            <w:r w:rsidR="00F5645B">
              <w:rPr>
                <w:rFonts w:ascii="Times New Roman" w:hAnsi="Times New Roman" w:cs="Times New Roman"/>
                <w:sz w:val="28"/>
                <w:szCs w:val="28"/>
              </w:rPr>
              <w:t xml:space="preserve"> din raionul Orhei, </w:t>
            </w:r>
            <w:r w:rsidR="00060ED6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Start"/>
            <w:r w:rsidR="00F907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articipanț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acțiunile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luptă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apărarea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integrității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teritoriale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4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ndependenței</w:t>
            </w:r>
            <w:proofErr w:type="spellEnd"/>
            <w:r w:rsidR="00E4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Republicii</w:t>
            </w:r>
            <w:proofErr w:type="spellEnd"/>
            <w:r w:rsidR="00E4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Moldova</w:t>
            </w:r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F56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Decizia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Comisiei</w:t>
            </w:r>
            <w:proofErr w:type="spellEnd"/>
            <w:r w:rsidR="00F56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speciale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nr.1 din 25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noiembrie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2022).</w:t>
            </w:r>
          </w:p>
          <w:p w:rsidR="00F5645B" w:rsidRPr="00886775" w:rsidRDefault="00F5645B" w:rsidP="00832B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Totodată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se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menționează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termenul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realizare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â</w:t>
            </w:r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rii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cauză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fost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prelungit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patru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ori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expirat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31 </w:t>
            </w:r>
            <w:proofErr w:type="spellStart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decembrie</w:t>
            </w:r>
            <w:proofErr w:type="spellEnd"/>
            <w:r w:rsidR="00060E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2022. </w:t>
            </w:r>
            <w:r w:rsidRPr="00060E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Astfel, ținând cont de faptul că, termenul de acțiune în timp a actului normativ în cauză a expirat, în anul 2023 de indemnizațiile respective vor beneficia doar persoanele ale căror cereri au fost examinate de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060E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omisiile speciale ale autorităților publice locale până la 31 </w:t>
            </w:r>
            <w:r w:rsidRPr="00060ED6">
              <w:rPr>
                <w:rStyle w:val="object"/>
                <w:rFonts w:ascii="Times New Roman" w:hAnsi="Times New Roman" w:cs="Times New Roman"/>
                <w:sz w:val="28"/>
                <w:szCs w:val="28"/>
              </w:rPr>
              <w:t>decembrie</w:t>
            </w:r>
            <w:r w:rsidRPr="00060ED6">
              <w:rPr>
                <w:rStyle w:val="object"/>
                <w:rFonts w:ascii="Times New Roman" w:hAnsi="Times New Roman" w:cs="Times New Roman"/>
                <w:color w:val="005A95"/>
                <w:sz w:val="28"/>
                <w:szCs w:val="28"/>
              </w:rPr>
              <w:t> </w:t>
            </w:r>
            <w:r w:rsidRPr="00060E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Fundamentarea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economico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-financiară</w:t>
            </w:r>
          </w:p>
        </w:tc>
      </w:tr>
      <w:tr w:rsidR="005513B4" w:rsidRPr="00886775" w:rsidTr="003E4509">
        <w:tc>
          <w:tcPr>
            <w:tcW w:w="5000" w:type="pct"/>
          </w:tcPr>
          <w:p w:rsidR="00E7119B" w:rsidRPr="00886775" w:rsidRDefault="00344013" w:rsidP="0022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>Implement</w:t>
            </w:r>
            <w:r w:rsidR="00034D63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area prevederilor proiectului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necesită cheltuieli financiare </w:t>
            </w:r>
            <w:r w:rsidR="00034D63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din bugetul de stat </w:t>
            </w:r>
            <w:proofErr w:type="spellStart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în</w:t>
            </w:r>
            <w:proofErr w:type="spellEnd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sumă</w:t>
            </w:r>
            <w:proofErr w:type="spellEnd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de </w:t>
            </w:r>
            <w:r w:rsidR="00F5645B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41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,0</w:t>
            </w:r>
            <w:r w:rsidR="00F5645B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r w:rsidR="00F5645B" w:rsidRPr="00F5645B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mii lei</w:t>
            </w:r>
            <w:r w:rsidR="00F5645B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.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3B4" w:rsidRPr="00886775" w:rsidRDefault="00221F61" w:rsidP="00832B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În bugetul de stat pent</w:t>
            </w:r>
            <w:r w:rsidR="003F4CD7">
              <w:rPr>
                <w:rFonts w:ascii="Times New Roman" w:hAnsi="Times New Roman" w:cs="Times New Roman"/>
                <w:sz w:val="28"/>
                <w:szCs w:val="28"/>
              </w:rPr>
              <w:t>ru anul 202</w:t>
            </w:r>
            <w:r w:rsidR="00F564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685D">
              <w:rPr>
                <w:rFonts w:ascii="Times New Roman" w:hAnsi="Times New Roman" w:cs="Times New Roman"/>
                <w:sz w:val="28"/>
                <w:szCs w:val="28"/>
              </w:rPr>
              <w:t xml:space="preserve"> în acest scop s</w:t>
            </w:r>
            <w:r w:rsidR="00832B24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4B685D">
              <w:rPr>
                <w:rFonts w:ascii="Times New Roman" w:hAnsi="Times New Roman" w:cs="Times New Roman"/>
                <w:sz w:val="28"/>
                <w:szCs w:val="28"/>
              </w:rPr>
              <w:t>nt aprobate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mijloace </w:t>
            </w:r>
            <w:r w:rsidR="00E7119B" w:rsidRPr="007F2B03">
              <w:rPr>
                <w:rFonts w:ascii="Times New Roman" w:hAnsi="Times New Roman" w:cs="Times New Roman"/>
                <w:sz w:val="28"/>
                <w:szCs w:val="28"/>
              </w:rPr>
              <w:t xml:space="preserve">financiare în volum de </w:t>
            </w:r>
            <w:r w:rsidR="003F4C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5645B"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  <w:r w:rsidR="00E7119B" w:rsidRPr="007F2B03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 w:rsidR="00E7119B" w:rsidRPr="007F2B03">
              <w:rPr>
                <w:rFonts w:ascii="Times New Roman" w:hAnsi="Times New Roman" w:cs="Times New Roman"/>
                <w:sz w:val="28"/>
                <w:szCs w:val="28"/>
              </w:rPr>
              <w:t xml:space="preserve"> mii lei.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6. Modul de încorporare a actului în cadrul normativ în vigoare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Aprobarea proiectului </w:t>
            </w:r>
            <w:r w:rsidRPr="00221F61">
              <w:rPr>
                <w:rFonts w:ascii="Times New Roman" w:hAnsi="Times New Roman" w:cs="Times New Roman"/>
                <w:sz w:val="28"/>
                <w:szCs w:val="28"/>
              </w:rPr>
              <w:t xml:space="preserve">hotărârii Guvernului </w:t>
            </w:r>
            <w:r w:rsidR="00E7119B" w:rsidRPr="00221F61">
              <w:rPr>
                <w:rFonts w:ascii="Times New Roman" w:hAnsi="Times New Roman" w:cs="Times New Roman"/>
                <w:sz w:val="28"/>
                <w:szCs w:val="28"/>
              </w:rPr>
              <w:t>„Cu privire la alocarea mijloacelor financiare”</w:t>
            </w:r>
            <w:r w:rsidR="00832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1F6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nu va </w:t>
            </w:r>
            <w:r w:rsidRPr="00221F61">
              <w:rPr>
                <w:rFonts w:ascii="Times New Roman" w:eastAsia="Times New Roman" w:hAnsi="Times New Roman" w:cs="Times New Roman"/>
                <w:sz w:val="28"/>
                <w:szCs w:val="28"/>
                <w:lang w:val="ro-MD" w:eastAsia="zh-TW" w:bidi="en-US"/>
              </w:rPr>
              <w:t>genera modificări și în textul altor acte normative.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Avizarea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consultarea publică a proiectului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</w:t>
            </w:r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scopul respectării prevederilor Legii nr. 239/2008 privind transparența în procesul decizional, p</w:t>
            </w: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roiectul </w:t>
            </w:r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Hotăr</w:t>
            </w:r>
            <w:r w:rsidR="00832B2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â</w:t>
            </w:r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rii Guvernului a fost plasat pe pagina web oficială a Ministerului Finanțelor </w:t>
            </w:r>
            <w:hyperlink r:id="rId5" w:history="1">
              <w:r w:rsidR="00691C13" w:rsidRPr="0088677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o-MD"/>
                </w:rPr>
                <w:t>www.mf.gov.md</w:t>
              </w:r>
            </w:hyperlink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compartimentul Transparența decizională, </w:t>
            </w:r>
            <w:r w:rsidR="00536F20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Procesul decizional.</w:t>
            </w:r>
          </w:p>
          <w:p w:rsidR="005513B4" w:rsidRPr="00886775" w:rsidRDefault="005513B4" w:rsidP="0022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8. Constatările expertizei anticorupție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832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</w:t>
            </w:r>
            <w:r w:rsidR="00436E44" w:rsidRPr="0088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Proiectul</w:t>
            </w:r>
            <w:r w:rsidR="0083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</w:t>
            </w:r>
            <w:bookmarkStart w:id="0" w:name="_GoBack"/>
            <w:bookmarkEnd w:id="0"/>
            <w:r w:rsidR="00F564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>v</w:t>
            </w:r>
            <w:r w:rsidR="00013A8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>a</w:t>
            </w:r>
            <w:r w:rsidR="00F564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fi</w:t>
            </w:r>
            <w:r w:rsidR="00013A8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</w:t>
            </w:r>
            <w:r w:rsidR="00436E44" w:rsidRPr="0088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>supus expertizei anticorupție de către Centrul Național Anticorupție în conformitate cu art. 35 din Legea nr. 100/ 2017 cu privire la actele normative.</w:t>
            </w: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6E690F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9</w:t>
            </w:r>
            <w:r w:rsidR="005513B4"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. Constatările expertizei juridice</w:t>
            </w:r>
          </w:p>
        </w:tc>
      </w:tr>
      <w:tr w:rsidR="005513B4" w:rsidRPr="00886775" w:rsidTr="003E4509">
        <w:tc>
          <w:tcPr>
            <w:tcW w:w="5000" w:type="pct"/>
          </w:tcPr>
          <w:p w:rsidR="004D044D" w:rsidRPr="004D044D" w:rsidRDefault="005513B4" w:rsidP="004D04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8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</w:t>
            </w:r>
            <w:r w:rsidR="004D044D" w:rsidRPr="004D044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Proiectul</w:t>
            </w:r>
            <w:r w:rsidR="0083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va</w:t>
            </w:r>
            <w:r w:rsidR="004D044D" w:rsidRPr="004D044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f</w:t>
            </w:r>
            <w:r w:rsidR="00832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i</w:t>
            </w:r>
            <w:r w:rsidR="004D044D" w:rsidRPr="004D044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supus expertizei juridice de către Ministerul Justiției în conformitate cu art. 37 din Legea nr. 100/ 2017 cu privire la actele normative.</w:t>
            </w:r>
          </w:p>
          <w:p w:rsidR="005513B4" w:rsidRPr="00886775" w:rsidRDefault="005513B4" w:rsidP="00832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:rsidR="005513B4" w:rsidRPr="00886775" w:rsidRDefault="005513B4" w:rsidP="00221F61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vertAlign w:val="superscript"/>
          <w:lang w:val="ro-MD"/>
        </w:rPr>
      </w:pPr>
    </w:p>
    <w:p w:rsidR="00D94539" w:rsidRPr="00886775" w:rsidRDefault="00D94539" w:rsidP="005513B4">
      <w:pPr>
        <w:rPr>
          <w:rFonts w:ascii="Times New Roman" w:hAnsi="Times New Roman" w:cs="Times New Roman"/>
          <w:sz w:val="28"/>
          <w:szCs w:val="28"/>
        </w:rPr>
      </w:pPr>
    </w:p>
    <w:p w:rsidR="00D94539" w:rsidRPr="00886775" w:rsidRDefault="00D94539" w:rsidP="00D9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D94539" w:rsidRPr="00D94539" w:rsidRDefault="00D94539" w:rsidP="00D94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17692D" w:rsidRPr="00832B24" w:rsidRDefault="0017692D" w:rsidP="0017692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176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Ministrul finanțelor                              </w:t>
      </w:r>
      <w:r w:rsidRPr="001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32B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Veronica SIREȚEANU</w:t>
      </w:r>
    </w:p>
    <w:p w:rsidR="00060ED6" w:rsidRDefault="00060ED6" w:rsidP="0017692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ED6" w:rsidRDefault="00060ED6" w:rsidP="0017692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ED6" w:rsidRDefault="00060ED6" w:rsidP="0017692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ED6" w:rsidRDefault="00060ED6" w:rsidP="0017692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60ED6" w:rsidSect="003C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B4"/>
    <w:rsid w:val="00001D97"/>
    <w:rsid w:val="00013A8A"/>
    <w:rsid w:val="00034D63"/>
    <w:rsid w:val="00060ED6"/>
    <w:rsid w:val="0017692D"/>
    <w:rsid w:val="00221F61"/>
    <w:rsid w:val="00251585"/>
    <w:rsid w:val="00344013"/>
    <w:rsid w:val="003F4CD7"/>
    <w:rsid w:val="00436E44"/>
    <w:rsid w:val="00445E8B"/>
    <w:rsid w:val="004A1380"/>
    <w:rsid w:val="004B685D"/>
    <w:rsid w:val="004D044D"/>
    <w:rsid w:val="00511E1C"/>
    <w:rsid w:val="00525033"/>
    <w:rsid w:val="00532D3C"/>
    <w:rsid w:val="00536F20"/>
    <w:rsid w:val="005513B4"/>
    <w:rsid w:val="00562119"/>
    <w:rsid w:val="005B0A0F"/>
    <w:rsid w:val="00603FBD"/>
    <w:rsid w:val="006637EC"/>
    <w:rsid w:val="006654C5"/>
    <w:rsid w:val="00691C13"/>
    <w:rsid w:val="006C4EE5"/>
    <w:rsid w:val="006E690F"/>
    <w:rsid w:val="006F6F00"/>
    <w:rsid w:val="007051A9"/>
    <w:rsid w:val="007F2B03"/>
    <w:rsid w:val="007F396D"/>
    <w:rsid w:val="00816911"/>
    <w:rsid w:val="008273F6"/>
    <w:rsid w:val="00832B24"/>
    <w:rsid w:val="008662AD"/>
    <w:rsid w:val="0088651A"/>
    <w:rsid w:val="00886775"/>
    <w:rsid w:val="008A669D"/>
    <w:rsid w:val="00925C72"/>
    <w:rsid w:val="00A16455"/>
    <w:rsid w:val="00B659E5"/>
    <w:rsid w:val="00B8433F"/>
    <w:rsid w:val="00C21F82"/>
    <w:rsid w:val="00C26637"/>
    <w:rsid w:val="00C612EE"/>
    <w:rsid w:val="00CA1CB1"/>
    <w:rsid w:val="00D5131D"/>
    <w:rsid w:val="00D94539"/>
    <w:rsid w:val="00E46930"/>
    <w:rsid w:val="00E604D3"/>
    <w:rsid w:val="00E7119B"/>
    <w:rsid w:val="00EA44DB"/>
    <w:rsid w:val="00ED4FFD"/>
    <w:rsid w:val="00F5645B"/>
    <w:rsid w:val="00F9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06C1B"/>
  <w15:chartTrackingRefBased/>
  <w15:docId w15:val="{1273BE6D-34F9-42D6-BCF2-32BA2760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3B4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5513B4"/>
  </w:style>
  <w:style w:type="paragraph" w:styleId="a3">
    <w:name w:val="No Spacing"/>
    <w:uiPriority w:val="1"/>
    <w:qFormat/>
    <w:rsid w:val="005513B4"/>
    <w:pPr>
      <w:spacing w:after="0" w:line="240" w:lineRule="auto"/>
    </w:pPr>
    <w:rPr>
      <w:rFonts w:eastAsiaTheme="minorEastAsia"/>
      <w:lang w:eastAsia="ro-RO"/>
    </w:rPr>
  </w:style>
  <w:style w:type="paragraph" w:styleId="a4">
    <w:name w:val="Normal (Web)"/>
    <w:basedOn w:val="a"/>
    <w:uiPriority w:val="99"/>
    <w:unhideWhenUsed/>
    <w:rsid w:val="005513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691C1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4FFD"/>
    <w:rPr>
      <w:rFonts w:ascii="Segoe UI" w:eastAsiaTheme="minorEastAsia" w:hAnsi="Segoe UI" w:cs="Segoe UI"/>
      <w:sz w:val="18"/>
      <w:szCs w:val="18"/>
      <w:lang w:val="ro-RO" w:eastAsia="ro-RO"/>
    </w:rPr>
  </w:style>
  <w:style w:type="character" w:customStyle="1" w:styleId="object">
    <w:name w:val="object"/>
    <w:basedOn w:val="a0"/>
    <w:rsid w:val="00060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Sluhinscaia Rodica</dc:creator>
  <cp:keywords/>
  <dc:description/>
  <cp:lastModifiedBy>Prisacari Victoria</cp:lastModifiedBy>
  <cp:revision>58</cp:revision>
  <cp:lastPrinted>2019-11-18T12:32:00Z</cp:lastPrinted>
  <dcterms:created xsi:type="dcterms:W3CDTF">2018-08-23T06:18:00Z</dcterms:created>
  <dcterms:modified xsi:type="dcterms:W3CDTF">2023-06-21T10:01:00Z</dcterms:modified>
</cp:coreProperties>
</file>