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A8C" w:rsidRDefault="00671756" w:rsidP="007D6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CE1FAF">
        <w:rPr>
          <w:rFonts w:ascii="Times New Roman" w:hAnsi="Times New Roman"/>
          <w:b/>
          <w:sz w:val="28"/>
          <w:szCs w:val="28"/>
          <w:lang w:val="ro-RO"/>
        </w:rPr>
        <w:t xml:space="preserve">Nota informativă </w:t>
      </w:r>
    </w:p>
    <w:p w:rsidR="00856A8C" w:rsidRDefault="007D6D11" w:rsidP="00856A8C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  <w:lang w:val="ro-RO"/>
        </w:rPr>
      </w:pPr>
      <w:r w:rsidRPr="00CE1FAF">
        <w:rPr>
          <w:rFonts w:ascii="Times New Roman" w:hAnsi="Times New Roman"/>
          <w:b/>
          <w:sz w:val="28"/>
          <w:szCs w:val="28"/>
          <w:lang w:val="ro-RO"/>
        </w:rPr>
        <w:t>l</w:t>
      </w:r>
      <w:r w:rsidR="00671756" w:rsidRPr="00CE1FAF">
        <w:rPr>
          <w:rFonts w:ascii="Times New Roman" w:hAnsi="Times New Roman"/>
          <w:b/>
          <w:sz w:val="28"/>
          <w:szCs w:val="28"/>
          <w:lang w:val="ro-RO"/>
        </w:rPr>
        <w:t>a</w:t>
      </w:r>
      <w:r w:rsidRPr="00CE1FAF">
        <w:rPr>
          <w:rFonts w:ascii="Times New Roman" w:hAnsi="Times New Roman"/>
          <w:b/>
          <w:sz w:val="28"/>
          <w:szCs w:val="28"/>
          <w:lang w:val="ro-RO"/>
        </w:rPr>
        <w:t xml:space="preserve"> proiectul</w:t>
      </w:r>
      <w:r w:rsidR="00856A8C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BA78D4">
        <w:rPr>
          <w:rFonts w:ascii="Times New Roman" w:hAnsi="Times New Roman"/>
          <w:b/>
          <w:sz w:val="28"/>
          <w:szCs w:val="28"/>
          <w:lang w:val="ro-RO"/>
        </w:rPr>
        <w:t>h</w:t>
      </w:r>
      <w:r w:rsidR="004A3BE0">
        <w:rPr>
          <w:rFonts w:ascii="Times New Roman" w:hAnsi="Times New Roman"/>
          <w:b/>
          <w:sz w:val="28"/>
          <w:szCs w:val="28"/>
          <w:lang w:val="ro-RO"/>
        </w:rPr>
        <w:t xml:space="preserve">otărârii Guvernului </w:t>
      </w:r>
      <w:r w:rsidR="004A3BE0">
        <w:rPr>
          <w:rFonts w:ascii="Times New Roman" w:hAnsi="Times New Roman"/>
          <w:b/>
          <w:color w:val="191919"/>
          <w:sz w:val="28"/>
          <w:szCs w:val="28"/>
          <w:lang w:val="ro-RO"/>
        </w:rPr>
        <w:t>c</w:t>
      </w:r>
      <w:r w:rsidR="004A3BE0" w:rsidRPr="004A3BE0">
        <w:rPr>
          <w:rFonts w:ascii="Times New Roman" w:hAnsi="Times New Roman"/>
          <w:b/>
          <w:color w:val="191919"/>
          <w:sz w:val="28"/>
          <w:szCs w:val="28"/>
          <w:lang w:val="ro-RO"/>
        </w:rPr>
        <w:t xml:space="preserve">u privire la aprobarea </w:t>
      </w:r>
    </w:p>
    <w:p w:rsidR="00F43670" w:rsidRPr="00856A8C" w:rsidRDefault="00856A8C" w:rsidP="00856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color w:val="191919"/>
          <w:sz w:val="28"/>
          <w:szCs w:val="28"/>
          <w:lang w:val="ro-RO"/>
        </w:rPr>
        <w:t xml:space="preserve">Cerințelor de calitate </w:t>
      </w:r>
      <w:r w:rsidR="004A3BE0" w:rsidRPr="004A3BE0">
        <w:rPr>
          <w:rFonts w:ascii="Times New Roman" w:hAnsi="Times New Roman"/>
          <w:b/>
          <w:color w:val="191919"/>
          <w:sz w:val="28"/>
          <w:szCs w:val="28"/>
          <w:lang w:val="ro-RO"/>
        </w:rPr>
        <w:t>pentru pește și produsele din pește</w:t>
      </w:r>
    </w:p>
    <w:p w:rsidR="004A3BE0" w:rsidRPr="00CE1FAF" w:rsidRDefault="004A3BE0" w:rsidP="004A3B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  <w:lang w:val="ro-RO"/>
        </w:rPr>
      </w:pPr>
    </w:p>
    <w:tbl>
      <w:tblPr>
        <w:tblStyle w:val="Tabelgril"/>
        <w:tblW w:w="4903" w:type="pct"/>
        <w:tblLook w:val="00A0" w:firstRow="1" w:lastRow="0" w:firstColumn="1" w:lastColumn="0" w:noHBand="0" w:noVBand="0"/>
      </w:tblPr>
      <w:tblGrid>
        <w:gridCol w:w="9697"/>
      </w:tblGrid>
      <w:tr w:rsidR="00671756" w:rsidRPr="0024525C" w:rsidTr="00385A33">
        <w:tc>
          <w:tcPr>
            <w:tcW w:w="5000" w:type="pct"/>
          </w:tcPr>
          <w:p w:rsidR="00671756" w:rsidRPr="00586EA0" w:rsidRDefault="00EE5133" w:rsidP="00586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586EA0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1.</w:t>
            </w:r>
            <w:r w:rsidRPr="00586EA0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586EA0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Denumirea autorului și după caz, a participanților la elaborarea proiectului</w:t>
            </w:r>
            <w:r w:rsidRPr="00586EA0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</w:p>
        </w:tc>
      </w:tr>
      <w:tr w:rsidR="00EE5133" w:rsidRPr="0024525C" w:rsidTr="00385A33">
        <w:tc>
          <w:tcPr>
            <w:tcW w:w="5000" w:type="pct"/>
          </w:tcPr>
          <w:p w:rsidR="007F1944" w:rsidRPr="007F1944" w:rsidRDefault="00C624DD" w:rsidP="007F1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C624DD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Proiectul Hotărârii Guvernului cu privire la aprobarea </w:t>
            </w:r>
            <w:r w:rsidR="00205EB6" w:rsidRPr="00205EB6">
              <w:rPr>
                <w:rFonts w:ascii="Times New Roman" w:hAnsi="Times New Roman"/>
                <w:sz w:val="28"/>
                <w:szCs w:val="28"/>
                <w:lang w:val="ro-RO"/>
              </w:rPr>
              <w:t>Cerințelor de calitate pentru pește și produsele din pește</w:t>
            </w:r>
            <w:r w:rsidR="00205EB6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="007F1944" w:rsidRPr="007F1944">
              <w:rPr>
                <w:rFonts w:ascii="Times New Roman" w:hAnsi="Times New Roman"/>
                <w:sz w:val="28"/>
                <w:szCs w:val="28"/>
                <w:lang w:val="ro-RO"/>
              </w:rPr>
              <w:t>a fost elaborat de către</w:t>
            </w:r>
            <w:r w:rsidR="00205EB6" w:rsidRPr="00205EB6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Ministerul Agriculturii și Industriei Alimentare</w:t>
            </w:r>
            <w:r w:rsidR="007F1944">
              <w:rPr>
                <w:rFonts w:ascii="Times New Roman" w:hAnsi="Times New Roman"/>
                <w:sz w:val="28"/>
                <w:szCs w:val="28"/>
                <w:lang w:val="ro-RO"/>
              </w:rPr>
              <w:t>,</w:t>
            </w:r>
            <w:r w:rsidR="00205EB6" w:rsidRPr="00205EB6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="007F1944" w:rsidRPr="007F1944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ceea ce corespunde prevederilor art. 23 alin. (1) </w:t>
            </w:r>
            <w:proofErr w:type="spellStart"/>
            <w:r w:rsidR="007F1944" w:rsidRPr="007F1944">
              <w:rPr>
                <w:rFonts w:ascii="Times New Roman" w:hAnsi="Times New Roman"/>
                <w:sz w:val="28"/>
                <w:szCs w:val="28"/>
                <w:lang w:val="ro-RO"/>
              </w:rPr>
              <w:t>şi</w:t>
            </w:r>
            <w:proofErr w:type="spellEnd"/>
            <w:r w:rsidR="007F1944" w:rsidRPr="007F1944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(2) lit. c) din Legea nr.</w:t>
            </w:r>
          </w:p>
          <w:p w:rsidR="00385A33" w:rsidRPr="00586EA0" w:rsidRDefault="007F1944" w:rsidP="007F1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7F1944">
              <w:rPr>
                <w:rFonts w:ascii="Times New Roman" w:hAnsi="Times New Roman"/>
                <w:sz w:val="28"/>
                <w:szCs w:val="28"/>
                <w:lang w:val="ro-RO"/>
              </w:rPr>
              <w:t>100/2017 cu privire la actele normative</w:t>
            </w:r>
          </w:p>
        </w:tc>
      </w:tr>
      <w:tr w:rsidR="00671756" w:rsidRPr="0024525C" w:rsidTr="00385A33">
        <w:tc>
          <w:tcPr>
            <w:tcW w:w="5000" w:type="pct"/>
          </w:tcPr>
          <w:p w:rsidR="00671756" w:rsidRPr="00586EA0" w:rsidRDefault="001E48C4" w:rsidP="00586EA0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586EA0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2. </w:t>
            </w:r>
            <w:r w:rsidR="00671756" w:rsidRPr="00586EA0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Condițiile ce au impus elaborarea proiectului de act normativ şi finalitățile urmărite</w:t>
            </w:r>
          </w:p>
        </w:tc>
      </w:tr>
      <w:tr w:rsidR="00D15876" w:rsidRPr="0024525C" w:rsidTr="00385A33">
        <w:tc>
          <w:tcPr>
            <w:tcW w:w="5000" w:type="pct"/>
          </w:tcPr>
          <w:p w:rsidR="0051459C" w:rsidRDefault="0051459C" w:rsidP="00E22FC8">
            <w:pPr>
              <w:tabs>
                <w:tab w:val="left" w:pos="884"/>
                <w:tab w:val="left" w:pos="1196"/>
              </w:tabs>
              <w:spacing w:after="0" w:line="240" w:lineRule="auto"/>
              <w:ind w:firstLine="270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51459C">
              <w:rPr>
                <w:rFonts w:ascii="Times New Roman" w:hAnsi="Times New Roman"/>
                <w:sz w:val="28"/>
                <w:szCs w:val="28"/>
                <w:lang w:val="ro-RO"/>
              </w:rPr>
              <w:t>Proiectul hotărârii Guvernului pentru aprobarea Cerințelor de calitate pentru pește și produsele din pește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="004A3BE0" w:rsidRPr="004A3BE0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a fost elaborat în </w:t>
            </w:r>
            <w:r w:rsidR="00E22FC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conformitate cu </w:t>
            </w:r>
            <w:r w:rsidR="00E22FC8" w:rsidRPr="00E22FC8">
              <w:rPr>
                <w:rFonts w:ascii="Times New Roman" w:hAnsi="Times New Roman"/>
                <w:sz w:val="28"/>
                <w:szCs w:val="28"/>
                <w:lang w:val="ro-RO"/>
              </w:rPr>
              <w:t>Legea</w:t>
            </w:r>
            <w:r w:rsidR="00C57689" w:rsidRPr="00C57689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nr. 306/2018 privind siguranța alimentelor (Monitorul Oficial al Republicii Mold</w:t>
            </w:r>
            <w:r w:rsidR="00205EB6">
              <w:rPr>
                <w:rFonts w:ascii="Times New Roman" w:hAnsi="Times New Roman"/>
                <w:sz w:val="28"/>
                <w:szCs w:val="28"/>
                <w:lang w:val="ro-RO"/>
              </w:rPr>
              <w:t>ova, 2019, nr. 59-65, art. 120)</w:t>
            </w:r>
            <w:r w:rsidR="00E22FC8">
              <w:rPr>
                <w:lang w:val="en-US"/>
              </w:rPr>
              <w:t xml:space="preserve">, </w:t>
            </w:r>
            <w:r w:rsidR="00E22FC8" w:rsidRPr="00E22FC8">
              <w:rPr>
                <w:rFonts w:ascii="Times New Roman" w:hAnsi="Times New Roman"/>
                <w:sz w:val="28"/>
                <w:szCs w:val="28"/>
                <w:lang w:val="ro-RO"/>
              </w:rPr>
              <w:t>Legii 221/2007 privind activitatea sanitar-v</w:t>
            </w:r>
            <w:r w:rsidR="00E22FC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eterinară (Monitorul Oficial al </w:t>
            </w:r>
            <w:r w:rsidR="00E22FC8" w:rsidRPr="00E22FC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Republicii Moldova, 2008, nr. 51-54, art. nr. 153) </w:t>
            </w:r>
            <w:r w:rsidR="00E22FC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cu modificările ulterioare </w:t>
            </w:r>
            <w:r w:rsidR="00E22FC8" w:rsidRPr="00E22FC8">
              <w:rPr>
                <w:rFonts w:ascii="Times New Roman" w:hAnsi="Times New Roman"/>
                <w:sz w:val="28"/>
                <w:szCs w:val="28"/>
                <w:lang w:val="ro-RO"/>
              </w:rPr>
              <w:t>și transpun</w:t>
            </w:r>
            <w:r w:rsidR="00E22FC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e </w:t>
            </w:r>
            <w:bookmarkStart w:id="0" w:name="_GoBack"/>
            <w:bookmarkEnd w:id="0"/>
            <w:r w:rsidR="00E22FC8" w:rsidRPr="00E22FC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CODEX STAN 36-1981 Standard pentru pește congelat </w:t>
            </w:r>
            <w:r w:rsidR="00E22FC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rapid, </w:t>
            </w:r>
            <w:proofErr w:type="spellStart"/>
            <w:r w:rsidR="00E22FC8">
              <w:rPr>
                <w:rFonts w:ascii="Times New Roman" w:hAnsi="Times New Roman"/>
                <w:sz w:val="28"/>
                <w:szCs w:val="28"/>
                <w:lang w:val="ro-RO"/>
              </w:rPr>
              <w:t>neviscerat</w:t>
            </w:r>
            <w:proofErr w:type="spellEnd"/>
            <w:r w:rsidR="00E22FC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și eviscerat,</w:t>
            </w:r>
            <w:r w:rsidR="009B2946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CODEX STAN 190</w:t>
            </w:r>
            <w:r w:rsidR="00E22FC8" w:rsidRPr="00E22FC8">
              <w:rPr>
                <w:rFonts w:ascii="Times New Roman" w:hAnsi="Times New Roman"/>
                <w:sz w:val="28"/>
                <w:szCs w:val="28"/>
                <w:lang w:val="ro-RO"/>
              </w:rPr>
              <w:t>-1995 Standard pentru</w:t>
            </w:r>
            <w:r w:rsidR="00E22FC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fileul de pește congelat rapid,</w:t>
            </w:r>
            <w:r w:rsidR="009B2946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CODEX STAN 166–</w:t>
            </w:r>
            <w:r w:rsidR="00E22FC8" w:rsidRPr="00E22FC8">
              <w:rPr>
                <w:rFonts w:ascii="Times New Roman" w:hAnsi="Times New Roman"/>
                <w:sz w:val="28"/>
                <w:szCs w:val="28"/>
                <w:lang w:val="ro-RO"/>
              </w:rPr>
              <w:t>1989 Standard pentru batoane din pește congelate, pește porții și fileu de pește pana</w:t>
            </w:r>
            <w:r w:rsidR="00E22FC8">
              <w:rPr>
                <w:rFonts w:ascii="Times New Roman" w:hAnsi="Times New Roman"/>
                <w:sz w:val="28"/>
                <w:szCs w:val="28"/>
                <w:lang w:val="ro-RO"/>
              </w:rPr>
              <w:t>te sau în aluat congelate rapid, CODEX STAN 244-</w:t>
            </w:r>
            <w:r w:rsidR="00E22FC8" w:rsidRPr="00E22FC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2004 Standard pentru Heringul </w:t>
            </w:r>
            <w:r w:rsidR="009B2946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atlantic sărat și </w:t>
            </w:r>
            <w:proofErr w:type="spellStart"/>
            <w:r w:rsidR="009B2946">
              <w:rPr>
                <w:rFonts w:ascii="Times New Roman" w:hAnsi="Times New Roman"/>
                <w:sz w:val="28"/>
                <w:szCs w:val="28"/>
                <w:lang w:val="ro-RO"/>
              </w:rPr>
              <w:t>ș</w:t>
            </w:r>
            <w:r w:rsidR="00E22FC8">
              <w:rPr>
                <w:rFonts w:ascii="Times New Roman" w:hAnsi="Times New Roman"/>
                <w:sz w:val="28"/>
                <w:szCs w:val="28"/>
                <w:lang w:val="ro-RO"/>
              </w:rPr>
              <w:t>protul</w:t>
            </w:r>
            <w:proofErr w:type="spellEnd"/>
            <w:r w:rsidR="00E22FC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sărat, CODEX STAN 311–</w:t>
            </w:r>
            <w:r w:rsidR="00E22FC8" w:rsidRPr="00E22FC8">
              <w:rPr>
                <w:rFonts w:ascii="Times New Roman" w:hAnsi="Times New Roman"/>
                <w:sz w:val="28"/>
                <w:szCs w:val="28"/>
                <w:lang w:val="ro-RO"/>
              </w:rPr>
              <w:t>2013 Standard pentru pește afumat, pește</w:t>
            </w:r>
            <w:r w:rsidR="00E22FC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cu aroma de fum și pește uscat,</w:t>
            </w:r>
            <w:r w:rsidR="00E22FC8" w:rsidRPr="00E22FC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Codex STAN 119-1981 Standard pentru conserve din pește</w:t>
            </w:r>
            <w:r w:rsidR="00E22FC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, </w:t>
            </w:r>
            <w:r w:rsidR="00E22FC8" w:rsidRPr="00E22FC8">
              <w:rPr>
                <w:rFonts w:ascii="Times New Roman" w:hAnsi="Times New Roman"/>
                <w:sz w:val="28"/>
                <w:szCs w:val="28"/>
                <w:lang w:val="ro-RO"/>
              </w:rPr>
              <w:t>CODEX STAN 94 –1981 Standard pentru conserve de sa</w:t>
            </w:r>
            <w:r w:rsidR="00E22FC8">
              <w:rPr>
                <w:rFonts w:ascii="Times New Roman" w:hAnsi="Times New Roman"/>
                <w:sz w:val="28"/>
                <w:szCs w:val="28"/>
                <w:lang w:val="ro-RO"/>
              </w:rPr>
              <w:t>rdine și produse de tip sardină,</w:t>
            </w:r>
            <w:r w:rsidR="00E22FC8" w:rsidRPr="00E22FC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CODEX STAN 291-2010 Stand</w:t>
            </w:r>
            <w:r w:rsidR="009B2946">
              <w:rPr>
                <w:rFonts w:ascii="Times New Roman" w:hAnsi="Times New Roman"/>
                <w:sz w:val="28"/>
                <w:szCs w:val="28"/>
                <w:lang w:val="ro-RO"/>
              </w:rPr>
              <w:t>ard pentru caviarul de sturioni și</w:t>
            </w:r>
            <w:r w:rsidR="00E22FC8" w:rsidRPr="00E22FC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CODEX STAN 329-2017 Standard pentru uleiurile de pește.</w:t>
            </w:r>
          </w:p>
          <w:p w:rsidR="008C521E" w:rsidRDefault="008C521E" w:rsidP="00DD56A4">
            <w:pPr>
              <w:tabs>
                <w:tab w:val="left" w:pos="884"/>
                <w:tab w:val="left" w:pos="1196"/>
              </w:tabs>
              <w:spacing w:after="0" w:line="240" w:lineRule="auto"/>
              <w:ind w:firstLine="270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8C521E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Proiectul dat are drept scop </w:t>
            </w:r>
            <w:r w:rsidR="00E22FC8">
              <w:rPr>
                <w:rFonts w:ascii="Times New Roman" w:hAnsi="Times New Roman"/>
                <w:sz w:val="28"/>
                <w:szCs w:val="28"/>
                <w:lang w:val="ro-RO"/>
              </w:rPr>
              <w:t>de a stabili</w:t>
            </w:r>
            <w:r w:rsidRPr="008C521E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co</w:t>
            </w:r>
            <w:r w:rsidR="00E22FC8">
              <w:rPr>
                <w:rFonts w:ascii="Times New Roman" w:hAnsi="Times New Roman"/>
                <w:sz w:val="28"/>
                <w:szCs w:val="28"/>
                <w:lang w:val="ro-RO"/>
              </w:rPr>
              <w:t>ndiții</w:t>
            </w:r>
            <w:r w:rsidR="00861A16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m</w:t>
            </w:r>
            <w:r w:rsidR="00DD56A4">
              <w:rPr>
                <w:rFonts w:ascii="Times New Roman" w:hAnsi="Times New Roman"/>
                <w:sz w:val="28"/>
                <w:szCs w:val="28"/>
                <w:lang w:val="ro-RO"/>
              </w:rPr>
              <w:t>inime acceptabile de calitate,</w:t>
            </w:r>
            <w:r w:rsidRPr="008C521E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="00DD56A4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care urmează a fi </w:t>
            </w:r>
            <w:r w:rsidR="00E22FC8" w:rsidRPr="00E22FC8">
              <w:rPr>
                <w:rFonts w:ascii="Times New Roman" w:hAnsi="Times New Roman"/>
                <w:sz w:val="28"/>
                <w:szCs w:val="28"/>
                <w:lang w:val="ro-RO"/>
              </w:rPr>
              <w:t>respectate la producerea, procesarea, amb</w:t>
            </w:r>
            <w:r w:rsidR="00DD56A4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alarea, depozitarea, păstrarea, </w:t>
            </w:r>
            <w:r w:rsidR="00E22FC8" w:rsidRPr="00E22FC8">
              <w:rPr>
                <w:rFonts w:ascii="Times New Roman" w:hAnsi="Times New Roman"/>
                <w:sz w:val="28"/>
                <w:szCs w:val="28"/>
                <w:lang w:val="ro-RO"/>
              </w:rPr>
              <w:t>transportarea</w:t>
            </w:r>
            <w:r w:rsidR="00861A16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="00861A16" w:rsidRPr="00861A16">
              <w:rPr>
                <w:rFonts w:ascii="Times New Roman" w:hAnsi="Times New Roman"/>
                <w:sz w:val="28"/>
                <w:szCs w:val="28"/>
                <w:lang w:val="ro-RO"/>
              </w:rPr>
              <w:t>peștelui și produselor din pește</w:t>
            </w:r>
            <w:r w:rsidR="00861A16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, provenite atât din </w:t>
            </w:r>
            <w:r w:rsidR="00861A16" w:rsidRPr="008C521E">
              <w:rPr>
                <w:rFonts w:ascii="Times New Roman" w:hAnsi="Times New Roman"/>
                <w:sz w:val="28"/>
                <w:szCs w:val="28"/>
                <w:lang w:val="ro-RO"/>
              </w:rPr>
              <w:t>producția</w:t>
            </w:r>
            <w:r w:rsidRPr="008C521E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internă, cât </w:t>
            </w:r>
            <w:r w:rsidR="00861A16" w:rsidRPr="008C521E">
              <w:rPr>
                <w:rFonts w:ascii="Times New Roman" w:hAnsi="Times New Roman"/>
                <w:sz w:val="28"/>
                <w:szCs w:val="28"/>
                <w:lang w:val="ro-RO"/>
              </w:rPr>
              <w:t>și</w:t>
            </w:r>
            <w:r w:rsidR="00861A16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="00DD56A4">
              <w:rPr>
                <w:rFonts w:ascii="Times New Roman" w:hAnsi="Times New Roman"/>
                <w:sz w:val="28"/>
                <w:szCs w:val="28"/>
                <w:lang w:val="ro-RO"/>
              </w:rPr>
              <w:t>cea din</w:t>
            </w:r>
            <w:r w:rsidRPr="008C521E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import.</w:t>
            </w:r>
          </w:p>
          <w:p w:rsidR="00861A16" w:rsidRDefault="00861A16" w:rsidP="00861A16">
            <w:pPr>
              <w:tabs>
                <w:tab w:val="left" w:pos="884"/>
                <w:tab w:val="left" w:pos="1196"/>
              </w:tabs>
              <w:spacing w:after="0" w:line="240" w:lineRule="auto"/>
              <w:ind w:firstLine="270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861A16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Necesitatea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elaborării Cerințe</w:t>
            </w:r>
            <w:r w:rsidR="003778D7">
              <w:rPr>
                <w:rFonts w:ascii="Times New Roman" w:hAnsi="Times New Roman"/>
                <w:sz w:val="28"/>
                <w:szCs w:val="28"/>
                <w:lang w:val="ro-RO"/>
              </w:rPr>
              <w:t>lor</w:t>
            </w:r>
            <w:r w:rsidRPr="00861A16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de calitate pentru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pește și produsele</w:t>
            </w:r>
            <w:r w:rsidRPr="00861A16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din pește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a fost </w:t>
            </w:r>
            <w:r w:rsidRPr="00861A16">
              <w:rPr>
                <w:rFonts w:ascii="Times New Roman" w:hAnsi="Times New Roman"/>
                <w:sz w:val="28"/>
                <w:szCs w:val="28"/>
                <w:lang w:val="ro-RO"/>
              </w:rPr>
              <w:t>condiționată de lipsa unui cadru de reglementare pertinent, care să stabilească cerințe exhaustive de calitate pentru asemenea produse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</w:p>
          <w:p w:rsidR="00861A16" w:rsidRPr="00DC24AC" w:rsidRDefault="00861A16" w:rsidP="009B2946">
            <w:pPr>
              <w:tabs>
                <w:tab w:val="left" w:pos="884"/>
                <w:tab w:val="left" w:pos="1196"/>
              </w:tabs>
              <w:spacing w:after="0" w:line="240" w:lineRule="auto"/>
              <w:ind w:firstLine="270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861A16">
              <w:rPr>
                <w:rFonts w:ascii="Times New Roman" w:hAnsi="Times New Roman"/>
                <w:sz w:val="28"/>
                <w:szCs w:val="28"/>
                <w:lang w:val="ro-RO"/>
              </w:rPr>
              <w:t>Proiectul vine să alinieze cerințele naț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ionale la cerințele Comunității </w:t>
            </w:r>
            <w:r w:rsidRPr="00861A16">
              <w:rPr>
                <w:rFonts w:ascii="Times New Roman" w:hAnsi="Times New Roman"/>
                <w:sz w:val="28"/>
                <w:szCs w:val="28"/>
                <w:lang w:val="ro-RO"/>
              </w:rPr>
              <w:t>Europene, odată cu semnarea acordului de asoci</w:t>
            </w:r>
            <w:r w:rsidR="006D5929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ere dintre Uniunea Europeană și </w:t>
            </w:r>
            <w:r w:rsidRPr="00861A16">
              <w:rPr>
                <w:rFonts w:ascii="Times New Roman" w:hAnsi="Times New Roman"/>
                <w:sz w:val="28"/>
                <w:szCs w:val="28"/>
                <w:lang w:val="ro-RO"/>
              </w:rPr>
              <w:t>Republica Moldova, eliminarea barierelor netarifare dar și eliminarea concurenței</w:t>
            </w:r>
            <w:r w:rsidR="003778D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861A16">
              <w:rPr>
                <w:rFonts w:ascii="Times New Roman" w:hAnsi="Times New Roman"/>
                <w:sz w:val="28"/>
                <w:szCs w:val="28"/>
                <w:lang w:val="ro-RO"/>
              </w:rPr>
              <w:t>neloiale.</w:t>
            </w:r>
          </w:p>
        </w:tc>
      </w:tr>
      <w:tr w:rsidR="00D15876" w:rsidRPr="0024525C" w:rsidTr="00385A33">
        <w:tc>
          <w:tcPr>
            <w:tcW w:w="5000" w:type="pct"/>
          </w:tcPr>
          <w:p w:rsidR="00B9328A" w:rsidRPr="00416348" w:rsidRDefault="00B9328A" w:rsidP="00586EA0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1634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3. </w:t>
            </w:r>
            <w:r w:rsidRPr="00416348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Descrierea gradului de compatibilitate pentru proiectele care au ca scop armonizarea legislaţiei naţionale cu legislaţia Uniunii Europene.</w:t>
            </w:r>
          </w:p>
        </w:tc>
      </w:tr>
      <w:tr w:rsidR="00D15876" w:rsidRPr="0024525C" w:rsidTr="00A4326A">
        <w:trPr>
          <w:trHeight w:val="728"/>
        </w:trPr>
        <w:tc>
          <w:tcPr>
            <w:tcW w:w="5000" w:type="pct"/>
          </w:tcPr>
          <w:p w:rsidR="009B2946" w:rsidRDefault="00833E87" w:rsidP="00CF4B17">
            <w:pPr>
              <w:tabs>
                <w:tab w:val="left" w:pos="884"/>
                <w:tab w:val="left" w:pos="1196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833E8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Necesitatea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elaborării </w:t>
            </w:r>
            <w:r w:rsidR="003B76DD">
              <w:rPr>
                <w:rFonts w:ascii="Times New Roman" w:hAnsi="Times New Roman"/>
                <w:sz w:val="28"/>
                <w:szCs w:val="28"/>
                <w:lang w:val="ro-RO"/>
              </w:rPr>
              <w:t>p</w:t>
            </w:r>
            <w:r w:rsidRPr="00833E8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roiectul </w:t>
            </w:r>
            <w:proofErr w:type="spellStart"/>
            <w:r w:rsidRPr="00833E87">
              <w:rPr>
                <w:rFonts w:ascii="Times New Roman" w:hAnsi="Times New Roman"/>
                <w:sz w:val="28"/>
                <w:szCs w:val="28"/>
                <w:lang w:val="ro-RO"/>
              </w:rPr>
              <w:t>Hotărîrii</w:t>
            </w:r>
            <w:proofErr w:type="spellEnd"/>
            <w:r w:rsidRPr="00833E8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de Guvern cu privire la ap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robarea Cerințelor de calitate </w:t>
            </w:r>
            <w:r w:rsidRPr="00833E8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pentru pește și produsele din pește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este dictată de </w:t>
            </w:r>
            <w:r w:rsidRPr="00833E8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vectorul politic de integrare europeană al Republicii Moldova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ș</w:t>
            </w:r>
            <w:r w:rsidRPr="00833E87">
              <w:rPr>
                <w:rFonts w:ascii="Times New Roman" w:hAnsi="Times New Roman"/>
                <w:sz w:val="28"/>
                <w:szCs w:val="28"/>
                <w:lang w:val="ro-RO"/>
              </w:rPr>
              <w:t>i realizarea angajamentelor</w:t>
            </w:r>
            <w:r w:rsidR="00B23D3B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833E87">
              <w:rPr>
                <w:rFonts w:ascii="Times New Roman" w:hAnsi="Times New Roman"/>
                <w:sz w:val="28"/>
                <w:szCs w:val="28"/>
                <w:lang w:val="ro-RO"/>
              </w:rPr>
              <w:t>asumate în cadrul Acordului de Asociere R. Moldova -</w:t>
            </w:r>
            <w:r w:rsidR="001D4AD1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833E87">
              <w:rPr>
                <w:rFonts w:ascii="Times New Roman" w:hAnsi="Times New Roman"/>
                <w:sz w:val="28"/>
                <w:szCs w:val="28"/>
                <w:lang w:val="ro-RO"/>
              </w:rPr>
              <w:t>Uniunea Europeană</w:t>
            </w:r>
            <w:r w:rsidR="001D4AD1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  <w:r w:rsidRPr="00833E8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="004A3BE0" w:rsidRPr="004A3BE0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Măsura propusă în prezentul proiect de </w:t>
            </w:r>
            <w:proofErr w:type="spellStart"/>
            <w:r w:rsidR="004A3BE0" w:rsidRPr="004A3BE0">
              <w:rPr>
                <w:rFonts w:ascii="Times New Roman" w:hAnsi="Times New Roman"/>
                <w:sz w:val="28"/>
                <w:szCs w:val="28"/>
                <w:lang w:val="ro-RO"/>
              </w:rPr>
              <w:t>Hotărîre</w:t>
            </w:r>
            <w:proofErr w:type="spellEnd"/>
            <w:r w:rsidR="004A3BE0" w:rsidRPr="004A3BE0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de Guvern, va realiza sarcina ce constă în armonizarea </w:t>
            </w:r>
            <w:proofErr w:type="spellStart"/>
            <w:r w:rsidR="004A3BE0" w:rsidRPr="004A3BE0">
              <w:rPr>
                <w:rFonts w:ascii="Times New Roman" w:hAnsi="Times New Roman"/>
                <w:sz w:val="28"/>
                <w:szCs w:val="28"/>
                <w:lang w:val="ro-RO"/>
              </w:rPr>
              <w:t>legislaţiei</w:t>
            </w:r>
            <w:proofErr w:type="spellEnd"/>
            <w:r w:rsidR="004A3BE0" w:rsidRPr="004A3BE0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proofErr w:type="spellStart"/>
            <w:r w:rsidR="004A3BE0" w:rsidRPr="004A3BE0">
              <w:rPr>
                <w:rFonts w:ascii="Times New Roman" w:hAnsi="Times New Roman"/>
                <w:sz w:val="28"/>
                <w:szCs w:val="28"/>
                <w:lang w:val="ro-RO"/>
              </w:rPr>
              <w:t>naţionale</w:t>
            </w:r>
            <w:proofErr w:type="spellEnd"/>
            <w:r w:rsidR="004A3BE0" w:rsidRPr="004A3BE0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cu </w:t>
            </w:r>
            <w:proofErr w:type="spellStart"/>
            <w:r w:rsidR="004A3BE0" w:rsidRPr="004A3BE0">
              <w:rPr>
                <w:rFonts w:ascii="Times New Roman" w:hAnsi="Times New Roman"/>
                <w:sz w:val="28"/>
                <w:szCs w:val="28"/>
                <w:lang w:val="ro-RO"/>
              </w:rPr>
              <w:t>legislaţia</w:t>
            </w:r>
            <w:proofErr w:type="spellEnd"/>
            <w:r w:rsidR="004A3BE0" w:rsidRPr="004A3BE0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proofErr w:type="spellStart"/>
            <w:r w:rsidR="004A3BE0" w:rsidRPr="004A3BE0">
              <w:rPr>
                <w:rFonts w:ascii="Times New Roman" w:hAnsi="Times New Roman"/>
                <w:sz w:val="28"/>
                <w:szCs w:val="28"/>
                <w:lang w:val="ro-RO"/>
              </w:rPr>
              <w:t>şi</w:t>
            </w:r>
            <w:proofErr w:type="spellEnd"/>
            <w:r w:rsidR="004A3BE0" w:rsidRPr="004A3BE0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practici</w:t>
            </w:r>
            <w:r w:rsidR="0024525C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le UE, astfel, transpun </w:t>
            </w:r>
            <w:r w:rsidR="00CF4B17" w:rsidRPr="00CF4B1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prevederile </w:t>
            </w:r>
            <w:r w:rsidR="0078590F" w:rsidRPr="0078590F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CODEX STAN 36-1981 Standard pentru pește congelat </w:t>
            </w:r>
            <w:r w:rsidR="009B2946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rapid, </w:t>
            </w:r>
            <w:proofErr w:type="spellStart"/>
            <w:r w:rsidR="009B2946">
              <w:rPr>
                <w:rFonts w:ascii="Times New Roman" w:hAnsi="Times New Roman"/>
                <w:sz w:val="28"/>
                <w:szCs w:val="28"/>
                <w:lang w:val="ro-RO"/>
              </w:rPr>
              <w:t>neviscerat</w:t>
            </w:r>
            <w:proofErr w:type="spellEnd"/>
            <w:r w:rsidR="009B2946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și eviscerat, CODEX STAN 190</w:t>
            </w:r>
            <w:r w:rsidR="0078590F" w:rsidRPr="0078590F">
              <w:rPr>
                <w:rFonts w:ascii="Times New Roman" w:hAnsi="Times New Roman"/>
                <w:sz w:val="28"/>
                <w:szCs w:val="28"/>
                <w:lang w:val="ro-RO"/>
              </w:rPr>
              <w:t>-1995 Standard pentru</w:t>
            </w:r>
            <w:r w:rsidR="009B2946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fileul de pește congelat rapid,</w:t>
            </w:r>
            <w:r w:rsidR="0078590F" w:rsidRPr="0078590F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CODEX </w:t>
            </w:r>
            <w:r w:rsidR="009B2946">
              <w:rPr>
                <w:rFonts w:ascii="Times New Roman" w:hAnsi="Times New Roman"/>
                <w:sz w:val="28"/>
                <w:szCs w:val="28"/>
                <w:lang w:val="ro-RO"/>
              </w:rPr>
              <w:t>STAN 166–</w:t>
            </w:r>
            <w:r w:rsidR="0078590F" w:rsidRPr="0078590F">
              <w:rPr>
                <w:rFonts w:ascii="Times New Roman" w:hAnsi="Times New Roman"/>
                <w:sz w:val="28"/>
                <w:szCs w:val="28"/>
                <w:lang w:val="ro-RO"/>
              </w:rPr>
              <w:lastRenderedPageBreak/>
              <w:t>1989 Standard pentru batoane din pește congelate, pește porții și fileu de pește pana</w:t>
            </w:r>
            <w:r w:rsidR="009B2946">
              <w:rPr>
                <w:rFonts w:ascii="Times New Roman" w:hAnsi="Times New Roman"/>
                <w:sz w:val="28"/>
                <w:szCs w:val="28"/>
                <w:lang w:val="ro-RO"/>
              </w:rPr>
              <w:t>te sau în aluat congelate rapid,</w:t>
            </w:r>
            <w:r w:rsidR="0078590F" w:rsidRPr="0078590F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CODEX STAN 244-2004 Standard pentru Heringul </w:t>
            </w:r>
            <w:r w:rsidR="009B2946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atlantic sărat și </w:t>
            </w:r>
            <w:proofErr w:type="spellStart"/>
            <w:r w:rsidR="009B2946">
              <w:rPr>
                <w:rFonts w:ascii="Times New Roman" w:hAnsi="Times New Roman"/>
                <w:sz w:val="28"/>
                <w:szCs w:val="28"/>
                <w:lang w:val="ro-RO"/>
              </w:rPr>
              <w:t>Șprotul</w:t>
            </w:r>
            <w:proofErr w:type="spellEnd"/>
            <w:r w:rsidR="009B2946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sărat, CODEX STAN 311–</w:t>
            </w:r>
            <w:r w:rsidR="0078590F" w:rsidRPr="0078590F">
              <w:rPr>
                <w:rFonts w:ascii="Times New Roman" w:hAnsi="Times New Roman"/>
                <w:sz w:val="28"/>
                <w:szCs w:val="28"/>
                <w:lang w:val="ro-RO"/>
              </w:rPr>
              <w:t>2013 Standard pentru pește afumat, pește</w:t>
            </w:r>
            <w:r w:rsidR="009B2946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cu aroma de fum și pește uscat,</w:t>
            </w:r>
            <w:r w:rsidR="0078590F" w:rsidRPr="0078590F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Codex STAN 119-1981 Standard pentru conserve din pește</w:t>
            </w:r>
            <w:r w:rsidR="009B2946">
              <w:rPr>
                <w:rFonts w:ascii="Times New Roman" w:hAnsi="Times New Roman"/>
                <w:sz w:val="28"/>
                <w:szCs w:val="28"/>
                <w:lang w:val="ro-RO"/>
              </w:rPr>
              <w:t>, CODEX STAN 94</w:t>
            </w:r>
            <w:r w:rsidR="0078590F" w:rsidRPr="0078590F">
              <w:rPr>
                <w:rFonts w:ascii="Times New Roman" w:hAnsi="Times New Roman"/>
                <w:sz w:val="28"/>
                <w:szCs w:val="28"/>
                <w:lang w:val="ro-RO"/>
              </w:rPr>
              <w:t>–1981 Standard pentru conserve de sa</w:t>
            </w:r>
            <w:r w:rsidR="009B2946">
              <w:rPr>
                <w:rFonts w:ascii="Times New Roman" w:hAnsi="Times New Roman"/>
                <w:sz w:val="28"/>
                <w:szCs w:val="28"/>
                <w:lang w:val="ro-RO"/>
              </w:rPr>
              <w:t>rdine și produse de tip sardină,</w:t>
            </w:r>
            <w:r w:rsidR="0078590F" w:rsidRPr="0078590F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CODEX STAN 291-2010 Stand</w:t>
            </w:r>
            <w:r w:rsidR="009B2946">
              <w:rPr>
                <w:rFonts w:ascii="Times New Roman" w:hAnsi="Times New Roman"/>
                <w:sz w:val="28"/>
                <w:szCs w:val="28"/>
                <w:lang w:val="ro-RO"/>
              </w:rPr>
              <w:t>ard pentru caviarul de sturioni și</w:t>
            </w:r>
            <w:r w:rsidR="0078590F" w:rsidRPr="0078590F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CODEX STAN 329-2017 Standard pentru uleiurile de pește.</w:t>
            </w:r>
          </w:p>
          <w:p w:rsidR="004A3BE0" w:rsidRPr="00416348" w:rsidRDefault="00CF4B17" w:rsidP="00CF4B17">
            <w:pPr>
              <w:tabs>
                <w:tab w:val="left" w:pos="884"/>
                <w:tab w:val="left" w:pos="1196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CF4B1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Gradul de compatibilitate </w:t>
            </w:r>
            <w:r w:rsidR="00833E87" w:rsidRPr="00833E87">
              <w:rPr>
                <w:rFonts w:ascii="Times New Roman" w:hAnsi="Times New Roman"/>
                <w:sz w:val="28"/>
                <w:szCs w:val="28"/>
                <w:lang w:val="ro-RO"/>
              </w:rPr>
              <w:t>a proiectulu</w:t>
            </w:r>
            <w:r w:rsidR="00833E8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i cu legislaţia Uniunii </w:t>
            </w:r>
            <w:r w:rsidR="00833E87" w:rsidRPr="00833E8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Europene </w:t>
            </w:r>
            <w:r w:rsidRPr="00CF4B17">
              <w:rPr>
                <w:rFonts w:ascii="Times New Roman" w:hAnsi="Times New Roman"/>
                <w:sz w:val="28"/>
                <w:szCs w:val="28"/>
                <w:lang w:val="ro-RO"/>
              </w:rPr>
              <w:t>este reflectat în tabelul de concordanță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, </w:t>
            </w:r>
            <w:r w:rsidR="00833E87" w:rsidRPr="00833E87">
              <w:rPr>
                <w:rFonts w:ascii="Times New Roman" w:hAnsi="Times New Roman"/>
                <w:sz w:val="28"/>
                <w:szCs w:val="28"/>
                <w:lang w:val="ro-RO"/>
              </w:rPr>
              <w:t>care va fi</w:t>
            </w:r>
            <w:r w:rsidR="00833E8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="00833E87" w:rsidRPr="00833E87">
              <w:rPr>
                <w:rFonts w:ascii="Times New Roman" w:hAnsi="Times New Roman"/>
                <w:sz w:val="28"/>
                <w:szCs w:val="28"/>
                <w:lang w:val="ro-RO"/>
              </w:rPr>
              <w:t>supus expertizei de către Centrul de</w:t>
            </w:r>
            <w:r w:rsidR="00833E8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="00833E87" w:rsidRPr="00833E87">
              <w:rPr>
                <w:rFonts w:ascii="Times New Roman" w:hAnsi="Times New Roman"/>
                <w:sz w:val="28"/>
                <w:szCs w:val="28"/>
                <w:lang w:val="ro-RO"/>
              </w:rPr>
              <w:t>Armonizare a</w:t>
            </w:r>
            <w:r w:rsidR="00833E8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="00833E87" w:rsidRPr="00833E87">
              <w:rPr>
                <w:rFonts w:ascii="Times New Roman" w:hAnsi="Times New Roman"/>
                <w:sz w:val="28"/>
                <w:szCs w:val="28"/>
                <w:lang w:val="ro-RO"/>
              </w:rPr>
              <w:t>Legislaţiei.</w:t>
            </w:r>
          </w:p>
        </w:tc>
      </w:tr>
      <w:tr w:rsidR="00D15876" w:rsidRPr="0024525C" w:rsidTr="00385A33">
        <w:tc>
          <w:tcPr>
            <w:tcW w:w="5000" w:type="pct"/>
          </w:tcPr>
          <w:p w:rsidR="00EE5133" w:rsidRPr="00D15876" w:rsidRDefault="00EE5133" w:rsidP="00586EA0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ro-RO"/>
              </w:rPr>
            </w:pPr>
            <w:r w:rsidRPr="00416348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lastRenderedPageBreak/>
              <w:t xml:space="preserve">4. Principalele prevederi ale proiectului și evidențierea elementelor noi </w:t>
            </w:r>
          </w:p>
        </w:tc>
      </w:tr>
      <w:tr w:rsidR="00D15876" w:rsidRPr="0024525C" w:rsidTr="003633C3">
        <w:trPr>
          <w:trHeight w:val="70"/>
        </w:trPr>
        <w:tc>
          <w:tcPr>
            <w:tcW w:w="5000" w:type="pct"/>
          </w:tcPr>
          <w:p w:rsidR="004A3BE0" w:rsidRPr="0078590F" w:rsidRDefault="004A3BE0" w:rsidP="00DC24AC">
            <w:pPr>
              <w:tabs>
                <w:tab w:val="left" w:pos="884"/>
                <w:tab w:val="left" w:pos="1196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78590F">
              <w:rPr>
                <w:rFonts w:ascii="Times New Roman" w:hAnsi="Times New Roman"/>
                <w:sz w:val="28"/>
                <w:szCs w:val="28"/>
                <w:lang w:val="ro-RO"/>
              </w:rPr>
              <w:t>Obiectivul proiectului este de a stabili unele definiții, denumiri comerciale și cerințe comune aplicate pentru pește și produsele din pește destinate consumului uman și de a alinia prevederile naționale cu legislația comunitară europeană.</w:t>
            </w:r>
          </w:p>
          <w:p w:rsidR="003B76DD" w:rsidRPr="0078590F" w:rsidRDefault="003B76DD" w:rsidP="009B2946">
            <w:pPr>
              <w:tabs>
                <w:tab w:val="left" w:pos="884"/>
                <w:tab w:val="left" w:pos="1196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78590F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Principalele prevederi ale proiectului de </w:t>
            </w:r>
            <w:proofErr w:type="spellStart"/>
            <w:r w:rsidRPr="0078590F">
              <w:rPr>
                <w:rFonts w:ascii="Times New Roman" w:hAnsi="Times New Roman"/>
                <w:sz w:val="28"/>
                <w:szCs w:val="28"/>
                <w:lang w:val="ro-RO"/>
              </w:rPr>
              <w:t>hotărîre</w:t>
            </w:r>
            <w:proofErr w:type="spellEnd"/>
            <w:r w:rsidRPr="0078590F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a Guvernului cu privire la aprobarea Cerințelor de calitate pentru pește și produsele din pește sunt:</w:t>
            </w:r>
          </w:p>
          <w:p w:rsidR="0013090F" w:rsidRPr="0068331A" w:rsidRDefault="005C34FA" w:rsidP="005C34FA">
            <w:pPr>
              <w:pStyle w:val="Listparagraf"/>
              <w:numPr>
                <w:ilvl w:val="0"/>
                <w:numId w:val="20"/>
              </w:num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5C34FA">
              <w:rPr>
                <w:rFonts w:ascii="Times New Roman" w:hAnsi="Times New Roman"/>
                <w:sz w:val="28"/>
                <w:szCs w:val="28"/>
                <w:lang w:val="ro-RO"/>
              </w:rPr>
              <w:t>I. Dispoziții generale</w:t>
            </w:r>
            <w:r w:rsidR="004933F8" w:rsidRPr="0068331A"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  <w:p w:rsidR="003B76DD" w:rsidRPr="005C34FA" w:rsidRDefault="005C34FA" w:rsidP="005C34FA">
            <w:pPr>
              <w:pStyle w:val="Listparagraf"/>
              <w:numPr>
                <w:ilvl w:val="0"/>
                <w:numId w:val="20"/>
              </w:num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5C34FA">
              <w:rPr>
                <w:rFonts w:ascii="Times New Roman" w:hAnsi="Times New Roman"/>
                <w:sz w:val="28"/>
                <w:szCs w:val="28"/>
                <w:lang w:val="ro-RO"/>
              </w:rPr>
              <w:t>II. Cerințe privind clasificarea  peștelui și produselor din pește</w:t>
            </w:r>
            <w:r w:rsidR="004933F8" w:rsidRPr="005C34FA">
              <w:rPr>
                <w:rFonts w:ascii="Times New Roman" w:hAnsi="Times New Roman"/>
                <w:sz w:val="28"/>
                <w:szCs w:val="28"/>
                <w:lang w:val="ro-RO"/>
              </w:rPr>
              <w:t>;</w:t>
            </w:r>
          </w:p>
          <w:p w:rsidR="0013090F" w:rsidRPr="0068331A" w:rsidRDefault="005C34FA" w:rsidP="005C34FA">
            <w:pPr>
              <w:pStyle w:val="Listparagraf"/>
              <w:numPr>
                <w:ilvl w:val="0"/>
                <w:numId w:val="20"/>
              </w:num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5C34FA">
              <w:rPr>
                <w:rFonts w:ascii="Times New Roman" w:hAnsi="Times New Roman"/>
                <w:sz w:val="28"/>
                <w:szCs w:val="28"/>
                <w:lang w:val="ro-RO"/>
              </w:rPr>
              <w:t>III. Cerințe generale</w:t>
            </w:r>
            <w:r w:rsidR="004933F8" w:rsidRPr="0068331A">
              <w:rPr>
                <w:rFonts w:ascii="Times New Roman" w:hAnsi="Times New Roman"/>
                <w:sz w:val="28"/>
                <w:szCs w:val="28"/>
                <w:lang w:val="ro-RO"/>
              </w:rPr>
              <w:t>;</w:t>
            </w:r>
          </w:p>
          <w:p w:rsidR="003B76DD" w:rsidRPr="005C34FA" w:rsidRDefault="005C34FA" w:rsidP="005C34FA">
            <w:pPr>
              <w:pStyle w:val="Listparagraf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5C34FA">
              <w:rPr>
                <w:rFonts w:ascii="Times New Roman" w:hAnsi="Times New Roman"/>
                <w:sz w:val="28"/>
                <w:szCs w:val="28"/>
                <w:lang w:val="ro-RO"/>
              </w:rPr>
              <w:t>IV. Cerințe aplicabile pentru peștele viu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5C34FA">
              <w:rPr>
                <w:rFonts w:ascii="Times New Roman" w:hAnsi="Times New Roman"/>
                <w:sz w:val="28"/>
                <w:szCs w:val="28"/>
                <w:lang w:val="ro-RO"/>
              </w:rPr>
              <w:t>și refrigerat</w:t>
            </w:r>
            <w:r w:rsidR="004933F8" w:rsidRPr="005C34FA">
              <w:rPr>
                <w:rFonts w:ascii="Times New Roman" w:hAnsi="Times New Roman"/>
                <w:sz w:val="28"/>
                <w:szCs w:val="28"/>
                <w:lang w:val="ro-RO"/>
              </w:rPr>
              <w:t>;</w:t>
            </w:r>
          </w:p>
          <w:p w:rsidR="0013090F" w:rsidRPr="005C34FA" w:rsidRDefault="005C34FA" w:rsidP="005C34FA">
            <w:pPr>
              <w:pStyle w:val="Listparagraf"/>
              <w:numPr>
                <w:ilvl w:val="0"/>
                <w:numId w:val="20"/>
              </w:num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5C34FA">
              <w:rPr>
                <w:rFonts w:ascii="Times New Roman" w:hAnsi="Times New Roman"/>
                <w:sz w:val="28"/>
                <w:szCs w:val="28"/>
                <w:lang w:val="ro-RO"/>
              </w:rPr>
              <w:t>V. Cerințe aplicabile pentru pește și produsele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5C34FA">
              <w:rPr>
                <w:rFonts w:ascii="Times New Roman" w:hAnsi="Times New Roman"/>
                <w:sz w:val="28"/>
                <w:szCs w:val="28"/>
                <w:lang w:val="ro-RO"/>
              </w:rPr>
              <w:t>din pește congelate</w:t>
            </w:r>
            <w:r w:rsidR="004933F8" w:rsidRPr="005C34FA">
              <w:rPr>
                <w:rFonts w:ascii="Times New Roman" w:hAnsi="Times New Roman"/>
                <w:sz w:val="28"/>
                <w:szCs w:val="28"/>
                <w:lang w:val="ro-RO"/>
              </w:rPr>
              <w:t>;</w:t>
            </w:r>
          </w:p>
          <w:p w:rsidR="003B76DD" w:rsidRPr="0068331A" w:rsidRDefault="005C34FA" w:rsidP="005C34FA">
            <w:pPr>
              <w:pStyle w:val="Listparagraf"/>
              <w:numPr>
                <w:ilvl w:val="0"/>
                <w:numId w:val="20"/>
              </w:num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5C34FA">
              <w:rPr>
                <w:rFonts w:ascii="Times New Roman" w:hAnsi="Times New Roman"/>
                <w:sz w:val="28"/>
                <w:szCs w:val="28"/>
                <w:lang w:val="ro-RO"/>
              </w:rPr>
              <w:t>VI. Cerințe aplicabile pentru semiconserve din pește</w:t>
            </w:r>
            <w:r w:rsidR="004933F8" w:rsidRPr="0068331A">
              <w:rPr>
                <w:rFonts w:ascii="Times New Roman" w:hAnsi="Times New Roman"/>
                <w:sz w:val="28"/>
                <w:szCs w:val="28"/>
                <w:lang w:val="ro-RO"/>
              </w:rPr>
              <w:t>;</w:t>
            </w:r>
          </w:p>
          <w:p w:rsidR="003B76DD" w:rsidRPr="0068331A" w:rsidRDefault="005C34FA" w:rsidP="005C34FA">
            <w:pPr>
              <w:pStyle w:val="Listparagraf"/>
              <w:numPr>
                <w:ilvl w:val="0"/>
                <w:numId w:val="20"/>
              </w:num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5C34FA">
              <w:rPr>
                <w:rFonts w:ascii="Times New Roman" w:hAnsi="Times New Roman"/>
                <w:sz w:val="28"/>
                <w:szCs w:val="28"/>
                <w:lang w:val="ro-RO"/>
              </w:rPr>
              <w:t>VII. Cerințe aplicabile pentru conserve din pește</w:t>
            </w:r>
            <w:r w:rsidR="004933F8" w:rsidRPr="0068331A">
              <w:rPr>
                <w:rFonts w:ascii="Times New Roman" w:hAnsi="Times New Roman"/>
                <w:sz w:val="28"/>
                <w:szCs w:val="28"/>
                <w:lang w:val="ro-RO"/>
              </w:rPr>
              <w:t>;</w:t>
            </w:r>
          </w:p>
          <w:p w:rsidR="0078590F" w:rsidRPr="0068331A" w:rsidRDefault="005C34FA" w:rsidP="005C34FA">
            <w:pPr>
              <w:pStyle w:val="Listparagraf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5C34FA">
              <w:rPr>
                <w:rFonts w:ascii="Times New Roman" w:hAnsi="Times New Roman"/>
                <w:sz w:val="28"/>
                <w:szCs w:val="28"/>
                <w:lang w:val="ro-RO"/>
              </w:rPr>
              <w:t>VIII. Cerințe aplicabile pentru icre</w:t>
            </w:r>
            <w:r w:rsidR="0078590F" w:rsidRPr="0068331A">
              <w:rPr>
                <w:rFonts w:ascii="Times New Roman" w:hAnsi="Times New Roman"/>
                <w:sz w:val="28"/>
                <w:szCs w:val="28"/>
                <w:lang w:val="ro-RO"/>
              </w:rPr>
              <w:t>;</w:t>
            </w:r>
          </w:p>
          <w:p w:rsidR="003B76DD" w:rsidRPr="005C34FA" w:rsidRDefault="005C34FA" w:rsidP="005C34FA">
            <w:pPr>
              <w:pStyle w:val="Listparagraf"/>
              <w:numPr>
                <w:ilvl w:val="0"/>
                <w:numId w:val="20"/>
              </w:num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5C34FA">
              <w:rPr>
                <w:rFonts w:ascii="Times New Roman" w:hAnsi="Times New Roman"/>
                <w:sz w:val="28"/>
                <w:szCs w:val="28"/>
                <w:lang w:val="ro-RO"/>
              </w:rPr>
              <w:t>IX. Cerințe aplicabile pentru uleiul de pește destinat consumului uman</w:t>
            </w:r>
            <w:r w:rsidR="004933F8" w:rsidRPr="005C34FA">
              <w:rPr>
                <w:rFonts w:ascii="Times New Roman" w:hAnsi="Times New Roman"/>
                <w:sz w:val="28"/>
                <w:szCs w:val="28"/>
                <w:lang w:val="ro-RO"/>
              </w:rPr>
              <w:t>;</w:t>
            </w:r>
          </w:p>
          <w:p w:rsidR="003B76DD" w:rsidRPr="005C34FA" w:rsidRDefault="005C34FA" w:rsidP="005C34FA">
            <w:pPr>
              <w:pStyle w:val="Listparagraf"/>
              <w:numPr>
                <w:ilvl w:val="0"/>
                <w:numId w:val="20"/>
              </w:num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5C34FA">
              <w:rPr>
                <w:rFonts w:ascii="Times New Roman" w:hAnsi="Times New Roman"/>
                <w:sz w:val="28"/>
                <w:szCs w:val="28"/>
                <w:lang w:val="ro-RO"/>
              </w:rPr>
              <w:t>X. Cerințe privind ambalarea, etichetarea, depozitarea și transportarea peștelui și produselor din pește</w:t>
            </w:r>
            <w:r w:rsidR="00EB60A4" w:rsidRPr="005C34FA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</w:p>
          <w:p w:rsidR="000B042E" w:rsidRDefault="00255DAB" w:rsidP="0032217A">
            <w:pPr>
              <w:tabs>
                <w:tab w:val="left" w:pos="884"/>
                <w:tab w:val="left" w:pos="1196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255DAB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Totodată, se propune preluarea </w:t>
            </w:r>
            <w:r w:rsidR="000B042E" w:rsidRPr="000B042E">
              <w:rPr>
                <w:rFonts w:ascii="Times New Roman" w:hAnsi="Times New Roman"/>
                <w:sz w:val="28"/>
                <w:szCs w:val="28"/>
                <w:lang w:val="ro-RO"/>
              </w:rPr>
              <w:t>norme</w:t>
            </w:r>
            <w:r w:rsidR="000B042E">
              <w:rPr>
                <w:rFonts w:ascii="Times New Roman" w:hAnsi="Times New Roman"/>
                <w:sz w:val="28"/>
                <w:szCs w:val="28"/>
                <w:lang w:val="ro-RO"/>
              </w:rPr>
              <w:t>lor i</w:t>
            </w:r>
            <w:r w:rsidR="000B042E" w:rsidRPr="000B042E">
              <w:rPr>
                <w:rFonts w:ascii="Times New Roman" w:hAnsi="Times New Roman"/>
                <w:sz w:val="28"/>
                <w:szCs w:val="28"/>
                <w:lang w:val="ro-RO"/>
              </w:rPr>
              <w:t>nternațional</w:t>
            </w:r>
            <w:r w:rsidR="000B042E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e pe domeniul procesării peștelui menite să protejeze sănătatea </w:t>
            </w:r>
            <w:r w:rsidR="000B042E" w:rsidRPr="000B042E">
              <w:rPr>
                <w:rFonts w:ascii="Times New Roman" w:hAnsi="Times New Roman"/>
                <w:sz w:val="28"/>
                <w:szCs w:val="28"/>
                <w:lang w:val="ro-RO"/>
              </w:rPr>
              <w:t>consumatorilo</w:t>
            </w:r>
            <w:r w:rsidR="000B042E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r și să asigure practici oneste </w:t>
            </w:r>
            <w:r w:rsidR="000B042E" w:rsidRPr="000B042E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în domeniul comerțului </w:t>
            </w:r>
            <w:r w:rsidR="000B042E">
              <w:rPr>
                <w:rFonts w:ascii="Times New Roman" w:hAnsi="Times New Roman"/>
                <w:sz w:val="28"/>
                <w:szCs w:val="28"/>
                <w:lang w:val="ro-RO"/>
              </w:rPr>
              <w:t>peștelui și produselor din pește</w:t>
            </w:r>
            <w:r w:rsidR="0032217A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</w:p>
          <w:p w:rsidR="00F43670" w:rsidRDefault="0068331A" w:rsidP="0032217A">
            <w:pPr>
              <w:tabs>
                <w:tab w:val="left" w:pos="884"/>
                <w:tab w:val="left" w:pos="1196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8331A">
              <w:rPr>
                <w:rFonts w:ascii="Times New Roman" w:hAnsi="Times New Roman"/>
                <w:sz w:val="28"/>
                <w:szCs w:val="28"/>
                <w:lang w:val="ro-RO"/>
              </w:rPr>
              <w:t>Prezentele cerințe nu se aplică produselor fabricate în gospodării individ</w:t>
            </w:r>
            <w:r w:rsidR="0032217A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uale pentru consum propriu și </w:t>
            </w:r>
            <w:r w:rsidR="0032217A" w:rsidRPr="0032217A">
              <w:rPr>
                <w:rFonts w:ascii="Times New Roman" w:hAnsi="Times New Roman"/>
                <w:sz w:val="28"/>
                <w:szCs w:val="28"/>
                <w:lang w:val="ro-RO"/>
              </w:rPr>
              <w:t>produse</w:t>
            </w:r>
            <w:r w:rsidR="0032217A">
              <w:rPr>
                <w:rFonts w:ascii="Times New Roman" w:hAnsi="Times New Roman"/>
                <w:sz w:val="28"/>
                <w:szCs w:val="28"/>
                <w:lang w:val="ro-RO"/>
              </w:rPr>
              <w:t>lor alimentare din pește imitate</w:t>
            </w:r>
            <w:r w:rsidRPr="0068331A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</w:p>
          <w:p w:rsidR="0032217A" w:rsidRPr="00D15876" w:rsidRDefault="0032217A" w:rsidP="000B042E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o-RO"/>
              </w:rPr>
            </w:pPr>
          </w:p>
        </w:tc>
      </w:tr>
      <w:tr w:rsidR="00D15876" w:rsidRPr="00D15876" w:rsidTr="00385A33">
        <w:trPr>
          <w:trHeight w:val="358"/>
        </w:trPr>
        <w:tc>
          <w:tcPr>
            <w:tcW w:w="5000" w:type="pct"/>
          </w:tcPr>
          <w:p w:rsidR="00B9328A" w:rsidRPr="00D15876" w:rsidRDefault="00B9328A" w:rsidP="00586EA0">
            <w:pPr>
              <w:spacing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ro-RO"/>
              </w:rPr>
            </w:pPr>
            <w:r w:rsidRPr="006832DF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5. Fundamentarea economico-financiară</w:t>
            </w:r>
          </w:p>
        </w:tc>
      </w:tr>
      <w:tr w:rsidR="00D15876" w:rsidRPr="0024525C" w:rsidTr="00385A33">
        <w:trPr>
          <w:trHeight w:val="510"/>
        </w:trPr>
        <w:tc>
          <w:tcPr>
            <w:tcW w:w="5000" w:type="pct"/>
          </w:tcPr>
          <w:p w:rsidR="00F43670" w:rsidRPr="0009260F" w:rsidRDefault="00C92153" w:rsidP="0032217A">
            <w:pPr>
              <w:spacing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C92153">
              <w:rPr>
                <w:rFonts w:ascii="Times New Roman" w:hAnsi="Times New Roman"/>
                <w:sz w:val="28"/>
                <w:szCs w:val="28"/>
                <w:lang w:val="ro-RO"/>
              </w:rPr>
              <w:t>Prezentul proiect de hotărâre nu implică c</w:t>
            </w:r>
            <w:r w:rsidR="00F24D24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heltuieli financiare din cadrul </w:t>
            </w:r>
            <w:r w:rsidRPr="00C92153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bugetului de stat, nu va contribui la majorarea prețurilor pentru </w:t>
            </w:r>
            <w:r w:rsidR="00F24D24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pește și produsele din pește </w:t>
            </w:r>
            <w:r w:rsidRPr="00C92153">
              <w:rPr>
                <w:rFonts w:ascii="Times New Roman" w:hAnsi="Times New Roman"/>
                <w:sz w:val="28"/>
                <w:szCs w:val="28"/>
                <w:lang w:val="ro-RO"/>
              </w:rPr>
              <w:t>ș</w:t>
            </w:r>
            <w:r w:rsidR="00F24D24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i nu va afecta negativ importul </w:t>
            </w:r>
            <w:r w:rsidR="009B2946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și exportul </w:t>
            </w:r>
            <w:r w:rsidRPr="00C92153">
              <w:rPr>
                <w:rFonts w:ascii="Times New Roman" w:hAnsi="Times New Roman"/>
                <w:sz w:val="28"/>
                <w:szCs w:val="28"/>
                <w:lang w:val="ro-RO"/>
              </w:rPr>
              <w:t>de produse</w:t>
            </w:r>
            <w:r w:rsidR="0032217A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din pește</w:t>
            </w:r>
            <w:r w:rsidR="00F24D24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. Dimpotrivă, implementarea </w:t>
            </w:r>
            <w:r w:rsidRPr="00C92153">
              <w:rPr>
                <w:rFonts w:ascii="Times New Roman" w:hAnsi="Times New Roman"/>
                <w:sz w:val="28"/>
                <w:szCs w:val="28"/>
                <w:lang w:val="ro-RO"/>
              </w:rPr>
              <w:t>proiectului va aduce beneficii economice prin</w:t>
            </w:r>
            <w:r w:rsidR="00F24D24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C92153">
              <w:rPr>
                <w:rFonts w:ascii="Times New Roman" w:hAnsi="Times New Roman"/>
                <w:sz w:val="28"/>
                <w:szCs w:val="28"/>
                <w:lang w:val="ro-RO"/>
              </w:rPr>
              <w:t>majorarea volumului de vânzări a produselor</w:t>
            </w:r>
            <w:r w:rsidR="00F24D24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din pește</w:t>
            </w:r>
            <w:r w:rsidRPr="00C92153">
              <w:rPr>
                <w:rFonts w:ascii="Times New Roman" w:hAnsi="Times New Roman"/>
                <w:sz w:val="28"/>
                <w:szCs w:val="28"/>
                <w:lang w:val="ro-RO"/>
              </w:rPr>
              <w:t>,</w:t>
            </w:r>
            <w:r w:rsidR="00F24D24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va spori credibilitatea consumatorului pentru calitatea produselor</w:t>
            </w:r>
            <w:r w:rsidRPr="00C92153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="00F24D24">
              <w:rPr>
                <w:rFonts w:ascii="Times New Roman" w:hAnsi="Times New Roman"/>
                <w:sz w:val="28"/>
                <w:szCs w:val="28"/>
                <w:lang w:val="ro-RO"/>
              </w:rPr>
              <w:t>plasate pe raft</w:t>
            </w:r>
            <w:r w:rsidR="00824B3B">
              <w:rPr>
                <w:rFonts w:ascii="Times New Roman" w:hAnsi="Times New Roman"/>
                <w:sz w:val="28"/>
                <w:szCs w:val="28"/>
                <w:lang w:val="ro-RO"/>
              </w:rPr>
              <w:t>,</w:t>
            </w:r>
            <w:r w:rsidR="00F24D24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cât </w:t>
            </w:r>
            <w:r w:rsidRPr="00C92153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și </w:t>
            </w:r>
            <w:r w:rsidR="00F24D24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majorarea </w:t>
            </w:r>
            <w:r w:rsidRPr="00C92153">
              <w:rPr>
                <w:rFonts w:ascii="Times New Roman" w:hAnsi="Times New Roman"/>
                <w:sz w:val="28"/>
                <w:szCs w:val="28"/>
                <w:lang w:val="ro-RO"/>
              </w:rPr>
              <w:t>taxe</w:t>
            </w:r>
            <w:r w:rsidR="00F24D24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lor </w:t>
            </w:r>
            <w:r w:rsidRPr="00C92153">
              <w:rPr>
                <w:rFonts w:ascii="Times New Roman" w:hAnsi="Times New Roman"/>
                <w:sz w:val="28"/>
                <w:szCs w:val="28"/>
                <w:lang w:val="ro-RO"/>
              </w:rPr>
              <w:t>la bugetele locale și cel național, precum și a volumului de produse exportate.</w:t>
            </w:r>
          </w:p>
        </w:tc>
      </w:tr>
      <w:tr w:rsidR="00D15876" w:rsidRPr="0024525C" w:rsidTr="00385A33">
        <w:trPr>
          <w:trHeight w:val="510"/>
        </w:trPr>
        <w:tc>
          <w:tcPr>
            <w:tcW w:w="5000" w:type="pct"/>
          </w:tcPr>
          <w:p w:rsidR="00B9328A" w:rsidRPr="000F0C1B" w:rsidRDefault="00B9328A" w:rsidP="00586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0F0C1B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6. Modul de încorporare a actului în cadrul normativ în vigoare</w:t>
            </w:r>
          </w:p>
        </w:tc>
      </w:tr>
      <w:tr w:rsidR="00D15876" w:rsidRPr="0024525C" w:rsidTr="00385A33">
        <w:trPr>
          <w:trHeight w:val="510"/>
        </w:trPr>
        <w:tc>
          <w:tcPr>
            <w:tcW w:w="5000" w:type="pct"/>
          </w:tcPr>
          <w:p w:rsidR="0052557A" w:rsidRDefault="0052557A" w:rsidP="00DC24AC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52557A">
              <w:rPr>
                <w:rFonts w:ascii="Times New Roman" w:hAnsi="Times New Roman"/>
                <w:sz w:val="28"/>
                <w:szCs w:val="28"/>
                <w:lang w:val="ro-RO"/>
              </w:rPr>
              <w:lastRenderedPageBreak/>
              <w:t xml:space="preserve">Proiectul </w:t>
            </w:r>
            <w:r w:rsidR="00485919" w:rsidRPr="0052557A">
              <w:rPr>
                <w:rFonts w:ascii="Times New Roman" w:hAnsi="Times New Roman"/>
                <w:sz w:val="28"/>
                <w:szCs w:val="28"/>
                <w:lang w:val="ro-RO"/>
              </w:rPr>
              <w:t>Hotărârii</w:t>
            </w:r>
            <w:r w:rsidRPr="0052557A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de Guvern cu privire la aprobarea Cerințelor de calitate pentru pește și produsele din pește face referință la </w:t>
            </w:r>
            <w:r w:rsidR="0032217A">
              <w:rPr>
                <w:rFonts w:ascii="Times New Roman" w:hAnsi="Times New Roman"/>
                <w:sz w:val="28"/>
                <w:szCs w:val="28"/>
                <w:lang w:val="ro-RO"/>
              </w:rPr>
              <w:t>Legea</w:t>
            </w:r>
            <w:r w:rsidR="0032217A" w:rsidRPr="0032217A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nr. 306/2018 privind siguranța alimentelor</w:t>
            </w:r>
            <w:r w:rsidR="0032217A">
              <w:rPr>
                <w:rFonts w:ascii="Times New Roman" w:hAnsi="Times New Roman"/>
                <w:sz w:val="28"/>
                <w:szCs w:val="28"/>
                <w:lang w:val="ro-RO"/>
              </w:rPr>
              <w:t>,</w:t>
            </w:r>
            <w:r w:rsidR="0032217A" w:rsidRPr="0032217A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52557A">
              <w:rPr>
                <w:rFonts w:ascii="Times New Roman" w:hAnsi="Times New Roman"/>
                <w:sz w:val="28"/>
                <w:szCs w:val="28"/>
                <w:lang w:val="ro-RO"/>
              </w:rPr>
              <w:t>Legea nr. 279 din 15 decembrie 2017 privind informarea consumatorului cu privir</w:t>
            </w:r>
            <w:r w:rsidR="0032217A">
              <w:rPr>
                <w:rFonts w:ascii="Times New Roman" w:hAnsi="Times New Roman"/>
                <w:sz w:val="28"/>
                <w:szCs w:val="28"/>
                <w:lang w:val="ro-RO"/>
              </w:rPr>
              <w:t>e la produsele alimentare, Legea</w:t>
            </w:r>
            <w:r w:rsidRPr="0052557A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nr. 221-XVI din 19 octombrie 2007 privind activitatea sanitar-veterinară, Legii nr. 296 din 21.12.2017 privind cerințele generale de igienă a produselor alimentare</w:t>
            </w:r>
            <w:r w:rsidR="004933F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, </w:t>
            </w:r>
            <w:r w:rsidR="00485919" w:rsidRPr="004933F8">
              <w:rPr>
                <w:rFonts w:ascii="Times New Roman" w:hAnsi="Times New Roman"/>
                <w:sz w:val="28"/>
                <w:szCs w:val="28"/>
                <w:lang w:val="ro-RO"/>
              </w:rPr>
              <w:t>Hotărârii</w:t>
            </w:r>
            <w:r w:rsidR="004933F8" w:rsidRPr="004933F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Guvernului nr. 435/2010 privind aprobarea Regulilor specifice de igienă a produselor alimentare de origine animală și a  </w:t>
            </w:r>
            <w:r w:rsidR="00485919" w:rsidRPr="004933F8">
              <w:rPr>
                <w:rFonts w:ascii="Times New Roman" w:hAnsi="Times New Roman"/>
                <w:sz w:val="28"/>
                <w:szCs w:val="28"/>
                <w:lang w:val="ro-RO"/>
              </w:rPr>
              <w:t>Hotărârii</w:t>
            </w:r>
            <w:r w:rsidR="004933F8" w:rsidRPr="004933F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Guvernului nr. 239/2009 cu privire la aprobarea Normei sanitar-veterinare privind condiţiile de sănătate a animalelor şi produselor de acvacultură şi măsurile de prevenire şi combatere a anumitor boli la animalele acva</w:t>
            </w:r>
            <w:r w:rsidR="004933F8">
              <w:rPr>
                <w:rFonts w:ascii="Times New Roman" w:hAnsi="Times New Roman"/>
                <w:sz w:val="28"/>
                <w:szCs w:val="28"/>
                <w:lang w:val="ro-RO"/>
              </w:rPr>
              <w:t>tice cu modificările ulterioare</w:t>
            </w:r>
            <w:r w:rsidRPr="0052557A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</w:p>
          <w:p w:rsidR="00F43670" w:rsidRPr="000F0C1B" w:rsidRDefault="00B9328A" w:rsidP="00DC24AC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0F0C1B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În </w:t>
            </w:r>
            <w:r w:rsidR="0052557A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rezultatul aprobării Cerințelor de calitate </w:t>
            </w:r>
            <w:r w:rsidR="0052557A" w:rsidRPr="0052557A">
              <w:rPr>
                <w:rFonts w:ascii="Times New Roman" w:hAnsi="Times New Roman"/>
                <w:sz w:val="28"/>
                <w:szCs w:val="28"/>
                <w:lang w:val="ro-RO"/>
              </w:rPr>
              <w:t>pentru pește și produsele din pește</w:t>
            </w:r>
            <w:r w:rsidRPr="000F0C1B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nu vor fi abrogate sau</w:t>
            </w:r>
            <w:r w:rsidR="00485919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modificate alte acte normative</w:t>
            </w:r>
            <w:r w:rsidRPr="000F0C1B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care reglementează activitățile din sectorul de</w:t>
            </w:r>
            <w:r w:rsidR="009441AD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piscicultură și</w:t>
            </w:r>
            <w:r w:rsidRPr="000F0C1B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="000F0C1B" w:rsidRPr="000F0C1B">
              <w:rPr>
                <w:rFonts w:ascii="Times New Roman" w:hAnsi="Times New Roman"/>
                <w:sz w:val="28"/>
                <w:szCs w:val="28"/>
                <w:lang w:val="ro-RO"/>
              </w:rPr>
              <w:t>acvacultură</w:t>
            </w:r>
            <w:r w:rsidR="000F0C1B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</w:p>
        </w:tc>
      </w:tr>
      <w:tr w:rsidR="00D15876" w:rsidRPr="0024525C" w:rsidTr="00385A33">
        <w:trPr>
          <w:trHeight w:val="510"/>
        </w:trPr>
        <w:tc>
          <w:tcPr>
            <w:tcW w:w="5000" w:type="pct"/>
          </w:tcPr>
          <w:p w:rsidR="00B9328A" w:rsidRPr="0009260F" w:rsidRDefault="00B9328A" w:rsidP="00586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09260F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7. Avizarea şi consultarea publică a proiectului</w:t>
            </w:r>
          </w:p>
        </w:tc>
      </w:tr>
      <w:tr w:rsidR="00D15876" w:rsidRPr="0024525C" w:rsidTr="00385A33">
        <w:trPr>
          <w:trHeight w:val="510"/>
        </w:trPr>
        <w:tc>
          <w:tcPr>
            <w:tcW w:w="5000" w:type="pct"/>
          </w:tcPr>
          <w:p w:rsidR="00756D5E" w:rsidRDefault="00756D5E" w:rsidP="00756D5E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Î</w:t>
            </w:r>
            <w:r w:rsidRPr="00756D5E">
              <w:rPr>
                <w:rFonts w:ascii="Times New Roman" w:hAnsi="Times New Roman"/>
                <w:sz w:val="28"/>
                <w:szCs w:val="28"/>
                <w:lang w:val="ro-RO"/>
              </w:rPr>
              <w:t>n conformitate cu art. 32 din Legea nr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. 100/2017 cu privire la actele </w:t>
            </w:r>
            <w:r w:rsidRPr="00756D5E">
              <w:rPr>
                <w:rFonts w:ascii="Times New Roman" w:hAnsi="Times New Roman"/>
                <w:sz w:val="28"/>
                <w:szCs w:val="28"/>
                <w:lang w:val="ro-RO"/>
              </w:rPr>
              <w:t>normative, anunțul privind inițierea elaborării proiectului de act normativ a fost plasat pe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756D5E">
              <w:rPr>
                <w:rFonts w:ascii="Times New Roman" w:hAnsi="Times New Roman"/>
                <w:sz w:val="28"/>
                <w:szCs w:val="28"/>
                <w:lang w:val="ro-RO"/>
              </w:rPr>
              <w:t>pagina web al Ministerului Agriculturii și Industriei Alim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entare, https://maia.gov.md, la </w:t>
            </w:r>
            <w:r w:rsidRPr="00756D5E">
              <w:rPr>
                <w:rFonts w:ascii="Times New Roman" w:hAnsi="Times New Roman"/>
                <w:sz w:val="28"/>
                <w:szCs w:val="28"/>
                <w:lang w:val="ro-RO"/>
              </w:rPr>
              <w:t>compartimen</w:t>
            </w:r>
            <w:r w:rsidR="00485919">
              <w:rPr>
                <w:rFonts w:ascii="Times New Roman" w:hAnsi="Times New Roman"/>
                <w:sz w:val="28"/>
                <w:szCs w:val="28"/>
                <w:lang w:val="ro-RO"/>
              </w:rPr>
              <w:t>tul ,,Transparență decizională/</w:t>
            </w:r>
            <w:r w:rsidRPr="00756D5E">
              <w:rPr>
                <w:rFonts w:ascii="Times New Roman" w:hAnsi="Times New Roman"/>
                <w:sz w:val="28"/>
                <w:szCs w:val="28"/>
                <w:lang w:val="ro-RO"/>
              </w:rPr>
              <w:t>proiecte de documente” și pe portalul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hyperlink r:id="rId7" w:history="1">
              <w:r w:rsidRPr="00B67AA4">
                <w:rPr>
                  <w:rStyle w:val="Hyperlink"/>
                  <w:rFonts w:ascii="Times New Roman" w:hAnsi="Times New Roman"/>
                  <w:sz w:val="28"/>
                  <w:szCs w:val="28"/>
                  <w:lang w:val="ro-RO"/>
                </w:rPr>
                <w:t>https://particip.gov.md/ro/document/stages/anunt-privind-initierea-elaborarii-proiectului-hotaririi-guvernului-cu-privire-la-aprobarea-cerintelor-de-calitate-pentru-peste-si-produsele-din-peste/9204</w:t>
              </w:r>
            </w:hyperlink>
            <w:r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</w:p>
          <w:p w:rsidR="00020DBD" w:rsidRDefault="00856A8C" w:rsidP="00856A8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Î</w:t>
            </w:r>
            <w:r w:rsidR="00020DBD" w:rsidRPr="00020DBD">
              <w:rPr>
                <w:rFonts w:ascii="Times New Roman" w:hAnsi="Times New Roman"/>
                <w:sz w:val="28"/>
                <w:szCs w:val="28"/>
                <w:lang w:val="ro-RO"/>
              </w:rPr>
              <w:t>n conformitate cu art.</w:t>
            </w:r>
            <w:r w:rsidR="00485919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="00020DBD" w:rsidRPr="00020DBD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5 și 9 din Legea nr.239/2008 privind transparența în procesul decizional, </w:t>
            </w:r>
            <w:r w:rsidR="00BA1647" w:rsidRPr="00BA164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proiectul </w:t>
            </w:r>
            <w:r w:rsidRPr="00BA1647">
              <w:rPr>
                <w:rFonts w:ascii="Times New Roman" w:hAnsi="Times New Roman"/>
                <w:sz w:val="28"/>
                <w:szCs w:val="28"/>
                <w:lang w:val="ro-RO"/>
              </w:rPr>
              <w:t>hotărârii</w:t>
            </w:r>
            <w:r w:rsidR="00BA1647" w:rsidRPr="00BA164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de Guvern cu privire la aprobarea Cerințelor de calitate pentru pește și produsele din pește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a fost transmis</w:t>
            </w:r>
            <w:r w:rsidR="00020DBD" w:rsidRPr="00020DBD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pentru examinare și consultare </w:t>
            </w:r>
            <w:r w:rsidR="00020DBD">
              <w:rPr>
                <w:rFonts w:ascii="Times New Roman" w:hAnsi="Times New Roman"/>
                <w:sz w:val="28"/>
                <w:szCs w:val="28"/>
                <w:lang w:val="ro-RO"/>
              </w:rPr>
              <w:t>cu Asociația Națională</w:t>
            </w:r>
            <w:r w:rsidR="00020DBD" w:rsidRPr="00020DBD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a Piscic</w:t>
            </w:r>
            <w:r w:rsidR="00C318D1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ultorilor din Republica Moldova, </w:t>
            </w:r>
            <w:r w:rsidR="00020DBD">
              <w:rPr>
                <w:rFonts w:ascii="Times New Roman" w:hAnsi="Times New Roman"/>
                <w:sz w:val="28"/>
                <w:szCs w:val="28"/>
                <w:lang w:val="ro-RO"/>
              </w:rPr>
              <w:t>Asociației Obștești</w:t>
            </w:r>
            <w:r w:rsidR="00020DBD" w:rsidRPr="00020DBD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Asociația Uniunea Producătorilor, Importatorilor Produselor de Origine Animalieră „</w:t>
            </w:r>
            <w:proofErr w:type="spellStart"/>
            <w:r w:rsidR="00020DBD" w:rsidRPr="00020DBD">
              <w:rPr>
                <w:rFonts w:ascii="Times New Roman" w:hAnsi="Times New Roman"/>
                <w:sz w:val="28"/>
                <w:szCs w:val="28"/>
                <w:lang w:val="ro-RO"/>
              </w:rPr>
              <w:t>Agro</w:t>
            </w:r>
            <w:proofErr w:type="spellEnd"/>
            <w:r w:rsidR="00020DBD" w:rsidRPr="00020DBD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Vector”</w:t>
            </w:r>
            <w:r w:rsidR="00485919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, </w:t>
            </w:r>
            <w:r w:rsidR="00485919" w:rsidRPr="00485919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Institutul </w:t>
            </w:r>
            <w:proofErr w:type="spellStart"/>
            <w:r w:rsidR="00485919" w:rsidRPr="00485919">
              <w:rPr>
                <w:rFonts w:ascii="Times New Roman" w:hAnsi="Times New Roman"/>
                <w:sz w:val="28"/>
                <w:szCs w:val="28"/>
                <w:lang w:val="ro-RO"/>
              </w:rPr>
              <w:t>Știinţifico</w:t>
            </w:r>
            <w:proofErr w:type="spellEnd"/>
            <w:r w:rsidR="00485919" w:rsidRPr="00485919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Practic de Biotehnologii în Zootehnie </w:t>
            </w:r>
            <w:proofErr w:type="spellStart"/>
            <w:r w:rsidR="00485919" w:rsidRPr="00485919">
              <w:rPr>
                <w:rFonts w:ascii="Times New Roman" w:hAnsi="Times New Roman"/>
                <w:sz w:val="28"/>
                <w:szCs w:val="28"/>
                <w:lang w:val="ro-RO"/>
              </w:rPr>
              <w:t>şi</w:t>
            </w:r>
            <w:proofErr w:type="spellEnd"/>
            <w:r w:rsidR="00485919" w:rsidRPr="00485919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Medicină Veterinară</w:t>
            </w:r>
            <w:r w:rsidR="00C318D1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și </w:t>
            </w:r>
            <w:r w:rsidR="00C318D1" w:rsidRPr="00C318D1">
              <w:rPr>
                <w:rFonts w:ascii="Times New Roman" w:hAnsi="Times New Roman"/>
                <w:sz w:val="28"/>
                <w:szCs w:val="28"/>
                <w:lang w:val="ro-RO"/>
              </w:rPr>
              <w:t>Centrului pentru Cercetare a Resurselor Genetice Acvatice ”ACVAGENRESURS”</w:t>
            </w:r>
            <w:r w:rsidR="00020DBD" w:rsidRPr="00020DBD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, </w:t>
            </w:r>
            <w:r w:rsidR="00BA1647">
              <w:rPr>
                <w:rFonts w:ascii="Times New Roman" w:hAnsi="Times New Roman"/>
                <w:sz w:val="28"/>
                <w:szCs w:val="28"/>
                <w:lang w:val="ro-RO"/>
              </w:rPr>
              <w:t>care au avizat pozitiv cu prezentarea unor propuneri de modificare și completare în scopul îmbunătățirii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acestuia</w:t>
            </w:r>
            <w:r w:rsidR="00BA164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. </w:t>
            </w:r>
          </w:p>
          <w:p w:rsidR="00E40E7E" w:rsidRPr="0009260F" w:rsidRDefault="00856A8C" w:rsidP="0048591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856A8C">
              <w:rPr>
                <w:rFonts w:ascii="Times New Roman" w:hAnsi="Times New Roman"/>
                <w:sz w:val="28"/>
                <w:szCs w:val="28"/>
                <w:lang w:val="ro-RO"/>
              </w:rPr>
              <w:t>Proiectul hotărârii de Guvern cu privire la aprobarea Cerințelor de calitate pentru pește și produsele din pește, va fi transmis suplime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ntar spre avizare și consultare </w:t>
            </w:r>
            <w:r w:rsidRPr="00856A8C">
              <w:rPr>
                <w:rFonts w:ascii="Times New Roman" w:hAnsi="Times New Roman"/>
                <w:sz w:val="28"/>
                <w:szCs w:val="28"/>
                <w:lang w:val="ro-RO"/>
              </w:rPr>
              <w:t>după anunțarea acestuia în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ședința Secretarilor generali.</w:t>
            </w:r>
          </w:p>
        </w:tc>
      </w:tr>
      <w:tr w:rsidR="00D15876" w:rsidRPr="00D15876" w:rsidTr="00385A33">
        <w:trPr>
          <w:trHeight w:val="510"/>
        </w:trPr>
        <w:tc>
          <w:tcPr>
            <w:tcW w:w="5000" w:type="pct"/>
          </w:tcPr>
          <w:p w:rsidR="00B9328A" w:rsidRPr="000F0C1B" w:rsidRDefault="00B9328A" w:rsidP="00586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0F0C1B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8. Constatările expertizei anticorupție</w:t>
            </w:r>
          </w:p>
        </w:tc>
      </w:tr>
      <w:tr w:rsidR="00D15876" w:rsidRPr="0024525C" w:rsidTr="00385A33">
        <w:trPr>
          <w:trHeight w:val="510"/>
        </w:trPr>
        <w:tc>
          <w:tcPr>
            <w:tcW w:w="5000" w:type="pct"/>
          </w:tcPr>
          <w:p w:rsidR="00385A33" w:rsidRPr="00D621D3" w:rsidRDefault="00856A8C" w:rsidP="00856A8C">
            <w:pPr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856A8C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În temeiul art. 34 </w:t>
            </w:r>
            <w:proofErr w:type="spellStart"/>
            <w:r w:rsidRPr="00856A8C">
              <w:rPr>
                <w:rFonts w:ascii="Times New Roman" w:hAnsi="Times New Roman"/>
                <w:sz w:val="28"/>
                <w:szCs w:val="28"/>
                <w:lang w:val="ro-RO"/>
              </w:rPr>
              <w:t>şi</w:t>
            </w:r>
            <w:proofErr w:type="spellEnd"/>
            <w:r w:rsidRPr="00856A8C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35 din Legea nr. 100/2017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cu privire la actele normative, </w:t>
            </w:r>
            <w:r w:rsidRPr="00856A8C">
              <w:rPr>
                <w:rFonts w:ascii="Times New Roman" w:hAnsi="Times New Roman"/>
                <w:sz w:val="28"/>
                <w:szCs w:val="28"/>
                <w:lang w:val="ro-RO"/>
              </w:rPr>
              <w:t>proiectul urmează a fi supus expertizei anticorupție, care va fi efectuată de către Centrul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856A8C">
              <w:rPr>
                <w:rFonts w:ascii="Times New Roman" w:hAnsi="Times New Roman"/>
                <w:sz w:val="28"/>
                <w:szCs w:val="28"/>
                <w:lang w:val="ro-RO"/>
              </w:rPr>
              <w:t>Național Anticorupție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</w:p>
        </w:tc>
      </w:tr>
      <w:tr w:rsidR="00D15876" w:rsidRPr="00D15876" w:rsidTr="00385A33">
        <w:trPr>
          <w:trHeight w:val="451"/>
        </w:trPr>
        <w:tc>
          <w:tcPr>
            <w:tcW w:w="5000" w:type="pct"/>
          </w:tcPr>
          <w:p w:rsidR="00385A33" w:rsidRPr="000F0C1B" w:rsidRDefault="00385A33" w:rsidP="00586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0F0C1B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9. Constatările expertizei de compatibilitate</w:t>
            </w:r>
          </w:p>
        </w:tc>
      </w:tr>
      <w:tr w:rsidR="00D15876" w:rsidRPr="0024525C" w:rsidTr="00385A33">
        <w:trPr>
          <w:trHeight w:val="510"/>
        </w:trPr>
        <w:tc>
          <w:tcPr>
            <w:tcW w:w="5000" w:type="pct"/>
          </w:tcPr>
          <w:p w:rsidR="00B9328A" w:rsidRPr="000F0C1B" w:rsidRDefault="00856A8C" w:rsidP="00856A8C">
            <w:pPr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856A8C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Proiectul va fi transmis pentru examinare și expertizare Centrului de Armonizare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a </w:t>
            </w:r>
            <w:r w:rsidRPr="00856A8C">
              <w:rPr>
                <w:rFonts w:ascii="Times New Roman" w:hAnsi="Times New Roman"/>
                <w:sz w:val="28"/>
                <w:szCs w:val="28"/>
                <w:lang w:val="ro-RO"/>
              </w:rPr>
              <w:t>Legislației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</w:p>
        </w:tc>
      </w:tr>
      <w:tr w:rsidR="00D15876" w:rsidRPr="00D15876" w:rsidTr="00385A33">
        <w:trPr>
          <w:trHeight w:val="510"/>
        </w:trPr>
        <w:tc>
          <w:tcPr>
            <w:tcW w:w="5000" w:type="pct"/>
          </w:tcPr>
          <w:p w:rsidR="00B9328A" w:rsidRPr="000F0C1B" w:rsidRDefault="00B9328A" w:rsidP="00586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0F0C1B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10. Constatările expertizei juridice</w:t>
            </w:r>
          </w:p>
        </w:tc>
      </w:tr>
      <w:tr w:rsidR="00D15876" w:rsidRPr="00E22FC8" w:rsidTr="00385A33">
        <w:trPr>
          <w:trHeight w:val="510"/>
        </w:trPr>
        <w:tc>
          <w:tcPr>
            <w:tcW w:w="5000" w:type="pct"/>
          </w:tcPr>
          <w:p w:rsidR="00856A8C" w:rsidRPr="00856A8C" w:rsidRDefault="00856A8C" w:rsidP="00856A8C">
            <w:pPr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856A8C">
              <w:rPr>
                <w:rFonts w:ascii="Times New Roman" w:hAnsi="Times New Roman"/>
                <w:sz w:val="28"/>
                <w:szCs w:val="28"/>
                <w:lang w:val="ro-RO"/>
              </w:rPr>
              <w:lastRenderedPageBreak/>
              <w:t xml:space="preserve">În temeiul art. 34 </w:t>
            </w:r>
            <w:proofErr w:type="spellStart"/>
            <w:r w:rsidRPr="00856A8C">
              <w:rPr>
                <w:rFonts w:ascii="Times New Roman" w:hAnsi="Times New Roman"/>
                <w:sz w:val="28"/>
                <w:szCs w:val="28"/>
                <w:lang w:val="ro-RO"/>
              </w:rPr>
              <w:t>şi</w:t>
            </w:r>
            <w:proofErr w:type="spellEnd"/>
            <w:r w:rsidRPr="00856A8C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37 din Legea nr. 100/2017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cu privire la actele normative, </w:t>
            </w:r>
            <w:r w:rsidRPr="00856A8C">
              <w:rPr>
                <w:rFonts w:ascii="Times New Roman" w:hAnsi="Times New Roman"/>
                <w:sz w:val="28"/>
                <w:szCs w:val="28"/>
                <w:lang w:val="ro-RO"/>
              </w:rPr>
              <w:t>proiectul urmează a fi supus expertizei juridice, care va fi efectuată de către Ministerul</w:t>
            </w:r>
          </w:p>
          <w:p w:rsidR="00385A33" w:rsidRPr="000F0C1B" w:rsidRDefault="00856A8C" w:rsidP="00856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856A8C">
              <w:rPr>
                <w:rFonts w:ascii="Times New Roman" w:hAnsi="Times New Roman"/>
                <w:sz w:val="28"/>
                <w:szCs w:val="28"/>
                <w:lang w:val="ro-RO"/>
              </w:rPr>
              <w:t>Justiției.</w:t>
            </w:r>
          </w:p>
        </w:tc>
      </w:tr>
      <w:tr w:rsidR="000F0C1B" w:rsidRPr="000F0C1B" w:rsidTr="00385A33">
        <w:trPr>
          <w:trHeight w:val="510"/>
        </w:trPr>
        <w:tc>
          <w:tcPr>
            <w:tcW w:w="5000" w:type="pct"/>
          </w:tcPr>
          <w:p w:rsidR="00B9328A" w:rsidRPr="00DC24AC" w:rsidRDefault="00B9328A" w:rsidP="00586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DC24AC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11. Constatările altor expertize</w:t>
            </w:r>
          </w:p>
        </w:tc>
      </w:tr>
      <w:tr w:rsidR="000F0C1B" w:rsidRPr="0024525C" w:rsidTr="00385A33">
        <w:trPr>
          <w:trHeight w:val="510"/>
        </w:trPr>
        <w:tc>
          <w:tcPr>
            <w:tcW w:w="5000" w:type="pct"/>
          </w:tcPr>
          <w:p w:rsidR="00B9328A" w:rsidRPr="000F0C1B" w:rsidRDefault="005E11F8" w:rsidP="00756D5E">
            <w:pPr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În temeiul art.19 alin. (2) lit. b din</w:t>
            </w:r>
            <w:r w:rsidRPr="005E11F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Legea nr.235/2006 cu privire la principiile de bază de reglementare a activităţii de întreprinzător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, pct. 29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o-RO"/>
              </w:rPr>
              <w:t>subpct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. 2) și pct.34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o-RO"/>
              </w:rPr>
              <w:t>subpct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. 2) lit. b) ale Regulamentului Grupului de lucru al Comisiei de stat pentru reglementarea activității de întreprinzător, aprobat prin Hotărârea Guvernului nr. 1429/2008, Grupul de </w:t>
            </w:r>
            <w:r w:rsidR="00756D5E">
              <w:rPr>
                <w:rFonts w:ascii="Times New Roman" w:hAnsi="Times New Roman"/>
                <w:sz w:val="28"/>
                <w:szCs w:val="28"/>
                <w:lang w:val="ro-RO"/>
              </w:rPr>
              <w:t>lucru, în cadrul ședinței din 12 iulie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2022</w:t>
            </w:r>
            <w:r w:rsidRPr="005E11F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a </w:t>
            </w:r>
            <w:r w:rsidR="00756D5E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susținut condiționat </w:t>
            </w:r>
            <w:r w:rsidRPr="005E11F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Analiza impactului de reglementare efectuată asupra proiectului de </w:t>
            </w:r>
            <w:r w:rsidR="00485919" w:rsidRPr="005E11F8">
              <w:rPr>
                <w:rFonts w:ascii="Times New Roman" w:hAnsi="Times New Roman"/>
                <w:sz w:val="28"/>
                <w:szCs w:val="28"/>
                <w:lang w:val="ro-RO"/>
              </w:rPr>
              <w:t>hotărâre</w:t>
            </w:r>
            <w:r w:rsidRPr="005E11F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a Guvernului cu privire la aprobarea Cerințelor de calitate pentru</w:t>
            </w:r>
            <w:r w:rsidR="00694765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pește și produsele din pește</w:t>
            </w:r>
            <w:r w:rsidRPr="005E11F8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</w:p>
        </w:tc>
      </w:tr>
    </w:tbl>
    <w:p w:rsidR="001923A3" w:rsidRPr="000F0C1B" w:rsidRDefault="001923A3" w:rsidP="00586EA0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1923A3" w:rsidRPr="000F0C1B" w:rsidRDefault="001923A3" w:rsidP="00586EA0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D820A6" w:rsidRDefault="00D820A6" w:rsidP="00D820A6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  <w:r w:rsidRPr="00D820A6">
        <w:rPr>
          <w:rFonts w:ascii="Times New Roman" w:hAnsi="Times New Roman"/>
          <w:b/>
          <w:sz w:val="28"/>
          <w:szCs w:val="28"/>
          <w:lang w:val="ro-RO"/>
        </w:rPr>
        <w:t>Viceprim-ministru,</w:t>
      </w:r>
    </w:p>
    <w:p w:rsidR="00D820A6" w:rsidRPr="00D820A6" w:rsidRDefault="004F63C5" w:rsidP="00D820A6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Ministru</w:t>
      </w:r>
      <w:r w:rsidR="00D820A6">
        <w:rPr>
          <w:rFonts w:ascii="Times New Roman" w:hAnsi="Times New Roman"/>
          <w:b/>
          <w:sz w:val="28"/>
          <w:szCs w:val="28"/>
          <w:lang w:val="ro-RO"/>
        </w:rPr>
        <w:t xml:space="preserve">l </w:t>
      </w:r>
      <w:r>
        <w:rPr>
          <w:rFonts w:ascii="Times New Roman" w:hAnsi="Times New Roman"/>
          <w:b/>
          <w:sz w:val="28"/>
          <w:szCs w:val="28"/>
          <w:lang w:val="ro-RO"/>
        </w:rPr>
        <w:tab/>
      </w:r>
      <w:r w:rsidR="00D820A6" w:rsidRPr="00D820A6">
        <w:rPr>
          <w:rFonts w:ascii="Times New Roman" w:hAnsi="Times New Roman"/>
          <w:b/>
          <w:sz w:val="28"/>
          <w:szCs w:val="28"/>
          <w:lang w:val="ro-RO"/>
        </w:rPr>
        <w:t xml:space="preserve">agriculturii </w:t>
      </w:r>
      <w:proofErr w:type="spellStart"/>
      <w:r w:rsidR="00D820A6" w:rsidRPr="00D820A6">
        <w:rPr>
          <w:rFonts w:ascii="Times New Roman" w:hAnsi="Times New Roman"/>
          <w:b/>
          <w:sz w:val="28"/>
          <w:szCs w:val="28"/>
          <w:lang w:val="ro-RO"/>
        </w:rPr>
        <w:t>şi</w:t>
      </w:r>
      <w:proofErr w:type="spellEnd"/>
      <w:r w:rsidR="00D820A6" w:rsidRPr="00D820A6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</w:p>
    <w:p w:rsidR="004F63C5" w:rsidRDefault="00D820A6" w:rsidP="00D820A6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  <w:r w:rsidRPr="00D820A6">
        <w:rPr>
          <w:rFonts w:ascii="Times New Roman" w:hAnsi="Times New Roman"/>
          <w:b/>
          <w:sz w:val="28"/>
          <w:szCs w:val="28"/>
          <w:lang w:val="ro-RO"/>
        </w:rPr>
        <w:t>industriei alimentare</w:t>
      </w:r>
      <w:r w:rsidR="004F63C5">
        <w:rPr>
          <w:rFonts w:ascii="Times New Roman" w:hAnsi="Times New Roman"/>
          <w:b/>
          <w:sz w:val="28"/>
          <w:szCs w:val="28"/>
          <w:lang w:val="ro-RO"/>
        </w:rPr>
        <w:tab/>
      </w:r>
      <w:r w:rsidR="004F63C5">
        <w:rPr>
          <w:rFonts w:ascii="Times New Roman" w:hAnsi="Times New Roman"/>
          <w:b/>
          <w:sz w:val="28"/>
          <w:szCs w:val="28"/>
          <w:lang w:val="ro-RO"/>
        </w:rPr>
        <w:tab/>
      </w:r>
      <w:r w:rsidR="004F63C5">
        <w:rPr>
          <w:rFonts w:ascii="Times New Roman" w:hAnsi="Times New Roman"/>
          <w:b/>
          <w:sz w:val="28"/>
          <w:szCs w:val="28"/>
          <w:lang w:val="ro-RO"/>
        </w:rPr>
        <w:tab/>
      </w:r>
      <w:r w:rsidR="004F63C5">
        <w:rPr>
          <w:rFonts w:ascii="Times New Roman" w:hAnsi="Times New Roman"/>
          <w:b/>
          <w:sz w:val="28"/>
          <w:szCs w:val="28"/>
          <w:lang w:val="ro-RO"/>
        </w:rPr>
        <w:tab/>
      </w:r>
      <w:r w:rsidR="004F63C5">
        <w:rPr>
          <w:rFonts w:ascii="Times New Roman" w:hAnsi="Times New Roman"/>
          <w:b/>
          <w:sz w:val="28"/>
          <w:szCs w:val="28"/>
          <w:lang w:val="ro-RO"/>
        </w:rPr>
        <w:tab/>
      </w:r>
      <w:r w:rsidR="004F63C5">
        <w:rPr>
          <w:rFonts w:ascii="Times New Roman" w:hAnsi="Times New Roman"/>
          <w:b/>
          <w:sz w:val="28"/>
          <w:szCs w:val="28"/>
          <w:lang w:val="ro-RO"/>
        </w:rPr>
        <w:tab/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856A8C">
        <w:rPr>
          <w:rFonts w:ascii="Times New Roman" w:hAnsi="Times New Roman"/>
          <w:b/>
          <w:sz w:val="28"/>
          <w:szCs w:val="28"/>
          <w:lang w:val="ro-RO"/>
        </w:rPr>
        <w:t xml:space="preserve">     </w:t>
      </w:r>
      <w:r w:rsidR="00485919">
        <w:rPr>
          <w:rFonts w:ascii="Times New Roman" w:hAnsi="Times New Roman"/>
          <w:b/>
          <w:sz w:val="28"/>
          <w:szCs w:val="28"/>
          <w:lang w:val="ro-RO"/>
        </w:rPr>
        <w:t xml:space="preserve">  </w:t>
      </w:r>
      <w:r w:rsidR="00485919">
        <w:rPr>
          <w:rFonts w:ascii="Times New Roman" w:hAnsi="Times New Roman"/>
          <w:b/>
          <w:sz w:val="28"/>
          <w:szCs w:val="28"/>
          <w:lang w:val="ro-RO"/>
        </w:rPr>
        <w:tab/>
      </w:r>
      <w:r w:rsidR="00824B3B" w:rsidRPr="00824B3B">
        <w:rPr>
          <w:rFonts w:ascii="Times New Roman" w:hAnsi="Times New Roman"/>
          <w:b/>
          <w:sz w:val="28"/>
          <w:szCs w:val="28"/>
          <w:lang w:val="ro-RO"/>
        </w:rPr>
        <w:t>Vladimir BOLEA</w:t>
      </w:r>
    </w:p>
    <w:p w:rsidR="004F63C5" w:rsidRPr="00485919" w:rsidRDefault="004F63C5" w:rsidP="00485919">
      <w:pPr>
        <w:spacing w:after="0" w:line="480" w:lineRule="auto"/>
        <w:rPr>
          <w:rFonts w:ascii="Times New Roman" w:hAnsi="Times New Roman"/>
          <w:sz w:val="28"/>
          <w:szCs w:val="28"/>
          <w:lang w:val="ro-RO"/>
        </w:rPr>
      </w:pPr>
    </w:p>
    <w:p w:rsidR="00B275F9" w:rsidRDefault="00B275F9" w:rsidP="00485919">
      <w:pPr>
        <w:tabs>
          <w:tab w:val="left" w:pos="270"/>
        </w:tabs>
        <w:spacing w:after="0" w:line="48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D621D3" w:rsidRPr="004F63C5" w:rsidRDefault="00D621D3" w:rsidP="00586EA0">
      <w:pPr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24B3B" w:rsidRDefault="00824B3B" w:rsidP="00586EA0">
      <w:pPr>
        <w:pStyle w:val="Listparagraf"/>
        <w:tabs>
          <w:tab w:val="left" w:pos="270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24B3B" w:rsidRDefault="00824B3B" w:rsidP="00586EA0">
      <w:pPr>
        <w:pStyle w:val="Listparagraf"/>
        <w:tabs>
          <w:tab w:val="left" w:pos="270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24B3B" w:rsidRDefault="00824B3B" w:rsidP="00586EA0">
      <w:pPr>
        <w:pStyle w:val="Listparagraf"/>
        <w:tabs>
          <w:tab w:val="left" w:pos="270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24B3B" w:rsidRDefault="00824B3B" w:rsidP="00586EA0">
      <w:pPr>
        <w:pStyle w:val="Listparagraf"/>
        <w:tabs>
          <w:tab w:val="left" w:pos="270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24B3B" w:rsidRDefault="00824B3B" w:rsidP="00586EA0">
      <w:pPr>
        <w:pStyle w:val="Listparagraf"/>
        <w:tabs>
          <w:tab w:val="left" w:pos="270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2C3158" w:rsidRPr="00824B3B" w:rsidRDefault="002C3158" w:rsidP="002C3158">
      <w:pPr>
        <w:pStyle w:val="Listparagraf"/>
        <w:tabs>
          <w:tab w:val="left" w:pos="270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</w:p>
    <w:sectPr w:rsidR="002C3158" w:rsidRPr="00824B3B" w:rsidSect="007F1944">
      <w:headerReference w:type="default" r:id="rId8"/>
      <w:footerReference w:type="even" r:id="rId9"/>
      <w:pgSz w:w="11906" w:h="16838"/>
      <w:pgMar w:top="709" w:right="567" w:bottom="117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28D" w:rsidRDefault="005D428D">
      <w:pPr>
        <w:spacing w:after="0" w:line="240" w:lineRule="auto"/>
      </w:pPr>
      <w:r>
        <w:separator/>
      </w:r>
    </w:p>
  </w:endnote>
  <w:endnote w:type="continuationSeparator" w:id="0">
    <w:p w:rsidR="005D428D" w:rsidRDefault="005D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3C6" w:rsidRDefault="00577E46" w:rsidP="00A113C6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A113C6" w:rsidRDefault="00A113C6" w:rsidP="00A113C6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28D" w:rsidRDefault="005D428D">
      <w:pPr>
        <w:spacing w:after="0" w:line="240" w:lineRule="auto"/>
      </w:pPr>
      <w:r>
        <w:separator/>
      </w:r>
    </w:p>
  </w:footnote>
  <w:footnote w:type="continuationSeparator" w:id="0">
    <w:p w:rsidR="005D428D" w:rsidRDefault="005D4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3C6" w:rsidRPr="0019107C" w:rsidRDefault="00A113C6" w:rsidP="00A113C6">
    <w:pPr>
      <w:pStyle w:val="Antet"/>
      <w:jc w:val="right"/>
      <w:rPr>
        <w:rFonts w:ascii="Times New Roman" w:hAnsi="Times New Roman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E7ED2"/>
    <w:multiLevelType w:val="hybridMultilevel"/>
    <w:tmpl w:val="37B227F4"/>
    <w:lvl w:ilvl="0" w:tplc="35821B8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50E78"/>
    <w:multiLevelType w:val="hybridMultilevel"/>
    <w:tmpl w:val="7062F944"/>
    <w:lvl w:ilvl="0" w:tplc="8D2A23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9208B"/>
    <w:multiLevelType w:val="hybridMultilevel"/>
    <w:tmpl w:val="472A9C44"/>
    <w:lvl w:ilvl="0" w:tplc="8D2A23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B4B72"/>
    <w:multiLevelType w:val="hybridMultilevel"/>
    <w:tmpl w:val="330E190A"/>
    <w:lvl w:ilvl="0" w:tplc="8D2A234E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CC0094"/>
    <w:multiLevelType w:val="hybridMultilevel"/>
    <w:tmpl w:val="C5AAA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8271F"/>
    <w:multiLevelType w:val="hybridMultilevel"/>
    <w:tmpl w:val="14BCB9E6"/>
    <w:lvl w:ilvl="0" w:tplc="8D2A234E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7E661A"/>
    <w:multiLevelType w:val="hybridMultilevel"/>
    <w:tmpl w:val="709ED8F2"/>
    <w:lvl w:ilvl="0" w:tplc="E6E20F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02901"/>
    <w:multiLevelType w:val="hybridMultilevel"/>
    <w:tmpl w:val="DCF405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772A5"/>
    <w:multiLevelType w:val="hybridMultilevel"/>
    <w:tmpl w:val="2490F6DA"/>
    <w:lvl w:ilvl="0" w:tplc="75F84784">
      <w:start w:val="1"/>
      <w:numFmt w:val="decimal"/>
      <w:lvlText w:val="%1."/>
      <w:lvlJc w:val="left"/>
      <w:pPr>
        <w:ind w:left="740" w:hanging="360"/>
      </w:pPr>
    </w:lvl>
    <w:lvl w:ilvl="1" w:tplc="04180019" w:tentative="1">
      <w:start w:val="1"/>
      <w:numFmt w:val="lowerLetter"/>
      <w:lvlText w:val="%2."/>
      <w:lvlJc w:val="left"/>
      <w:pPr>
        <w:ind w:left="1460" w:hanging="360"/>
      </w:pPr>
    </w:lvl>
    <w:lvl w:ilvl="2" w:tplc="0418001B" w:tentative="1">
      <w:start w:val="1"/>
      <w:numFmt w:val="lowerRoman"/>
      <w:lvlText w:val="%3."/>
      <w:lvlJc w:val="right"/>
      <w:pPr>
        <w:ind w:left="2180" w:hanging="180"/>
      </w:pPr>
    </w:lvl>
    <w:lvl w:ilvl="3" w:tplc="0418000F" w:tentative="1">
      <w:start w:val="1"/>
      <w:numFmt w:val="decimal"/>
      <w:lvlText w:val="%4."/>
      <w:lvlJc w:val="left"/>
      <w:pPr>
        <w:ind w:left="2900" w:hanging="360"/>
      </w:pPr>
    </w:lvl>
    <w:lvl w:ilvl="4" w:tplc="04180019" w:tentative="1">
      <w:start w:val="1"/>
      <w:numFmt w:val="lowerLetter"/>
      <w:lvlText w:val="%5."/>
      <w:lvlJc w:val="left"/>
      <w:pPr>
        <w:ind w:left="3620" w:hanging="360"/>
      </w:pPr>
    </w:lvl>
    <w:lvl w:ilvl="5" w:tplc="0418001B" w:tentative="1">
      <w:start w:val="1"/>
      <w:numFmt w:val="lowerRoman"/>
      <w:lvlText w:val="%6."/>
      <w:lvlJc w:val="right"/>
      <w:pPr>
        <w:ind w:left="4340" w:hanging="180"/>
      </w:pPr>
    </w:lvl>
    <w:lvl w:ilvl="6" w:tplc="0418000F" w:tentative="1">
      <w:start w:val="1"/>
      <w:numFmt w:val="decimal"/>
      <w:lvlText w:val="%7."/>
      <w:lvlJc w:val="left"/>
      <w:pPr>
        <w:ind w:left="5060" w:hanging="360"/>
      </w:pPr>
    </w:lvl>
    <w:lvl w:ilvl="7" w:tplc="04180019" w:tentative="1">
      <w:start w:val="1"/>
      <w:numFmt w:val="lowerLetter"/>
      <w:lvlText w:val="%8."/>
      <w:lvlJc w:val="left"/>
      <w:pPr>
        <w:ind w:left="5780" w:hanging="360"/>
      </w:pPr>
    </w:lvl>
    <w:lvl w:ilvl="8" w:tplc="0418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>
    <w:nsid w:val="46835AF6"/>
    <w:multiLevelType w:val="hybridMultilevel"/>
    <w:tmpl w:val="D3B44A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F1AAF"/>
    <w:multiLevelType w:val="hybridMultilevel"/>
    <w:tmpl w:val="BC823664"/>
    <w:lvl w:ilvl="0" w:tplc="A4721E02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9504E79"/>
    <w:multiLevelType w:val="hybridMultilevel"/>
    <w:tmpl w:val="C52E1908"/>
    <w:lvl w:ilvl="0" w:tplc="8D2A234E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2">
    <w:nsid w:val="52CC173A"/>
    <w:multiLevelType w:val="hybridMultilevel"/>
    <w:tmpl w:val="9124AE4C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04180019" w:tentative="1">
      <w:start w:val="1"/>
      <w:numFmt w:val="lowerLetter"/>
      <w:lvlText w:val="%2."/>
      <w:lvlJc w:val="left"/>
      <w:pPr>
        <w:ind w:left="1460" w:hanging="360"/>
      </w:pPr>
    </w:lvl>
    <w:lvl w:ilvl="2" w:tplc="0418001B" w:tentative="1">
      <w:start w:val="1"/>
      <w:numFmt w:val="lowerRoman"/>
      <w:lvlText w:val="%3."/>
      <w:lvlJc w:val="right"/>
      <w:pPr>
        <w:ind w:left="2180" w:hanging="180"/>
      </w:pPr>
    </w:lvl>
    <w:lvl w:ilvl="3" w:tplc="0418000F" w:tentative="1">
      <w:start w:val="1"/>
      <w:numFmt w:val="decimal"/>
      <w:lvlText w:val="%4."/>
      <w:lvlJc w:val="left"/>
      <w:pPr>
        <w:ind w:left="2900" w:hanging="360"/>
      </w:pPr>
    </w:lvl>
    <w:lvl w:ilvl="4" w:tplc="04180019" w:tentative="1">
      <w:start w:val="1"/>
      <w:numFmt w:val="lowerLetter"/>
      <w:lvlText w:val="%5."/>
      <w:lvlJc w:val="left"/>
      <w:pPr>
        <w:ind w:left="3620" w:hanging="360"/>
      </w:pPr>
    </w:lvl>
    <w:lvl w:ilvl="5" w:tplc="0418001B" w:tentative="1">
      <w:start w:val="1"/>
      <w:numFmt w:val="lowerRoman"/>
      <w:lvlText w:val="%6."/>
      <w:lvlJc w:val="right"/>
      <w:pPr>
        <w:ind w:left="4340" w:hanging="180"/>
      </w:pPr>
    </w:lvl>
    <w:lvl w:ilvl="6" w:tplc="0418000F" w:tentative="1">
      <w:start w:val="1"/>
      <w:numFmt w:val="decimal"/>
      <w:lvlText w:val="%7."/>
      <w:lvlJc w:val="left"/>
      <w:pPr>
        <w:ind w:left="5060" w:hanging="360"/>
      </w:pPr>
    </w:lvl>
    <w:lvl w:ilvl="7" w:tplc="04180019" w:tentative="1">
      <w:start w:val="1"/>
      <w:numFmt w:val="lowerLetter"/>
      <w:lvlText w:val="%8."/>
      <w:lvlJc w:val="left"/>
      <w:pPr>
        <w:ind w:left="5780" w:hanging="360"/>
      </w:pPr>
    </w:lvl>
    <w:lvl w:ilvl="8" w:tplc="0418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3">
    <w:nsid w:val="58AB5685"/>
    <w:multiLevelType w:val="hybridMultilevel"/>
    <w:tmpl w:val="2490F6DA"/>
    <w:lvl w:ilvl="0" w:tplc="75F84784">
      <w:start w:val="1"/>
      <w:numFmt w:val="decimal"/>
      <w:lvlText w:val="%1."/>
      <w:lvlJc w:val="left"/>
      <w:pPr>
        <w:ind w:left="740" w:hanging="360"/>
      </w:pPr>
    </w:lvl>
    <w:lvl w:ilvl="1" w:tplc="04180019" w:tentative="1">
      <w:start w:val="1"/>
      <w:numFmt w:val="lowerLetter"/>
      <w:lvlText w:val="%2."/>
      <w:lvlJc w:val="left"/>
      <w:pPr>
        <w:ind w:left="1460" w:hanging="360"/>
      </w:pPr>
    </w:lvl>
    <w:lvl w:ilvl="2" w:tplc="0418001B" w:tentative="1">
      <w:start w:val="1"/>
      <w:numFmt w:val="lowerRoman"/>
      <w:lvlText w:val="%3."/>
      <w:lvlJc w:val="right"/>
      <w:pPr>
        <w:ind w:left="2180" w:hanging="180"/>
      </w:pPr>
    </w:lvl>
    <w:lvl w:ilvl="3" w:tplc="0418000F" w:tentative="1">
      <w:start w:val="1"/>
      <w:numFmt w:val="decimal"/>
      <w:lvlText w:val="%4."/>
      <w:lvlJc w:val="left"/>
      <w:pPr>
        <w:ind w:left="2900" w:hanging="360"/>
      </w:pPr>
    </w:lvl>
    <w:lvl w:ilvl="4" w:tplc="04180019" w:tentative="1">
      <w:start w:val="1"/>
      <w:numFmt w:val="lowerLetter"/>
      <w:lvlText w:val="%5."/>
      <w:lvlJc w:val="left"/>
      <w:pPr>
        <w:ind w:left="3620" w:hanging="360"/>
      </w:pPr>
    </w:lvl>
    <w:lvl w:ilvl="5" w:tplc="0418001B" w:tentative="1">
      <w:start w:val="1"/>
      <w:numFmt w:val="lowerRoman"/>
      <w:lvlText w:val="%6."/>
      <w:lvlJc w:val="right"/>
      <w:pPr>
        <w:ind w:left="4340" w:hanging="180"/>
      </w:pPr>
    </w:lvl>
    <w:lvl w:ilvl="6" w:tplc="0418000F" w:tentative="1">
      <w:start w:val="1"/>
      <w:numFmt w:val="decimal"/>
      <w:lvlText w:val="%7."/>
      <w:lvlJc w:val="left"/>
      <w:pPr>
        <w:ind w:left="5060" w:hanging="360"/>
      </w:pPr>
    </w:lvl>
    <w:lvl w:ilvl="7" w:tplc="04180019" w:tentative="1">
      <w:start w:val="1"/>
      <w:numFmt w:val="lowerLetter"/>
      <w:lvlText w:val="%8."/>
      <w:lvlJc w:val="left"/>
      <w:pPr>
        <w:ind w:left="5780" w:hanging="360"/>
      </w:pPr>
    </w:lvl>
    <w:lvl w:ilvl="8" w:tplc="0418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>
    <w:nsid w:val="62580F24"/>
    <w:multiLevelType w:val="hybridMultilevel"/>
    <w:tmpl w:val="FD72B5AC"/>
    <w:lvl w:ilvl="0" w:tplc="8D2A23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865CE7"/>
    <w:multiLevelType w:val="hybridMultilevel"/>
    <w:tmpl w:val="B76EAC3E"/>
    <w:lvl w:ilvl="0" w:tplc="5060E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AF5CBA"/>
    <w:multiLevelType w:val="hybridMultilevel"/>
    <w:tmpl w:val="22EAE316"/>
    <w:lvl w:ilvl="0" w:tplc="8D2A234E">
      <w:start w:val="5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F3056D8"/>
    <w:multiLevelType w:val="hybridMultilevel"/>
    <w:tmpl w:val="DEFADA58"/>
    <w:lvl w:ilvl="0" w:tplc="8D2A23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F90278"/>
    <w:multiLevelType w:val="hybridMultilevel"/>
    <w:tmpl w:val="E440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18"/>
  </w:num>
  <w:num w:numId="5">
    <w:abstractNumId w:val="2"/>
  </w:num>
  <w:num w:numId="6">
    <w:abstractNumId w:val="1"/>
  </w:num>
  <w:num w:numId="7">
    <w:abstractNumId w:val="3"/>
  </w:num>
  <w:num w:numId="8">
    <w:abstractNumId w:val="9"/>
  </w:num>
  <w:num w:numId="9">
    <w:abstractNumId w:val="15"/>
  </w:num>
  <w:num w:numId="10">
    <w:abstractNumId w:val="11"/>
  </w:num>
  <w:num w:numId="11">
    <w:abstractNumId w:val="14"/>
  </w:num>
  <w:num w:numId="12">
    <w:abstractNumId w:val="19"/>
  </w:num>
  <w:num w:numId="13">
    <w:abstractNumId w:val="13"/>
  </w:num>
  <w:num w:numId="14">
    <w:abstractNumId w:val="12"/>
  </w:num>
  <w:num w:numId="15">
    <w:abstractNumId w:val="8"/>
  </w:num>
  <w:num w:numId="16">
    <w:abstractNumId w:val="6"/>
  </w:num>
  <w:num w:numId="17">
    <w:abstractNumId w:val="10"/>
  </w:num>
  <w:num w:numId="18">
    <w:abstractNumId w:val="7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56"/>
    <w:rsid w:val="00017662"/>
    <w:rsid w:val="00020DBD"/>
    <w:rsid w:val="00025FF6"/>
    <w:rsid w:val="00034C60"/>
    <w:rsid w:val="0005049F"/>
    <w:rsid w:val="00071AB5"/>
    <w:rsid w:val="000760F5"/>
    <w:rsid w:val="000778E7"/>
    <w:rsid w:val="00084719"/>
    <w:rsid w:val="0009260F"/>
    <w:rsid w:val="00092D3A"/>
    <w:rsid w:val="000B042E"/>
    <w:rsid w:val="000B04DF"/>
    <w:rsid w:val="000B3E58"/>
    <w:rsid w:val="000B4E44"/>
    <w:rsid w:val="000C0FFE"/>
    <w:rsid w:val="000F0C1B"/>
    <w:rsid w:val="001037A1"/>
    <w:rsid w:val="00103925"/>
    <w:rsid w:val="0013090F"/>
    <w:rsid w:val="00134F50"/>
    <w:rsid w:val="00156443"/>
    <w:rsid w:val="00187808"/>
    <w:rsid w:val="001923A3"/>
    <w:rsid w:val="001A1B96"/>
    <w:rsid w:val="001B3924"/>
    <w:rsid w:val="001C200B"/>
    <w:rsid w:val="001C7E31"/>
    <w:rsid w:val="001D324B"/>
    <w:rsid w:val="001D4AD1"/>
    <w:rsid w:val="001E48C4"/>
    <w:rsid w:val="001F0898"/>
    <w:rsid w:val="00205EB6"/>
    <w:rsid w:val="002123BE"/>
    <w:rsid w:val="0024525C"/>
    <w:rsid w:val="00245CC8"/>
    <w:rsid w:val="00255DAB"/>
    <w:rsid w:val="0026453A"/>
    <w:rsid w:val="00280BAC"/>
    <w:rsid w:val="002812DC"/>
    <w:rsid w:val="00283842"/>
    <w:rsid w:val="0029399D"/>
    <w:rsid w:val="002A0C7E"/>
    <w:rsid w:val="002A2E8D"/>
    <w:rsid w:val="002B6DA3"/>
    <w:rsid w:val="002C2171"/>
    <w:rsid w:val="002C3158"/>
    <w:rsid w:val="002C35CB"/>
    <w:rsid w:val="002D3550"/>
    <w:rsid w:val="002F0974"/>
    <w:rsid w:val="002F0C5F"/>
    <w:rsid w:val="00301E80"/>
    <w:rsid w:val="00307B7E"/>
    <w:rsid w:val="003167DC"/>
    <w:rsid w:val="0032217A"/>
    <w:rsid w:val="003254BB"/>
    <w:rsid w:val="00346330"/>
    <w:rsid w:val="003554A9"/>
    <w:rsid w:val="003633C3"/>
    <w:rsid w:val="0037374E"/>
    <w:rsid w:val="00376F94"/>
    <w:rsid w:val="003778D7"/>
    <w:rsid w:val="00385A33"/>
    <w:rsid w:val="003A3CBF"/>
    <w:rsid w:val="003A76A8"/>
    <w:rsid w:val="003B76DD"/>
    <w:rsid w:val="003C0D6A"/>
    <w:rsid w:val="003C1329"/>
    <w:rsid w:val="00412EA2"/>
    <w:rsid w:val="00416348"/>
    <w:rsid w:val="00422600"/>
    <w:rsid w:val="00423533"/>
    <w:rsid w:val="0042734A"/>
    <w:rsid w:val="004417B9"/>
    <w:rsid w:val="0044246C"/>
    <w:rsid w:val="004454B5"/>
    <w:rsid w:val="00447EE0"/>
    <w:rsid w:val="004564EA"/>
    <w:rsid w:val="004707F0"/>
    <w:rsid w:val="00470EE0"/>
    <w:rsid w:val="00481E20"/>
    <w:rsid w:val="00484331"/>
    <w:rsid w:val="004858E4"/>
    <w:rsid w:val="00485919"/>
    <w:rsid w:val="00486F1C"/>
    <w:rsid w:val="004874F3"/>
    <w:rsid w:val="004933F8"/>
    <w:rsid w:val="004A3BE0"/>
    <w:rsid w:val="004C25C4"/>
    <w:rsid w:val="004C5413"/>
    <w:rsid w:val="004E405D"/>
    <w:rsid w:val="004E4BBB"/>
    <w:rsid w:val="004F0055"/>
    <w:rsid w:val="004F1E46"/>
    <w:rsid w:val="004F37C0"/>
    <w:rsid w:val="004F4F7E"/>
    <w:rsid w:val="004F63C5"/>
    <w:rsid w:val="00500F39"/>
    <w:rsid w:val="00503306"/>
    <w:rsid w:val="00507D2A"/>
    <w:rsid w:val="0051459C"/>
    <w:rsid w:val="00516CF0"/>
    <w:rsid w:val="0052557A"/>
    <w:rsid w:val="00526857"/>
    <w:rsid w:val="00540D2E"/>
    <w:rsid w:val="00550745"/>
    <w:rsid w:val="00552AE5"/>
    <w:rsid w:val="005563A3"/>
    <w:rsid w:val="00571B7F"/>
    <w:rsid w:val="0057514D"/>
    <w:rsid w:val="005779C3"/>
    <w:rsid w:val="00577E46"/>
    <w:rsid w:val="00586EA0"/>
    <w:rsid w:val="00594C68"/>
    <w:rsid w:val="005A0129"/>
    <w:rsid w:val="005B1E0D"/>
    <w:rsid w:val="005B3E4F"/>
    <w:rsid w:val="005C34FA"/>
    <w:rsid w:val="005D428D"/>
    <w:rsid w:val="005E11F8"/>
    <w:rsid w:val="005F2E6D"/>
    <w:rsid w:val="005F3AF2"/>
    <w:rsid w:val="0061333B"/>
    <w:rsid w:val="006175B9"/>
    <w:rsid w:val="0061773C"/>
    <w:rsid w:val="00620A97"/>
    <w:rsid w:val="00635D74"/>
    <w:rsid w:val="00644F16"/>
    <w:rsid w:val="006539AD"/>
    <w:rsid w:val="00655948"/>
    <w:rsid w:val="00667F8A"/>
    <w:rsid w:val="00671756"/>
    <w:rsid w:val="00672F59"/>
    <w:rsid w:val="00676A5E"/>
    <w:rsid w:val="006832DF"/>
    <w:rsid w:val="0068331A"/>
    <w:rsid w:val="00693458"/>
    <w:rsid w:val="00694765"/>
    <w:rsid w:val="006B23DF"/>
    <w:rsid w:val="006D3286"/>
    <w:rsid w:val="006D5929"/>
    <w:rsid w:val="006D7D75"/>
    <w:rsid w:val="0070524F"/>
    <w:rsid w:val="007161AD"/>
    <w:rsid w:val="00717415"/>
    <w:rsid w:val="0072387F"/>
    <w:rsid w:val="00745B6C"/>
    <w:rsid w:val="00747E3A"/>
    <w:rsid w:val="00756D5E"/>
    <w:rsid w:val="00762079"/>
    <w:rsid w:val="00762766"/>
    <w:rsid w:val="00770D80"/>
    <w:rsid w:val="00774567"/>
    <w:rsid w:val="007801FD"/>
    <w:rsid w:val="0078590F"/>
    <w:rsid w:val="007C2D1D"/>
    <w:rsid w:val="007D6D11"/>
    <w:rsid w:val="007E10A8"/>
    <w:rsid w:val="007F1944"/>
    <w:rsid w:val="00802359"/>
    <w:rsid w:val="008125AA"/>
    <w:rsid w:val="008142FD"/>
    <w:rsid w:val="00824B3B"/>
    <w:rsid w:val="00826FBC"/>
    <w:rsid w:val="00833E87"/>
    <w:rsid w:val="00840122"/>
    <w:rsid w:val="00846277"/>
    <w:rsid w:val="00846AB0"/>
    <w:rsid w:val="008536AD"/>
    <w:rsid w:val="00856A8C"/>
    <w:rsid w:val="00861A16"/>
    <w:rsid w:val="00861CBE"/>
    <w:rsid w:val="00881979"/>
    <w:rsid w:val="008825E1"/>
    <w:rsid w:val="00897A0B"/>
    <w:rsid w:val="008A42B3"/>
    <w:rsid w:val="008A5A32"/>
    <w:rsid w:val="008A5F53"/>
    <w:rsid w:val="008A66E4"/>
    <w:rsid w:val="008C521E"/>
    <w:rsid w:val="008D0104"/>
    <w:rsid w:val="008D29B1"/>
    <w:rsid w:val="008E118D"/>
    <w:rsid w:val="008F3B48"/>
    <w:rsid w:val="008F4F6A"/>
    <w:rsid w:val="00911446"/>
    <w:rsid w:val="00923189"/>
    <w:rsid w:val="009241F1"/>
    <w:rsid w:val="009247F6"/>
    <w:rsid w:val="00931A13"/>
    <w:rsid w:val="00931B17"/>
    <w:rsid w:val="00935DBF"/>
    <w:rsid w:val="00943ADF"/>
    <w:rsid w:val="009441AD"/>
    <w:rsid w:val="009458F7"/>
    <w:rsid w:val="00957954"/>
    <w:rsid w:val="009651CC"/>
    <w:rsid w:val="00970A8F"/>
    <w:rsid w:val="00985ED8"/>
    <w:rsid w:val="00991235"/>
    <w:rsid w:val="009964FC"/>
    <w:rsid w:val="009B2946"/>
    <w:rsid w:val="009B4AFC"/>
    <w:rsid w:val="009B72C4"/>
    <w:rsid w:val="009D0459"/>
    <w:rsid w:val="009D670B"/>
    <w:rsid w:val="009D7772"/>
    <w:rsid w:val="009D7BA6"/>
    <w:rsid w:val="009E0094"/>
    <w:rsid w:val="009E0B59"/>
    <w:rsid w:val="009F0628"/>
    <w:rsid w:val="00A0377B"/>
    <w:rsid w:val="00A113C6"/>
    <w:rsid w:val="00A1258C"/>
    <w:rsid w:val="00A127E0"/>
    <w:rsid w:val="00A14ECD"/>
    <w:rsid w:val="00A25A92"/>
    <w:rsid w:val="00A4326A"/>
    <w:rsid w:val="00A52280"/>
    <w:rsid w:val="00A62475"/>
    <w:rsid w:val="00A64B85"/>
    <w:rsid w:val="00A64D1C"/>
    <w:rsid w:val="00A65EDF"/>
    <w:rsid w:val="00A71002"/>
    <w:rsid w:val="00A96CDC"/>
    <w:rsid w:val="00AA1234"/>
    <w:rsid w:val="00AA4D05"/>
    <w:rsid w:val="00AD1995"/>
    <w:rsid w:val="00AE0E31"/>
    <w:rsid w:val="00AF06D0"/>
    <w:rsid w:val="00B02877"/>
    <w:rsid w:val="00B05324"/>
    <w:rsid w:val="00B150E4"/>
    <w:rsid w:val="00B15774"/>
    <w:rsid w:val="00B23AB9"/>
    <w:rsid w:val="00B23D3B"/>
    <w:rsid w:val="00B275F9"/>
    <w:rsid w:val="00B30455"/>
    <w:rsid w:val="00B33105"/>
    <w:rsid w:val="00B80F00"/>
    <w:rsid w:val="00B92D0A"/>
    <w:rsid w:val="00B9328A"/>
    <w:rsid w:val="00BA1647"/>
    <w:rsid w:val="00BA78D4"/>
    <w:rsid w:val="00BB6164"/>
    <w:rsid w:val="00BD25E8"/>
    <w:rsid w:val="00BF446A"/>
    <w:rsid w:val="00BF51BC"/>
    <w:rsid w:val="00BF73F6"/>
    <w:rsid w:val="00C1087F"/>
    <w:rsid w:val="00C134B0"/>
    <w:rsid w:val="00C20827"/>
    <w:rsid w:val="00C318D1"/>
    <w:rsid w:val="00C434C0"/>
    <w:rsid w:val="00C520C1"/>
    <w:rsid w:val="00C528D7"/>
    <w:rsid w:val="00C57689"/>
    <w:rsid w:val="00C624DD"/>
    <w:rsid w:val="00C72408"/>
    <w:rsid w:val="00C802AD"/>
    <w:rsid w:val="00C86F14"/>
    <w:rsid w:val="00C92153"/>
    <w:rsid w:val="00C943A7"/>
    <w:rsid w:val="00C9553A"/>
    <w:rsid w:val="00CA06F0"/>
    <w:rsid w:val="00CA2FDC"/>
    <w:rsid w:val="00CB075D"/>
    <w:rsid w:val="00CC37A2"/>
    <w:rsid w:val="00CE1FAF"/>
    <w:rsid w:val="00CE2257"/>
    <w:rsid w:val="00CE251C"/>
    <w:rsid w:val="00CF4B17"/>
    <w:rsid w:val="00CF613A"/>
    <w:rsid w:val="00CF7E6A"/>
    <w:rsid w:val="00D12FB9"/>
    <w:rsid w:val="00D14CF9"/>
    <w:rsid w:val="00D15876"/>
    <w:rsid w:val="00D4054B"/>
    <w:rsid w:val="00D621D3"/>
    <w:rsid w:val="00D629B5"/>
    <w:rsid w:val="00D71025"/>
    <w:rsid w:val="00D72475"/>
    <w:rsid w:val="00D7783D"/>
    <w:rsid w:val="00D820A6"/>
    <w:rsid w:val="00D858FD"/>
    <w:rsid w:val="00D905E9"/>
    <w:rsid w:val="00D911E1"/>
    <w:rsid w:val="00DB34B4"/>
    <w:rsid w:val="00DC24AC"/>
    <w:rsid w:val="00DC35C6"/>
    <w:rsid w:val="00DD56A4"/>
    <w:rsid w:val="00DD74F2"/>
    <w:rsid w:val="00E02468"/>
    <w:rsid w:val="00E14A1B"/>
    <w:rsid w:val="00E22FC8"/>
    <w:rsid w:val="00E40E7E"/>
    <w:rsid w:val="00E569C5"/>
    <w:rsid w:val="00E82DAC"/>
    <w:rsid w:val="00EA4A3C"/>
    <w:rsid w:val="00EB02E8"/>
    <w:rsid w:val="00EB60A4"/>
    <w:rsid w:val="00EC2F73"/>
    <w:rsid w:val="00EC625F"/>
    <w:rsid w:val="00ED2480"/>
    <w:rsid w:val="00EE1C0D"/>
    <w:rsid w:val="00EE5133"/>
    <w:rsid w:val="00EE62EE"/>
    <w:rsid w:val="00EF1154"/>
    <w:rsid w:val="00EF5386"/>
    <w:rsid w:val="00F101FF"/>
    <w:rsid w:val="00F24D24"/>
    <w:rsid w:val="00F33FE8"/>
    <w:rsid w:val="00F3573A"/>
    <w:rsid w:val="00F36894"/>
    <w:rsid w:val="00F37ECA"/>
    <w:rsid w:val="00F43670"/>
    <w:rsid w:val="00F46EE8"/>
    <w:rsid w:val="00F547DD"/>
    <w:rsid w:val="00F6289B"/>
    <w:rsid w:val="00FB4AD8"/>
    <w:rsid w:val="00FB6E47"/>
    <w:rsid w:val="00FB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C5C22-34A9-495D-A9C1-E39D6EE3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756"/>
    <w:pPr>
      <w:spacing w:after="200" w:line="276" w:lineRule="auto"/>
    </w:pPr>
    <w:rPr>
      <w:rFonts w:ascii="Calibri" w:eastAsia="Calibri" w:hAnsi="Calibri" w:cs="Times New Roman"/>
      <w:lang w:val="ru-RU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671756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ntetCaracter">
    <w:name w:val="Antet Caracter"/>
    <w:basedOn w:val="Fontdeparagrafimplicit"/>
    <w:link w:val="Antet"/>
    <w:rsid w:val="00671756"/>
    <w:rPr>
      <w:rFonts w:ascii="Calibri" w:eastAsia="Times New Roman" w:hAnsi="Calibri" w:cs="Times New Roman"/>
      <w:lang w:val="ru-RU" w:eastAsia="ru-RU"/>
    </w:rPr>
  </w:style>
  <w:style w:type="paragraph" w:styleId="Subsol">
    <w:name w:val="footer"/>
    <w:basedOn w:val="Normal"/>
    <w:link w:val="SubsolCaracter"/>
    <w:rsid w:val="00671756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SubsolCaracter">
    <w:name w:val="Subsol Caracter"/>
    <w:basedOn w:val="Fontdeparagrafimplicit"/>
    <w:link w:val="Subsol"/>
    <w:rsid w:val="00671756"/>
    <w:rPr>
      <w:rFonts w:ascii="Calibri" w:eastAsia="Times New Roman" w:hAnsi="Calibri" w:cs="Times New Roman"/>
      <w:lang w:val="ru-RU" w:eastAsia="ru-RU"/>
    </w:rPr>
  </w:style>
  <w:style w:type="character" w:styleId="Numrdepagin">
    <w:name w:val="page number"/>
    <w:basedOn w:val="Fontdeparagrafimplicit"/>
    <w:rsid w:val="00671756"/>
    <w:rPr>
      <w:rFonts w:cs="Times New Roman"/>
    </w:rPr>
  </w:style>
  <w:style w:type="paragraph" w:styleId="Listparagraf">
    <w:name w:val="List Paragraph"/>
    <w:basedOn w:val="Normal"/>
    <w:uiPriority w:val="34"/>
    <w:qFormat/>
    <w:rsid w:val="002C315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Fontdeparagrafimplicit"/>
    <w:uiPriority w:val="99"/>
    <w:unhideWhenUsed/>
    <w:rsid w:val="002C3158"/>
    <w:rPr>
      <w:color w:val="0563C1" w:themeColor="hyperlink"/>
      <w:u w:val="single"/>
    </w:rPr>
  </w:style>
  <w:style w:type="character" w:customStyle="1" w:styleId="a">
    <w:name w:val="Основной текст_"/>
    <w:basedOn w:val="Fontdeparagrafimplicit"/>
    <w:link w:val="1"/>
    <w:rsid w:val="00A127E0"/>
    <w:rPr>
      <w:rFonts w:ascii="Batang" w:eastAsia="Batang" w:hAnsi="Batang" w:cs="Batang"/>
      <w:spacing w:val="4"/>
      <w:sz w:val="14"/>
      <w:szCs w:val="14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A127E0"/>
    <w:pPr>
      <w:shd w:val="clear" w:color="auto" w:fill="FFFFFF"/>
      <w:spacing w:after="0" w:line="0" w:lineRule="atLeast"/>
    </w:pPr>
    <w:rPr>
      <w:rFonts w:ascii="Batang" w:eastAsia="Batang" w:hAnsi="Batang" w:cs="Batang"/>
      <w:spacing w:val="4"/>
      <w:sz w:val="14"/>
      <w:szCs w:val="14"/>
      <w:lang w:val="en-US" w:eastAsia="en-US"/>
    </w:rPr>
  </w:style>
  <w:style w:type="character" w:customStyle="1" w:styleId="1pt">
    <w:name w:val="Основной текст + Интервал 1 pt"/>
    <w:basedOn w:val="a"/>
    <w:rsid w:val="00931A13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1"/>
      <w:sz w:val="14"/>
      <w:szCs w:val="14"/>
      <w:shd w:val="clear" w:color="auto" w:fill="FFFFFF"/>
    </w:rPr>
  </w:style>
  <w:style w:type="character" w:customStyle="1" w:styleId="a0">
    <w:name w:val="???????? ?????_"/>
    <w:basedOn w:val="Fontdeparagrafimplicit"/>
    <w:link w:val="a1"/>
    <w:uiPriority w:val="99"/>
    <w:rsid w:val="00931A13"/>
    <w:rPr>
      <w:rFonts w:ascii="Batang" w:eastAsia="Batang" w:cs="Batang"/>
      <w:spacing w:val="4"/>
      <w:sz w:val="14"/>
      <w:szCs w:val="14"/>
      <w:shd w:val="clear" w:color="auto" w:fill="FFFFFF"/>
    </w:rPr>
  </w:style>
  <w:style w:type="paragraph" w:customStyle="1" w:styleId="a1">
    <w:name w:val="???????? ?????"/>
    <w:basedOn w:val="Normal"/>
    <w:link w:val="a0"/>
    <w:uiPriority w:val="99"/>
    <w:rsid w:val="00931A13"/>
    <w:pPr>
      <w:shd w:val="clear" w:color="auto" w:fill="FFFFFF"/>
      <w:spacing w:after="0" w:line="240" w:lineRule="atLeast"/>
    </w:pPr>
    <w:rPr>
      <w:rFonts w:ascii="Batang" w:eastAsia="Batang" w:hAnsiTheme="minorHAnsi" w:cs="Batang"/>
      <w:spacing w:val="4"/>
      <w:sz w:val="14"/>
      <w:szCs w:val="14"/>
      <w:lang w:val="en-US" w:eastAsia="en-US"/>
    </w:rPr>
  </w:style>
  <w:style w:type="table" w:styleId="Tabelgril">
    <w:name w:val="Table Grid"/>
    <w:basedOn w:val="TabelNormal"/>
    <w:uiPriority w:val="39"/>
    <w:rsid w:val="00EE5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EE5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E5133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rticip.gov.md/ro/document/stages/anunt-privind-initierea-elaborarii-proiectului-hotaririi-guvernului-cu-privire-la-aprobarea-cerintelor-de-calitate-pentru-peste-si-produsele-din-peste/92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1506</Words>
  <Characters>8739</Characters>
  <Application>Microsoft Office Word</Application>
  <DocSecurity>0</DocSecurity>
  <Lines>72</Lines>
  <Paragraphs>20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Viorica ȚURCANU</cp:lastModifiedBy>
  <cp:revision>6</cp:revision>
  <cp:lastPrinted>2023-03-30T12:19:00Z</cp:lastPrinted>
  <dcterms:created xsi:type="dcterms:W3CDTF">2023-03-30T11:52:00Z</dcterms:created>
  <dcterms:modified xsi:type="dcterms:W3CDTF">2023-03-30T13:45:00Z</dcterms:modified>
</cp:coreProperties>
</file>