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C4" w:rsidRPr="00364430" w:rsidRDefault="009247C4" w:rsidP="009247C4">
      <w:pPr>
        <w:spacing w:after="0" w:line="240" w:lineRule="auto"/>
        <w:ind w:firstLine="720"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bookmarkStart w:id="0" w:name="_GoBack"/>
      <w:bookmarkEnd w:id="0"/>
      <w:r w:rsidRPr="0036443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NOTA INFORMATIVĂ</w:t>
      </w:r>
    </w:p>
    <w:p w:rsidR="00E50C07" w:rsidRPr="00364430" w:rsidRDefault="00E50C07" w:rsidP="003436B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9247C4" w:rsidRPr="00364430" w:rsidRDefault="009247C4" w:rsidP="003436B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36443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la proiectul Hotărârii Guvernului cu privire la modificarea Hotărârii Guvernului nr.1231/2018 pentru punerea în aplicare a prevederilor Legii nr. 270/2018 privind sistemul unitar de salarizare în sectorul bugetar</w:t>
      </w:r>
    </w:p>
    <w:p w:rsidR="006873EF" w:rsidRPr="00364430" w:rsidRDefault="006873EF" w:rsidP="00081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tbl>
      <w:tblPr>
        <w:tblW w:w="4941" w:type="pct"/>
        <w:tblLook w:val="04A0" w:firstRow="1" w:lastRow="0" w:firstColumn="1" w:lastColumn="0" w:noHBand="0" w:noVBand="1"/>
      </w:tblPr>
      <w:tblGrid>
        <w:gridCol w:w="10042"/>
      </w:tblGrid>
      <w:tr w:rsidR="009247C4" w:rsidRPr="00364430" w:rsidTr="009247C4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:rsidR="009247C4" w:rsidRPr="00364430" w:rsidRDefault="009247C4" w:rsidP="003436B5">
            <w:pPr>
              <w:numPr>
                <w:ilvl w:val="0"/>
                <w:numId w:val="27"/>
              </w:numPr>
              <w:spacing w:after="120" w:line="240" w:lineRule="auto"/>
              <w:ind w:left="0" w:firstLine="89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Denumirea autorului și, după caz, a participanților la elaborarea proiectului</w:t>
            </w:r>
          </w:p>
        </w:tc>
      </w:tr>
      <w:tr w:rsidR="009247C4" w:rsidRPr="00364430" w:rsidTr="009247C4">
        <w:trPr>
          <w:trHeight w:val="428"/>
        </w:trPr>
        <w:tc>
          <w:tcPr>
            <w:tcW w:w="5000" w:type="pct"/>
            <w:hideMark/>
          </w:tcPr>
          <w:p w:rsidR="009247C4" w:rsidRPr="00364430" w:rsidRDefault="009247C4" w:rsidP="003436B5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Autorul proiectului este Ministerul </w:t>
            </w:r>
            <w:r w:rsidRPr="00364430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Finanțelor, care este desemnat responsabil de politica în domeniul salarizării în sectorul bugetar. </w:t>
            </w:r>
          </w:p>
        </w:tc>
      </w:tr>
      <w:tr w:rsidR="009247C4" w:rsidRPr="00364430" w:rsidTr="009247C4">
        <w:tc>
          <w:tcPr>
            <w:tcW w:w="5000" w:type="pct"/>
            <w:shd w:val="clear" w:color="auto" w:fill="D9D9D9"/>
            <w:hideMark/>
          </w:tcPr>
          <w:p w:rsidR="009247C4" w:rsidRPr="00364430" w:rsidRDefault="009247C4" w:rsidP="003436B5">
            <w:pPr>
              <w:numPr>
                <w:ilvl w:val="0"/>
                <w:numId w:val="27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Condițiile ce au impus elaborarea proiectului de act normativ și finalitățile urmărite</w:t>
            </w:r>
          </w:p>
        </w:tc>
      </w:tr>
      <w:tr w:rsidR="009247C4" w:rsidRPr="00364430" w:rsidTr="00F7744F">
        <w:trPr>
          <w:trHeight w:val="1418"/>
        </w:trPr>
        <w:tc>
          <w:tcPr>
            <w:tcW w:w="5000" w:type="pct"/>
          </w:tcPr>
          <w:p w:rsidR="009247C4" w:rsidRPr="009C4834" w:rsidRDefault="009247C4" w:rsidP="009C4834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Proiectul de hotărâre vizează modificarea Hotărârii Guvernului nr.1231/2018 pentru punerea în aplicare a Legii nr. 270/2018 privind sistemul unitar de salarizare în sectorul bugetar și este elaborat</w:t>
            </w:r>
            <w:r w:rsidR="00C81C19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, ca măsură de susținere a salariaților cu venituri mici prin majorarea </w:t>
            </w:r>
            <w:r w:rsidR="005E7C88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plății compensatorii</w:t>
            </w:r>
            <w:r w:rsidR="00C81C19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de la 3</w:t>
            </w:r>
            <w:r w:rsidR="00EB1A5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500</w:t>
            </w:r>
            <w:r w:rsidR="00C81C19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la </w:t>
            </w:r>
            <w:r w:rsidR="00EB1A52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4000</w:t>
            </w:r>
            <w:r w:rsidR="00C81C19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lei, în contextul aprobării </w:t>
            </w:r>
            <w:r w:rsidR="009C4834" w:rsidRPr="009C4834">
              <w:rPr>
                <w:rFonts w:ascii="Times New Roman" w:eastAsia="Calibri" w:hAnsi="Times New Roman" w:cs="Times New Roman"/>
                <w:sz w:val="28"/>
                <w:szCs w:val="28"/>
              </w:rPr>
              <w:t>prin Hotărârea Guvernului nr.854 din 07 decembrie 2022 pentru modificarea punctului 1 din Hotărârea Guvernului nr.670/2022 privind stabilirea cuantumului salariului minim pe ţară, începând cu 1 ianuarie 2023</w:t>
            </w:r>
            <w:r w:rsidR="009C483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247C4" w:rsidRPr="00364430" w:rsidTr="009247C4">
        <w:tc>
          <w:tcPr>
            <w:tcW w:w="5000" w:type="pct"/>
            <w:shd w:val="clear" w:color="auto" w:fill="D9D9D9"/>
          </w:tcPr>
          <w:p w:rsidR="009247C4" w:rsidRPr="00364430" w:rsidRDefault="009247C4" w:rsidP="003436B5">
            <w:pPr>
              <w:numPr>
                <w:ilvl w:val="0"/>
                <w:numId w:val="27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9247C4" w:rsidRPr="00364430" w:rsidTr="009247C4">
        <w:tc>
          <w:tcPr>
            <w:tcW w:w="5000" w:type="pct"/>
            <w:shd w:val="clear" w:color="auto" w:fill="auto"/>
          </w:tcPr>
          <w:p w:rsidR="009247C4" w:rsidRPr="00364430" w:rsidRDefault="009247C4" w:rsidP="003436B5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Proiectul nu are drept scop armonizarea legislației naționale cu legislația Uniunii Europene.</w:t>
            </w:r>
          </w:p>
        </w:tc>
      </w:tr>
      <w:tr w:rsidR="009247C4" w:rsidRPr="00364430" w:rsidTr="009247C4">
        <w:tc>
          <w:tcPr>
            <w:tcW w:w="5000" w:type="pct"/>
            <w:shd w:val="clear" w:color="auto" w:fill="D9D9D9"/>
            <w:hideMark/>
          </w:tcPr>
          <w:p w:rsidR="009247C4" w:rsidRPr="00364430" w:rsidRDefault="009247C4" w:rsidP="003436B5">
            <w:pPr>
              <w:numPr>
                <w:ilvl w:val="0"/>
                <w:numId w:val="27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Principalele prevederi ale proiectului și evidențierea elementelor noi</w:t>
            </w:r>
          </w:p>
        </w:tc>
      </w:tr>
      <w:tr w:rsidR="009247C4" w:rsidRPr="00364430" w:rsidTr="009247C4">
        <w:tc>
          <w:tcPr>
            <w:tcW w:w="5000" w:type="pct"/>
          </w:tcPr>
          <w:p w:rsidR="002D73F9" w:rsidRPr="00DB15CD" w:rsidRDefault="009247C4" w:rsidP="003436B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Modific</w:t>
            </w:r>
            <w:r w:rsidR="00236160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ările înserate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în prezentul proiect de hotărâre se referă la </w:t>
            </w:r>
            <w:r w:rsidR="00236160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majorar</w:t>
            </w:r>
            <w:r w:rsidR="009C4834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ea plății </w:t>
            </w:r>
            <w:r w:rsidR="009C4834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compensatorii de la 35</w:t>
            </w:r>
            <w:r w:rsidR="00236160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00 lei la </w:t>
            </w:r>
            <w:r w:rsidR="009C4834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4000</w:t>
            </w:r>
            <w:r w:rsidR="00236160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lei în contextul reexaminării de către Guvern a cuantumului minim garantat al salariului </w:t>
            </w:r>
            <w:r w:rsidR="009C4834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minim pe țară</w:t>
            </w:r>
            <w:r w:rsidR="00236160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și a</w:t>
            </w:r>
            <w:r w:rsidR="00815585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doptării</w:t>
            </w:r>
            <w:r w:rsidR="00236160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828F0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de către Parlamentul Repubilcii Moldova </w:t>
            </w:r>
            <w:r w:rsidR="002829ED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în a II lectură la data de 22 decembrie 2022 </w:t>
            </w:r>
            <w:r w:rsidR="00D828F0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a Legii </w:t>
            </w:r>
            <w:r w:rsidR="00726978" w:rsidRPr="00DB15CD">
              <w:rPr>
                <w:rFonts w:ascii="Times New Roman" w:eastAsia="Calibri" w:hAnsi="Times New Roman" w:cs="Times New Roman"/>
                <w:sz w:val="28"/>
                <w:szCs w:val="28"/>
              </w:rPr>
              <w:t>pentru modificarea unor acte normative (politica bugetar fiscală pentru anul 2023</w:t>
            </w:r>
            <w:r w:rsidR="002D73F9" w:rsidRPr="00DB15C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726978" w:rsidRPr="00DB1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ce vizează </w:t>
            </w:r>
            <w:r w:rsidR="00D828F0" w:rsidRPr="00DB15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inclusiv </w:t>
            </w:r>
            <w:r w:rsidR="00726978" w:rsidRPr="00DB15CD">
              <w:rPr>
                <w:rFonts w:ascii="Times New Roman" w:eastAsia="Calibri" w:hAnsi="Times New Roman" w:cs="Times New Roman"/>
                <w:sz w:val="28"/>
                <w:szCs w:val="28"/>
              </w:rPr>
              <w:t>modificarea Legii nr. 270/2018 privind sistemul unitar de salarizare în sectorul bugetar</w:t>
            </w:r>
            <w:r w:rsidR="002D73F9" w:rsidRPr="00DB15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247C4" w:rsidRPr="00364430" w:rsidRDefault="009247C4" w:rsidP="003436B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Astfel, </w:t>
            </w:r>
            <w:r w:rsidR="00236160" w:rsidRPr="00DB15C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în cazul în care, pentru unii salariaţi din unităţile bugetare, prin aplicarea Legii nr.270/2018 privind sistemul unitar de salarizare în sectorul bugetar, salariul lunar calculat pentru o funcţie cu durata normală a timpului</w:t>
            </w:r>
            <w:r w:rsidR="00236160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de muncă este mai mic de </w:t>
            </w:r>
            <w:r w:rsidR="009C4834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4000 </w:t>
            </w:r>
            <w:r w:rsidR="00236160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de lei, aceştia vor beneficia de plăţi compensatorii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.</w:t>
            </w:r>
            <w:r w:rsidR="00236160" w:rsidRPr="00364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160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Plata compensatorie se determină ca diferenţă dintre suma de </w:t>
            </w:r>
            <w:r w:rsidR="009C4834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4000</w:t>
            </w:r>
            <w:r w:rsidR="00236160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de lei şi salariul lunar calculat în condiţiile Legii nr.270/2018 privind sistemul unitar de salarizare în sectorul bugetar şi se recalculează proporţional timpului efectiv lucrat.</w:t>
            </w:r>
          </w:p>
          <w:p w:rsidR="00A20501" w:rsidRDefault="00A20501" w:rsidP="005B228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  <w:p w:rsidR="005B2282" w:rsidRPr="00364430" w:rsidRDefault="005B2282" w:rsidP="005B228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În corespundere cu prvederile </w:t>
            </w:r>
            <w:r w:rsidRPr="002829E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Art.</w:t>
            </w:r>
            <w:r w:rsidR="00535535" w:rsidRPr="002829E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XX</w:t>
            </w:r>
            <w:r w:rsidR="00A20501" w:rsidRPr="002829E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2829E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A20501" w:rsidRPr="002829E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pct. 7 </w:t>
            </w:r>
            <w:r w:rsidRPr="002829E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din Leg</w:t>
            </w:r>
            <w:r w:rsidR="00024CA7" w:rsidRPr="002829E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ea</w:t>
            </w:r>
            <w:r w:rsidRPr="002829ED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pentru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modificarea </w:t>
            </w:r>
            <w:r w:rsidR="00A20501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unor acte normative ce </w:t>
            </w:r>
            <w:r w:rsidR="00560B07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include</w:t>
            </w:r>
            <w:r w:rsidR="00A20501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modificarea 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articolului 27 din Legea nr. 270/2018 privind 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lastRenderedPageBreak/>
              <w:t>sistemul unitar de salarizare în sectorul bugetar</w:t>
            </w:r>
            <w:r w:rsidR="00A20501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,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plățile compensatorii se vor calcula începînd cu data de 1 </w:t>
            </w:r>
            <w:r w:rsidR="009C4834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ianuarie 2023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.</w:t>
            </w:r>
          </w:p>
          <w:p w:rsidR="005B2282" w:rsidRPr="00364430" w:rsidRDefault="005B2282" w:rsidP="00F7744F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9247C4" w:rsidRPr="00364430" w:rsidTr="009247C4">
        <w:tc>
          <w:tcPr>
            <w:tcW w:w="5000" w:type="pct"/>
            <w:shd w:val="clear" w:color="auto" w:fill="D9D9D9"/>
          </w:tcPr>
          <w:p w:rsidR="009247C4" w:rsidRPr="00364430" w:rsidRDefault="009247C4" w:rsidP="003436B5">
            <w:pPr>
              <w:numPr>
                <w:ilvl w:val="0"/>
                <w:numId w:val="27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lastRenderedPageBreak/>
              <w:t>Fundamentarea economico-financiară</w:t>
            </w:r>
          </w:p>
        </w:tc>
      </w:tr>
      <w:tr w:rsidR="009247C4" w:rsidRPr="00364430" w:rsidTr="009247C4">
        <w:trPr>
          <w:trHeight w:val="550"/>
        </w:trPr>
        <w:tc>
          <w:tcPr>
            <w:tcW w:w="5000" w:type="pct"/>
            <w:hideMark/>
          </w:tcPr>
          <w:p w:rsidR="005B29A6" w:rsidRPr="00364430" w:rsidRDefault="009247C4" w:rsidP="00E0699B">
            <w:pPr>
              <w:spacing w:after="0" w:line="240" w:lineRule="auto"/>
              <w:ind w:firstLine="8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841AEB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hotărîrii 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implică mijloace financiare d</w:t>
            </w:r>
            <w:r w:rsidR="00856908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in bugetul de stat</w:t>
            </w:r>
            <w:r w:rsidR="005B29A6" w:rsidRPr="00364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9A6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pentru majorarea plății compensatorii  de la </w:t>
            </w:r>
            <w:r w:rsidR="009C4834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3500</w:t>
            </w:r>
            <w:r w:rsidR="005B29A6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lei la </w:t>
            </w:r>
            <w:r w:rsidR="009C4834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4000</w:t>
            </w:r>
            <w:r w:rsidR="005B29A6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lei </w:t>
            </w:r>
            <w:r w:rsidR="00856908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în sumă de circa </w:t>
            </w:r>
            <w:r w:rsidR="003B36A2" w:rsidRPr="00726978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45,5</w:t>
            </w:r>
            <w:r w:rsidR="005B29A6" w:rsidRPr="00726978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mil.</w:t>
            </w:r>
            <w:r w:rsidR="005B29A6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lei</w:t>
            </w:r>
            <w:r w:rsidR="00D93DB5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E0699B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în calcul anual. </w:t>
            </w:r>
            <w:r w:rsidR="00E0699B" w:rsidRPr="00E0699B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Cheltuielile respective sînt prevăzute în proiectul bugetului de stat pe</w:t>
            </w:r>
            <w:r w:rsidR="00E0699B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ntru</w:t>
            </w:r>
            <w:r w:rsidR="00E0699B" w:rsidRPr="00E0699B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anul 202</w:t>
            </w:r>
            <w:r w:rsidR="00E0699B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3.</w:t>
            </w:r>
          </w:p>
        </w:tc>
      </w:tr>
      <w:tr w:rsidR="009247C4" w:rsidRPr="00364430" w:rsidTr="009247C4">
        <w:tc>
          <w:tcPr>
            <w:tcW w:w="5000" w:type="pct"/>
            <w:shd w:val="clear" w:color="auto" w:fill="D9D9D9"/>
          </w:tcPr>
          <w:p w:rsidR="009247C4" w:rsidRPr="00364430" w:rsidRDefault="009247C4" w:rsidP="003436B5">
            <w:pPr>
              <w:numPr>
                <w:ilvl w:val="0"/>
                <w:numId w:val="27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9247C4" w:rsidRPr="00364430" w:rsidTr="009247C4">
        <w:trPr>
          <w:trHeight w:val="615"/>
        </w:trPr>
        <w:tc>
          <w:tcPr>
            <w:tcW w:w="5000" w:type="pct"/>
            <w:hideMark/>
          </w:tcPr>
          <w:p w:rsidR="009247C4" w:rsidRPr="00364430" w:rsidRDefault="009247C4" w:rsidP="00841AEB">
            <w:pPr>
              <w:spacing w:after="0" w:line="240" w:lineRule="auto"/>
              <w:ind w:firstLine="88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Adoptarea proiectului de </w:t>
            </w:r>
            <w:r w:rsidR="00841AEB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hotărîre nu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implică ajustarea actelor normative ale Guvernului în vederea implementării modificărilor propuse. </w:t>
            </w:r>
          </w:p>
        </w:tc>
      </w:tr>
      <w:tr w:rsidR="009247C4" w:rsidRPr="00364430" w:rsidTr="009247C4">
        <w:tc>
          <w:tcPr>
            <w:tcW w:w="5000" w:type="pct"/>
            <w:shd w:val="clear" w:color="auto" w:fill="D9D9D9"/>
            <w:hideMark/>
          </w:tcPr>
          <w:p w:rsidR="009247C4" w:rsidRPr="00364430" w:rsidRDefault="009247C4" w:rsidP="003436B5">
            <w:pPr>
              <w:numPr>
                <w:ilvl w:val="0"/>
                <w:numId w:val="27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Avizarea și consultarea publică a proiectului</w:t>
            </w:r>
          </w:p>
        </w:tc>
      </w:tr>
      <w:tr w:rsidR="009247C4" w:rsidRPr="00364430" w:rsidTr="009247C4">
        <w:tc>
          <w:tcPr>
            <w:tcW w:w="5000" w:type="pct"/>
            <w:hideMark/>
          </w:tcPr>
          <w:p w:rsidR="005444C7" w:rsidRDefault="009247C4" w:rsidP="005444C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În scopul respectării prevederilor Legii nr.239/2008 privind transparența în procesul decizional, proiectul </w:t>
            </w:r>
            <w:r w:rsidRPr="00364430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legii pentru </w:t>
            </w:r>
            <w:r w:rsidRPr="00364430">
              <w:rPr>
                <w:rFonts w:ascii="Times New Roman" w:eastAsia="Batang" w:hAnsi="Times New Roman" w:cs="Times New Roman"/>
                <w:sz w:val="28"/>
                <w:szCs w:val="28"/>
                <w:lang w:val="ro-MD"/>
              </w:rPr>
              <w:t>modif</w:t>
            </w:r>
            <w:r w:rsidR="00656BE0">
              <w:rPr>
                <w:rFonts w:ascii="Times New Roman" w:eastAsia="Batang" w:hAnsi="Times New Roman" w:cs="Times New Roman"/>
                <w:sz w:val="28"/>
                <w:szCs w:val="28"/>
                <w:lang w:val="ro-MD"/>
              </w:rPr>
              <w:t xml:space="preserve">icarea unor acte normative </w:t>
            </w:r>
            <w:r w:rsidR="006C2838">
              <w:rPr>
                <w:rFonts w:ascii="Times New Roman" w:eastAsia="Batang" w:hAnsi="Times New Roman" w:cs="Times New Roman"/>
                <w:sz w:val="28"/>
                <w:szCs w:val="28"/>
                <w:lang w:val="ro-MD"/>
              </w:rPr>
              <w:t>va fi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plasat pe pagina web oficială a Ministerului Finanțelor (</w:t>
            </w:r>
            <w:hyperlink r:id="rId8" w:history="1">
              <w:r w:rsidRPr="00364430">
                <w:rPr>
                  <w:rFonts w:ascii="Times New Roman" w:eastAsia="Calibri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), directoriul „Transparența decizională”, </w:t>
            </w:r>
            <w:r w:rsidR="005444C7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s</w:t>
            </w:r>
            <w:r w:rsidR="003A5BF5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ecțiunea „Procesul decizional”.</w:t>
            </w:r>
          </w:p>
          <w:p w:rsidR="003A5BF5" w:rsidRPr="00364430" w:rsidRDefault="003A5BF5" w:rsidP="005444C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3A5BF5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Proiectul va fi supus consultărilor publice cu toate părțile interesate și va urma avizarea oficială în condițiile cadrului normativ.</w:t>
            </w:r>
          </w:p>
          <w:tbl>
            <w:tblPr>
              <w:tblW w:w="10013" w:type="dxa"/>
              <w:tblLook w:val="04A0" w:firstRow="1" w:lastRow="0" w:firstColumn="1" w:lastColumn="0" w:noHBand="0" w:noVBand="1"/>
            </w:tblPr>
            <w:tblGrid>
              <w:gridCol w:w="10013"/>
            </w:tblGrid>
            <w:tr w:rsidR="0047296E" w:rsidRPr="00364430" w:rsidTr="0047296E">
              <w:trPr>
                <w:trHeight w:val="295"/>
              </w:trPr>
              <w:tc>
                <w:tcPr>
                  <w:tcW w:w="5000" w:type="pct"/>
                  <w:shd w:val="clear" w:color="auto" w:fill="D9D9D9"/>
                </w:tcPr>
                <w:p w:rsidR="0047296E" w:rsidRPr="00364430" w:rsidRDefault="0047296E" w:rsidP="0047296E">
                  <w:pPr>
                    <w:pStyle w:val="Listparagraf"/>
                    <w:numPr>
                      <w:ilvl w:val="0"/>
                      <w:numId w:val="27"/>
                    </w:numPr>
                    <w:tabs>
                      <w:tab w:val="left" w:pos="884"/>
                    </w:tabs>
                    <w:spacing w:after="120" w:line="240" w:lineRule="auto"/>
                    <w:ind w:firstLine="422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</w:pPr>
                  <w:r w:rsidRPr="0036443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  <w:t>Constatările expertizei anticorupție</w:t>
                  </w:r>
                </w:p>
              </w:tc>
            </w:tr>
          </w:tbl>
          <w:p w:rsidR="00815D57" w:rsidRPr="00364430" w:rsidRDefault="006C2838" w:rsidP="005444C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838">
              <w:rPr>
                <w:rFonts w:ascii="Times New Roman" w:eastAsia="Calibri" w:hAnsi="Times New Roman" w:cs="Times New Roman"/>
                <w:sz w:val="28"/>
                <w:szCs w:val="28"/>
              </w:rPr>
              <w:t>Proiectul va fi supus expertizei anticorupție de către Centrul Național Anticorupție în conformitate cu art. 35 din Legea nr. 100/ 2017 cu privire la actele normative.</w:t>
            </w:r>
          </w:p>
          <w:tbl>
            <w:tblPr>
              <w:tblW w:w="9960" w:type="dxa"/>
              <w:tblLook w:val="04A0" w:firstRow="1" w:lastRow="0" w:firstColumn="1" w:lastColumn="0" w:noHBand="0" w:noVBand="1"/>
            </w:tblPr>
            <w:tblGrid>
              <w:gridCol w:w="9960"/>
            </w:tblGrid>
            <w:tr w:rsidR="0047296E" w:rsidRPr="00364430" w:rsidTr="0047296E">
              <w:tc>
                <w:tcPr>
                  <w:tcW w:w="5000" w:type="pct"/>
                  <w:shd w:val="clear" w:color="auto" w:fill="D9D9D9"/>
                </w:tcPr>
                <w:p w:rsidR="0047296E" w:rsidRPr="00364430" w:rsidRDefault="0047296E" w:rsidP="0047296E">
                  <w:pPr>
                    <w:pStyle w:val="Listparagraf"/>
                    <w:numPr>
                      <w:ilvl w:val="0"/>
                      <w:numId w:val="27"/>
                    </w:numPr>
                    <w:tabs>
                      <w:tab w:val="left" w:pos="884"/>
                    </w:tabs>
                    <w:spacing w:after="120" w:line="240" w:lineRule="auto"/>
                    <w:ind w:firstLine="422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</w:pPr>
                  <w:r w:rsidRPr="0036443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  <w:t>Constatările expertizei</w:t>
                  </w:r>
                  <w:r w:rsidR="00F927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  <w:t xml:space="preserve"> de</w:t>
                  </w:r>
                  <w:r w:rsidRPr="0036443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  <w:t xml:space="preserve"> compatibilitate</w:t>
                  </w:r>
                </w:p>
              </w:tc>
            </w:tr>
          </w:tbl>
          <w:p w:rsidR="00815D57" w:rsidRPr="00364430" w:rsidRDefault="0047296E" w:rsidP="005444C7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Efectuarea expertizei de compatibilitate nu este necesară întrucât proiectul de lege nu are ca scop armonizarea legislației naționale cu legislația Uniunii Europene.</w:t>
            </w:r>
          </w:p>
          <w:tbl>
            <w:tblPr>
              <w:tblW w:w="9960" w:type="dxa"/>
              <w:tblLook w:val="04A0" w:firstRow="1" w:lastRow="0" w:firstColumn="1" w:lastColumn="0" w:noHBand="0" w:noVBand="1"/>
            </w:tblPr>
            <w:tblGrid>
              <w:gridCol w:w="9960"/>
            </w:tblGrid>
            <w:tr w:rsidR="0047296E" w:rsidRPr="00364430" w:rsidTr="009A642A">
              <w:tc>
                <w:tcPr>
                  <w:tcW w:w="5000" w:type="pct"/>
                  <w:shd w:val="clear" w:color="auto" w:fill="D9D9D9"/>
                </w:tcPr>
                <w:p w:rsidR="0047296E" w:rsidRPr="00F927E8" w:rsidRDefault="00F927E8" w:rsidP="00F927E8">
                  <w:pPr>
                    <w:pStyle w:val="Listparagraf"/>
                    <w:numPr>
                      <w:ilvl w:val="0"/>
                      <w:numId w:val="27"/>
                    </w:numPr>
                    <w:tabs>
                      <w:tab w:val="left" w:pos="884"/>
                    </w:tabs>
                    <w:spacing w:after="120" w:line="240" w:lineRule="auto"/>
                    <w:ind w:firstLine="422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</w:pPr>
                  <w:r w:rsidRPr="00F927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MD"/>
                    </w:rPr>
                    <w:t>Constatările expertizei juridice</w:t>
                  </w:r>
                </w:p>
              </w:tc>
            </w:tr>
          </w:tbl>
          <w:p w:rsidR="00EF6CB4" w:rsidRPr="00364430" w:rsidRDefault="0047296E" w:rsidP="003436B5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Proiectul </w:t>
            </w:r>
            <w:r w:rsidR="006C2838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va fi</w:t>
            </w:r>
            <w:r w:rsidR="00D676FC"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supus</w:t>
            </w:r>
            <w:r w:rsidRPr="00364430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 xml:space="preserve"> expertizei juridice de către Ministerul Justiției în conformitate cu prevederile art.37 din Legea nr.100/2017 cu privire la actele normative.</w:t>
            </w:r>
          </w:p>
          <w:p w:rsidR="00397094" w:rsidRPr="00364430" w:rsidRDefault="00397094" w:rsidP="003436B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37095B" w:rsidRPr="00364430" w:rsidRDefault="0037095B" w:rsidP="00CA5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9247C4" w:rsidRPr="00364430" w:rsidRDefault="00815D57" w:rsidP="00CA57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       </w:t>
            </w:r>
            <w:r w:rsidR="0037095B" w:rsidRPr="00364430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MINISTRU</w:t>
            </w:r>
            <w:r w:rsidR="0037095B" w:rsidRPr="00364430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ab/>
              <w:t xml:space="preserve">                </w:t>
            </w:r>
            <w:r w:rsidR="00CA5769" w:rsidRPr="00364430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                                 Dumitru BUDIANSCHI</w:t>
            </w:r>
          </w:p>
        </w:tc>
      </w:tr>
    </w:tbl>
    <w:p w:rsidR="009247C4" w:rsidRPr="00364430" w:rsidRDefault="009247C4" w:rsidP="003436B5">
      <w:pPr>
        <w:spacing w:after="120" w:line="480" w:lineRule="auto"/>
        <w:rPr>
          <w:rFonts w:ascii="Times New Roman" w:hAnsi="Times New Roman" w:cs="Times New Roman"/>
          <w:sz w:val="28"/>
          <w:szCs w:val="28"/>
        </w:rPr>
      </w:pPr>
    </w:p>
    <w:p w:rsidR="00A90A96" w:rsidRPr="00A90A96" w:rsidRDefault="00A90A96" w:rsidP="00163316">
      <w:pPr>
        <w:spacing w:after="0" w:line="480" w:lineRule="auto"/>
        <w:contextualSpacing/>
        <w:jc w:val="right"/>
        <w:rPr>
          <w:rFonts w:ascii="Times New Roman" w:hAnsi="Times New Roman" w:cs="Times New Roman"/>
          <w:sz w:val="28"/>
          <w:lang w:val="ro-MD"/>
        </w:rPr>
      </w:pPr>
    </w:p>
    <w:sectPr w:rsidR="00A90A96" w:rsidRPr="00A90A96" w:rsidSect="00FA1285">
      <w:pgSz w:w="12240" w:h="15840"/>
      <w:pgMar w:top="993" w:right="758" w:bottom="851" w:left="1440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4A3" w:rsidRDefault="00CB34A3" w:rsidP="00CA32EA">
      <w:pPr>
        <w:spacing w:after="0" w:line="240" w:lineRule="auto"/>
      </w:pPr>
      <w:r>
        <w:separator/>
      </w:r>
    </w:p>
  </w:endnote>
  <w:endnote w:type="continuationSeparator" w:id="0">
    <w:p w:rsidR="00CB34A3" w:rsidRDefault="00CB34A3" w:rsidP="00CA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4A3" w:rsidRDefault="00CB34A3" w:rsidP="00CA32EA">
      <w:pPr>
        <w:spacing w:after="0" w:line="240" w:lineRule="auto"/>
      </w:pPr>
      <w:r>
        <w:separator/>
      </w:r>
    </w:p>
  </w:footnote>
  <w:footnote w:type="continuationSeparator" w:id="0">
    <w:p w:rsidR="00CB34A3" w:rsidRDefault="00CB34A3" w:rsidP="00CA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188"/>
    <w:multiLevelType w:val="hybridMultilevel"/>
    <w:tmpl w:val="6C1AAAEC"/>
    <w:lvl w:ilvl="0" w:tplc="84866D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6A00E6"/>
    <w:multiLevelType w:val="hybridMultilevel"/>
    <w:tmpl w:val="86700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A182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E06ECF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670F4A2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701727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186480"/>
    <w:multiLevelType w:val="hybridMultilevel"/>
    <w:tmpl w:val="DE78362A"/>
    <w:lvl w:ilvl="0" w:tplc="3ED8578A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6F629EA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916302"/>
    <w:multiLevelType w:val="hybridMultilevel"/>
    <w:tmpl w:val="127C88A6"/>
    <w:lvl w:ilvl="0" w:tplc="C12A08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82775B"/>
    <w:multiLevelType w:val="multilevel"/>
    <w:tmpl w:val="504830C6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2E3132"/>
    <w:multiLevelType w:val="multilevel"/>
    <w:tmpl w:val="DB921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630478"/>
    <w:multiLevelType w:val="multilevel"/>
    <w:tmpl w:val="17F0CC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3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0" w:hanging="2160"/>
      </w:pPr>
      <w:rPr>
        <w:rFonts w:hint="default"/>
      </w:rPr>
    </w:lvl>
  </w:abstractNum>
  <w:abstractNum w:abstractNumId="9" w15:restartNumberingAfterBreak="0">
    <w:nsid w:val="17FB3B4F"/>
    <w:multiLevelType w:val="hybridMultilevel"/>
    <w:tmpl w:val="59A81DF8"/>
    <w:lvl w:ilvl="0" w:tplc="BEAA348C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0" w15:restartNumberingAfterBreak="0">
    <w:nsid w:val="18547861"/>
    <w:multiLevelType w:val="hybridMultilevel"/>
    <w:tmpl w:val="A552B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E0062"/>
    <w:multiLevelType w:val="hybridMultilevel"/>
    <w:tmpl w:val="80C8FDB8"/>
    <w:lvl w:ilvl="0" w:tplc="0409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43A4"/>
    <w:multiLevelType w:val="multilevel"/>
    <w:tmpl w:val="C6C2B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1F0649"/>
    <w:multiLevelType w:val="hybridMultilevel"/>
    <w:tmpl w:val="51524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1C1E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2556C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F737F"/>
    <w:multiLevelType w:val="hybridMultilevel"/>
    <w:tmpl w:val="C3F63CEE"/>
    <w:lvl w:ilvl="0" w:tplc="6D061F8C">
      <w:start w:val="8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9EF3FBD"/>
    <w:multiLevelType w:val="multilevel"/>
    <w:tmpl w:val="989E8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C751A73"/>
    <w:multiLevelType w:val="hybridMultilevel"/>
    <w:tmpl w:val="0FB296C4"/>
    <w:lvl w:ilvl="0" w:tplc="541AD580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CA40F3C"/>
    <w:multiLevelType w:val="hybridMultilevel"/>
    <w:tmpl w:val="4F48D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65860"/>
    <w:multiLevelType w:val="hybridMultilevel"/>
    <w:tmpl w:val="6FFC703C"/>
    <w:lvl w:ilvl="0" w:tplc="94B6B9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3702854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881A55"/>
    <w:multiLevelType w:val="hybridMultilevel"/>
    <w:tmpl w:val="F3A6DDA0"/>
    <w:lvl w:ilvl="0" w:tplc="485E9F7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AD2BA8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50D9E"/>
    <w:multiLevelType w:val="multilevel"/>
    <w:tmpl w:val="2EBC6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240" w:hanging="2160"/>
      </w:pPr>
      <w:rPr>
        <w:rFonts w:hint="default"/>
      </w:rPr>
    </w:lvl>
  </w:abstractNum>
  <w:abstractNum w:abstractNumId="26" w15:restartNumberingAfterBreak="0">
    <w:nsid w:val="631A2E9B"/>
    <w:multiLevelType w:val="multilevel"/>
    <w:tmpl w:val="56F466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76F679E"/>
    <w:multiLevelType w:val="hybridMultilevel"/>
    <w:tmpl w:val="7068C1F6"/>
    <w:lvl w:ilvl="0" w:tplc="37F65B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922881"/>
    <w:multiLevelType w:val="hybridMultilevel"/>
    <w:tmpl w:val="AF305190"/>
    <w:lvl w:ilvl="0" w:tplc="6278F48A">
      <w:start w:val="4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A601EA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461A1"/>
    <w:multiLevelType w:val="hybridMultilevel"/>
    <w:tmpl w:val="0CD0C804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F62ED0"/>
    <w:multiLevelType w:val="multilevel"/>
    <w:tmpl w:val="DB921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357367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1556B"/>
    <w:multiLevelType w:val="hybridMultilevel"/>
    <w:tmpl w:val="81482166"/>
    <w:lvl w:ilvl="0" w:tplc="B134BD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11"/>
  </w:num>
  <w:num w:numId="5">
    <w:abstractNumId w:val="5"/>
  </w:num>
  <w:num w:numId="6">
    <w:abstractNumId w:val="8"/>
  </w:num>
  <w:num w:numId="7">
    <w:abstractNumId w:val="22"/>
  </w:num>
  <w:num w:numId="8">
    <w:abstractNumId w:val="25"/>
  </w:num>
  <w:num w:numId="9">
    <w:abstractNumId w:val="7"/>
  </w:num>
  <w:num w:numId="10">
    <w:abstractNumId w:val="31"/>
  </w:num>
  <w:num w:numId="11">
    <w:abstractNumId w:val="4"/>
  </w:num>
  <w:num w:numId="12">
    <w:abstractNumId w:val="28"/>
  </w:num>
  <w:num w:numId="13">
    <w:abstractNumId w:val="2"/>
  </w:num>
  <w:num w:numId="14">
    <w:abstractNumId w:val="3"/>
  </w:num>
  <w:num w:numId="15">
    <w:abstractNumId w:val="21"/>
  </w:num>
  <w:num w:numId="16">
    <w:abstractNumId w:val="13"/>
  </w:num>
  <w:num w:numId="17">
    <w:abstractNumId w:val="0"/>
  </w:num>
  <w:num w:numId="18">
    <w:abstractNumId w:val="27"/>
  </w:num>
  <w:num w:numId="19">
    <w:abstractNumId w:val="10"/>
  </w:num>
  <w:num w:numId="20">
    <w:abstractNumId w:val="20"/>
  </w:num>
  <w:num w:numId="21">
    <w:abstractNumId w:val="33"/>
  </w:num>
  <w:num w:numId="22">
    <w:abstractNumId w:val="23"/>
  </w:num>
  <w:num w:numId="23">
    <w:abstractNumId w:val="30"/>
  </w:num>
  <w:num w:numId="24">
    <w:abstractNumId w:val="26"/>
  </w:num>
  <w:num w:numId="25">
    <w:abstractNumId w:val="12"/>
  </w:num>
  <w:num w:numId="26">
    <w:abstractNumId w:val="9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6"/>
  </w:num>
  <w:num w:numId="30">
    <w:abstractNumId w:val="14"/>
  </w:num>
  <w:num w:numId="31">
    <w:abstractNumId w:val="24"/>
  </w:num>
  <w:num w:numId="32">
    <w:abstractNumId w:val="29"/>
  </w:num>
  <w:num w:numId="33">
    <w:abstractNumId w:val="32"/>
  </w:num>
  <w:num w:numId="3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EE"/>
    <w:rsid w:val="00023651"/>
    <w:rsid w:val="00024CA7"/>
    <w:rsid w:val="0003002F"/>
    <w:rsid w:val="0004438A"/>
    <w:rsid w:val="0004632F"/>
    <w:rsid w:val="0006171D"/>
    <w:rsid w:val="0006633E"/>
    <w:rsid w:val="00066BBA"/>
    <w:rsid w:val="00067213"/>
    <w:rsid w:val="0008164B"/>
    <w:rsid w:val="00082439"/>
    <w:rsid w:val="00085A82"/>
    <w:rsid w:val="000919B4"/>
    <w:rsid w:val="0009303D"/>
    <w:rsid w:val="00096328"/>
    <w:rsid w:val="000B0A46"/>
    <w:rsid w:val="000B0E35"/>
    <w:rsid w:val="000B4320"/>
    <w:rsid w:val="000B5E31"/>
    <w:rsid w:val="000C0454"/>
    <w:rsid w:val="000C4849"/>
    <w:rsid w:val="000C4C94"/>
    <w:rsid w:val="000C56D3"/>
    <w:rsid w:val="000C6207"/>
    <w:rsid w:val="000E2DEC"/>
    <w:rsid w:val="000E3654"/>
    <w:rsid w:val="000E5141"/>
    <w:rsid w:val="000E69F8"/>
    <w:rsid w:val="000F636B"/>
    <w:rsid w:val="0010355D"/>
    <w:rsid w:val="00105A5E"/>
    <w:rsid w:val="00127807"/>
    <w:rsid w:val="00130C0E"/>
    <w:rsid w:val="0014581F"/>
    <w:rsid w:val="00163316"/>
    <w:rsid w:val="0016547D"/>
    <w:rsid w:val="001727C7"/>
    <w:rsid w:val="00184060"/>
    <w:rsid w:val="001869CD"/>
    <w:rsid w:val="0018750C"/>
    <w:rsid w:val="001914FA"/>
    <w:rsid w:val="00197688"/>
    <w:rsid w:val="001A7638"/>
    <w:rsid w:val="001A7839"/>
    <w:rsid w:val="001B022D"/>
    <w:rsid w:val="001B0C98"/>
    <w:rsid w:val="001C0A88"/>
    <w:rsid w:val="001C2601"/>
    <w:rsid w:val="001D4DA7"/>
    <w:rsid w:val="001E4129"/>
    <w:rsid w:val="001F6D72"/>
    <w:rsid w:val="00203C5C"/>
    <w:rsid w:val="0020787A"/>
    <w:rsid w:val="00213EA2"/>
    <w:rsid w:val="00217FF6"/>
    <w:rsid w:val="0022148C"/>
    <w:rsid w:val="00221B47"/>
    <w:rsid w:val="00222B30"/>
    <w:rsid w:val="00231E25"/>
    <w:rsid w:val="00233228"/>
    <w:rsid w:val="00236160"/>
    <w:rsid w:val="00241054"/>
    <w:rsid w:val="002431CA"/>
    <w:rsid w:val="00246BAE"/>
    <w:rsid w:val="00246D23"/>
    <w:rsid w:val="00251F4D"/>
    <w:rsid w:val="00255026"/>
    <w:rsid w:val="00256B39"/>
    <w:rsid w:val="00257E6D"/>
    <w:rsid w:val="00260A3C"/>
    <w:rsid w:val="0026108F"/>
    <w:rsid w:val="00262498"/>
    <w:rsid w:val="002631D0"/>
    <w:rsid w:val="00267697"/>
    <w:rsid w:val="002775C3"/>
    <w:rsid w:val="002829ED"/>
    <w:rsid w:val="00287A18"/>
    <w:rsid w:val="00293489"/>
    <w:rsid w:val="00293E9F"/>
    <w:rsid w:val="002A5EFA"/>
    <w:rsid w:val="002A6E0A"/>
    <w:rsid w:val="002B2822"/>
    <w:rsid w:val="002B51B6"/>
    <w:rsid w:val="002B73CE"/>
    <w:rsid w:val="002C1784"/>
    <w:rsid w:val="002C3A15"/>
    <w:rsid w:val="002C5559"/>
    <w:rsid w:val="002D0723"/>
    <w:rsid w:val="002D0F57"/>
    <w:rsid w:val="002D54D2"/>
    <w:rsid w:val="002D5B3A"/>
    <w:rsid w:val="002D73F9"/>
    <w:rsid w:val="002E1EA5"/>
    <w:rsid w:val="002F3073"/>
    <w:rsid w:val="002F76F2"/>
    <w:rsid w:val="003028D2"/>
    <w:rsid w:val="0030313A"/>
    <w:rsid w:val="00317522"/>
    <w:rsid w:val="00322423"/>
    <w:rsid w:val="00332887"/>
    <w:rsid w:val="003436B5"/>
    <w:rsid w:val="003524D7"/>
    <w:rsid w:val="0036331B"/>
    <w:rsid w:val="003635EA"/>
    <w:rsid w:val="00364430"/>
    <w:rsid w:val="0037095B"/>
    <w:rsid w:val="00377B05"/>
    <w:rsid w:val="00382758"/>
    <w:rsid w:val="00384D4C"/>
    <w:rsid w:val="00391A54"/>
    <w:rsid w:val="00392CFD"/>
    <w:rsid w:val="0039362A"/>
    <w:rsid w:val="00397094"/>
    <w:rsid w:val="00397ABB"/>
    <w:rsid w:val="003A04E4"/>
    <w:rsid w:val="003A4121"/>
    <w:rsid w:val="003A5BF5"/>
    <w:rsid w:val="003A666D"/>
    <w:rsid w:val="003A7ABC"/>
    <w:rsid w:val="003B22FD"/>
    <w:rsid w:val="003B2694"/>
    <w:rsid w:val="003B36A2"/>
    <w:rsid w:val="003B6A65"/>
    <w:rsid w:val="003B7F22"/>
    <w:rsid w:val="003C0FE4"/>
    <w:rsid w:val="003C5D25"/>
    <w:rsid w:val="003D28D0"/>
    <w:rsid w:val="003D6F67"/>
    <w:rsid w:val="003D765C"/>
    <w:rsid w:val="003E0B77"/>
    <w:rsid w:val="003E5EE1"/>
    <w:rsid w:val="003E70BB"/>
    <w:rsid w:val="003F146C"/>
    <w:rsid w:val="003F7EA9"/>
    <w:rsid w:val="00405C0D"/>
    <w:rsid w:val="00412C5B"/>
    <w:rsid w:val="004222DB"/>
    <w:rsid w:val="00423224"/>
    <w:rsid w:val="004254A8"/>
    <w:rsid w:val="0042710C"/>
    <w:rsid w:val="004340D7"/>
    <w:rsid w:val="0044157C"/>
    <w:rsid w:val="004463EA"/>
    <w:rsid w:val="00446F0B"/>
    <w:rsid w:val="0045361B"/>
    <w:rsid w:val="0046756C"/>
    <w:rsid w:val="00467BAA"/>
    <w:rsid w:val="0047296E"/>
    <w:rsid w:val="00473AD0"/>
    <w:rsid w:val="00474097"/>
    <w:rsid w:val="00474A93"/>
    <w:rsid w:val="00482F35"/>
    <w:rsid w:val="00484676"/>
    <w:rsid w:val="0048601C"/>
    <w:rsid w:val="00492A1F"/>
    <w:rsid w:val="004960CA"/>
    <w:rsid w:val="004A1571"/>
    <w:rsid w:val="004B2BE8"/>
    <w:rsid w:val="004C7CEF"/>
    <w:rsid w:val="004D3661"/>
    <w:rsid w:val="004E7688"/>
    <w:rsid w:val="004F0149"/>
    <w:rsid w:val="004F0E48"/>
    <w:rsid w:val="004F347D"/>
    <w:rsid w:val="004F52CF"/>
    <w:rsid w:val="00503B36"/>
    <w:rsid w:val="005047CD"/>
    <w:rsid w:val="00505CA2"/>
    <w:rsid w:val="005103AD"/>
    <w:rsid w:val="00524619"/>
    <w:rsid w:val="00531C15"/>
    <w:rsid w:val="0053552E"/>
    <w:rsid w:val="00535535"/>
    <w:rsid w:val="00536633"/>
    <w:rsid w:val="005421CF"/>
    <w:rsid w:val="005444C7"/>
    <w:rsid w:val="005465B0"/>
    <w:rsid w:val="00546B4C"/>
    <w:rsid w:val="00551F1B"/>
    <w:rsid w:val="005528A7"/>
    <w:rsid w:val="00560B07"/>
    <w:rsid w:val="00562128"/>
    <w:rsid w:val="005625F3"/>
    <w:rsid w:val="00565060"/>
    <w:rsid w:val="00573947"/>
    <w:rsid w:val="00584592"/>
    <w:rsid w:val="005902FD"/>
    <w:rsid w:val="005A7347"/>
    <w:rsid w:val="005B0898"/>
    <w:rsid w:val="005B2055"/>
    <w:rsid w:val="005B2282"/>
    <w:rsid w:val="005B28BC"/>
    <w:rsid w:val="005B29A6"/>
    <w:rsid w:val="005B5CE6"/>
    <w:rsid w:val="005D2B94"/>
    <w:rsid w:val="005D5792"/>
    <w:rsid w:val="005E1648"/>
    <w:rsid w:val="005E5B85"/>
    <w:rsid w:val="005E7C88"/>
    <w:rsid w:val="005F14B0"/>
    <w:rsid w:val="00601E3E"/>
    <w:rsid w:val="00605248"/>
    <w:rsid w:val="00605EA6"/>
    <w:rsid w:val="006223C4"/>
    <w:rsid w:val="00645ED7"/>
    <w:rsid w:val="00652A89"/>
    <w:rsid w:val="00656BE0"/>
    <w:rsid w:val="00657F25"/>
    <w:rsid w:val="0066338B"/>
    <w:rsid w:val="00670728"/>
    <w:rsid w:val="00670F03"/>
    <w:rsid w:val="006748D6"/>
    <w:rsid w:val="00674A0D"/>
    <w:rsid w:val="00674A4C"/>
    <w:rsid w:val="00674D46"/>
    <w:rsid w:val="00681461"/>
    <w:rsid w:val="00681ED8"/>
    <w:rsid w:val="00682555"/>
    <w:rsid w:val="00684EC6"/>
    <w:rsid w:val="006873EF"/>
    <w:rsid w:val="00695EEE"/>
    <w:rsid w:val="006A2EA4"/>
    <w:rsid w:val="006A602A"/>
    <w:rsid w:val="006A7DF7"/>
    <w:rsid w:val="006B239D"/>
    <w:rsid w:val="006B5988"/>
    <w:rsid w:val="006B7AA5"/>
    <w:rsid w:val="006C0EF7"/>
    <w:rsid w:val="006C167C"/>
    <w:rsid w:val="006C2838"/>
    <w:rsid w:val="006C58E0"/>
    <w:rsid w:val="006C757A"/>
    <w:rsid w:val="006E1154"/>
    <w:rsid w:val="006F445D"/>
    <w:rsid w:val="007048BB"/>
    <w:rsid w:val="00704EFD"/>
    <w:rsid w:val="00711736"/>
    <w:rsid w:val="007119B8"/>
    <w:rsid w:val="00712DF7"/>
    <w:rsid w:val="00726978"/>
    <w:rsid w:val="007352D1"/>
    <w:rsid w:val="00735D8C"/>
    <w:rsid w:val="00745B52"/>
    <w:rsid w:val="00746A85"/>
    <w:rsid w:val="0075257E"/>
    <w:rsid w:val="00754ACF"/>
    <w:rsid w:val="007558F7"/>
    <w:rsid w:val="00763598"/>
    <w:rsid w:val="00770E0A"/>
    <w:rsid w:val="00776009"/>
    <w:rsid w:val="007808AD"/>
    <w:rsid w:val="0078604E"/>
    <w:rsid w:val="0078742C"/>
    <w:rsid w:val="007928EE"/>
    <w:rsid w:val="00792922"/>
    <w:rsid w:val="00796040"/>
    <w:rsid w:val="007A0789"/>
    <w:rsid w:val="007A1EC5"/>
    <w:rsid w:val="007A3586"/>
    <w:rsid w:val="007A7370"/>
    <w:rsid w:val="007A73E1"/>
    <w:rsid w:val="007B1253"/>
    <w:rsid w:val="007B3685"/>
    <w:rsid w:val="007B5694"/>
    <w:rsid w:val="007C0309"/>
    <w:rsid w:val="007C0E6B"/>
    <w:rsid w:val="007C1D32"/>
    <w:rsid w:val="007C4198"/>
    <w:rsid w:val="007C72A5"/>
    <w:rsid w:val="007D5DE2"/>
    <w:rsid w:val="007E1FA9"/>
    <w:rsid w:val="007E6224"/>
    <w:rsid w:val="007F40A4"/>
    <w:rsid w:val="00801304"/>
    <w:rsid w:val="00801BB1"/>
    <w:rsid w:val="0080454D"/>
    <w:rsid w:val="008111A6"/>
    <w:rsid w:val="00815585"/>
    <w:rsid w:val="00815D57"/>
    <w:rsid w:val="00824DDA"/>
    <w:rsid w:val="008262CA"/>
    <w:rsid w:val="0082727F"/>
    <w:rsid w:val="00827AC8"/>
    <w:rsid w:val="0083303B"/>
    <w:rsid w:val="00833243"/>
    <w:rsid w:val="0083673E"/>
    <w:rsid w:val="008369A1"/>
    <w:rsid w:val="00841AEB"/>
    <w:rsid w:val="00846DE0"/>
    <w:rsid w:val="00846F78"/>
    <w:rsid w:val="00847864"/>
    <w:rsid w:val="00852B61"/>
    <w:rsid w:val="00856908"/>
    <w:rsid w:val="008636BA"/>
    <w:rsid w:val="00872D21"/>
    <w:rsid w:val="00876883"/>
    <w:rsid w:val="00885543"/>
    <w:rsid w:val="00886788"/>
    <w:rsid w:val="00893E64"/>
    <w:rsid w:val="0089532B"/>
    <w:rsid w:val="008A079B"/>
    <w:rsid w:val="008A28D4"/>
    <w:rsid w:val="008A2FDB"/>
    <w:rsid w:val="008A4B27"/>
    <w:rsid w:val="008A6D16"/>
    <w:rsid w:val="008B1CA7"/>
    <w:rsid w:val="008B4311"/>
    <w:rsid w:val="008B43BE"/>
    <w:rsid w:val="008B54C4"/>
    <w:rsid w:val="008E0049"/>
    <w:rsid w:val="008E254F"/>
    <w:rsid w:val="008F5B09"/>
    <w:rsid w:val="008F5DBF"/>
    <w:rsid w:val="009002D8"/>
    <w:rsid w:val="009035AF"/>
    <w:rsid w:val="00911801"/>
    <w:rsid w:val="009170F7"/>
    <w:rsid w:val="009222F2"/>
    <w:rsid w:val="009247C4"/>
    <w:rsid w:val="00924FF1"/>
    <w:rsid w:val="00931187"/>
    <w:rsid w:val="0093277A"/>
    <w:rsid w:val="00940D78"/>
    <w:rsid w:val="00943C2D"/>
    <w:rsid w:val="00943CAC"/>
    <w:rsid w:val="0094433A"/>
    <w:rsid w:val="00944389"/>
    <w:rsid w:val="00952E81"/>
    <w:rsid w:val="00960CC2"/>
    <w:rsid w:val="00963D9F"/>
    <w:rsid w:val="00965EEB"/>
    <w:rsid w:val="00965F8C"/>
    <w:rsid w:val="00972F05"/>
    <w:rsid w:val="00980A81"/>
    <w:rsid w:val="00980BEC"/>
    <w:rsid w:val="0098464E"/>
    <w:rsid w:val="009879E9"/>
    <w:rsid w:val="00994A9C"/>
    <w:rsid w:val="00996AC2"/>
    <w:rsid w:val="009B5D96"/>
    <w:rsid w:val="009B6B80"/>
    <w:rsid w:val="009C4834"/>
    <w:rsid w:val="009D2BED"/>
    <w:rsid w:val="009D3198"/>
    <w:rsid w:val="009D53F7"/>
    <w:rsid w:val="009D7851"/>
    <w:rsid w:val="009E2A3F"/>
    <w:rsid w:val="009E47D8"/>
    <w:rsid w:val="009E4C1C"/>
    <w:rsid w:val="009F1F60"/>
    <w:rsid w:val="009F2885"/>
    <w:rsid w:val="009F6A59"/>
    <w:rsid w:val="009F729B"/>
    <w:rsid w:val="009F7C35"/>
    <w:rsid w:val="00A02B5A"/>
    <w:rsid w:val="00A040E7"/>
    <w:rsid w:val="00A05BEB"/>
    <w:rsid w:val="00A064C9"/>
    <w:rsid w:val="00A10FCB"/>
    <w:rsid w:val="00A1792A"/>
    <w:rsid w:val="00A17C3A"/>
    <w:rsid w:val="00A20501"/>
    <w:rsid w:val="00A27309"/>
    <w:rsid w:val="00A275A5"/>
    <w:rsid w:val="00A27CCE"/>
    <w:rsid w:val="00A318B0"/>
    <w:rsid w:val="00A36721"/>
    <w:rsid w:val="00A36C61"/>
    <w:rsid w:val="00A40843"/>
    <w:rsid w:val="00A45335"/>
    <w:rsid w:val="00A507E0"/>
    <w:rsid w:val="00A5249C"/>
    <w:rsid w:val="00A5282D"/>
    <w:rsid w:val="00A5766A"/>
    <w:rsid w:val="00A614C9"/>
    <w:rsid w:val="00A655A2"/>
    <w:rsid w:val="00A7418E"/>
    <w:rsid w:val="00A774A6"/>
    <w:rsid w:val="00A84C42"/>
    <w:rsid w:val="00A8757E"/>
    <w:rsid w:val="00A90355"/>
    <w:rsid w:val="00A90A96"/>
    <w:rsid w:val="00A946E9"/>
    <w:rsid w:val="00A95CCD"/>
    <w:rsid w:val="00AA05A1"/>
    <w:rsid w:val="00AA53B0"/>
    <w:rsid w:val="00AA5972"/>
    <w:rsid w:val="00AA5D9E"/>
    <w:rsid w:val="00AA6019"/>
    <w:rsid w:val="00AB21C4"/>
    <w:rsid w:val="00AB3924"/>
    <w:rsid w:val="00AB3A3A"/>
    <w:rsid w:val="00AB3B3B"/>
    <w:rsid w:val="00AB5DAC"/>
    <w:rsid w:val="00AB74C3"/>
    <w:rsid w:val="00AC2E53"/>
    <w:rsid w:val="00AC3F83"/>
    <w:rsid w:val="00AC40DD"/>
    <w:rsid w:val="00AC6836"/>
    <w:rsid w:val="00AC6D80"/>
    <w:rsid w:val="00AD01C6"/>
    <w:rsid w:val="00AD04E0"/>
    <w:rsid w:val="00AD340E"/>
    <w:rsid w:val="00AD65B9"/>
    <w:rsid w:val="00AE14D7"/>
    <w:rsid w:val="00AE67C1"/>
    <w:rsid w:val="00AE725C"/>
    <w:rsid w:val="00AF280A"/>
    <w:rsid w:val="00AF56D3"/>
    <w:rsid w:val="00B0225F"/>
    <w:rsid w:val="00B03474"/>
    <w:rsid w:val="00B043EC"/>
    <w:rsid w:val="00B077D9"/>
    <w:rsid w:val="00B105AC"/>
    <w:rsid w:val="00B111D8"/>
    <w:rsid w:val="00B1328F"/>
    <w:rsid w:val="00B16FFD"/>
    <w:rsid w:val="00B2147B"/>
    <w:rsid w:val="00B27B8F"/>
    <w:rsid w:val="00B360D7"/>
    <w:rsid w:val="00B45327"/>
    <w:rsid w:val="00B53347"/>
    <w:rsid w:val="00B66823"/>
    <w:rsid w:val="00B72AB2"/>
    <w:rsid w:val="00B850F4"/>
    <w:rsid w:val="00B9389F"/>
    <w:rsid w:val="00B94089"/>
    <w:rsid w:val="00BA16F7"/>
    <w:rsid w:val="00BA3B9B"/>
    <w:rsid w:val="00BB14B7"/>
    <w:rsid w:val="00BB3B75"/>
    <w:rsid w:val="00BC629D"/>
    <w:rsid w:val="00BC6885"/>
    <w:rsid w:val="00BD0169"/>
    <w:rsid w:val="00BD4146"/>
    <w:rsid w:val="00BD44C6"/>
    <w:rsid w:val="00BE1E87"/>
    <w:rsid w:val="00BE2327"/>
    <w:rsid w:val="00BF0173"/>
    <w:rsid w:val="00BF23F3"/>
    <w:rsid w:val="00BF321A"/>
    <w:rsid w:val="00BF4DB3"/>
    <w:rsid w:val="00C020EA"/>
    <w:rsid w:val="00C021E5"/>
    <w:rsid w:val="00C049F6"/>
    <w:rsid w:val="00C06F6F"/>
    <w:rsid w:val="00C32367"/>
    <w:rsid w:val="00C37CB1"/>
    <w:rsid w:val="00C42501"/>
    <w:rsid w:val="00C628EE"/>
    <w:rsid w:val="00C644F5"/>
    <w:rsid w:val="00C67195"/>
    <w:rsid w:val="00C71F43"/>
    <w:rsid w:val="00C72EFB"/>
    <w:rsid w:val="00C81C19"/>
    <w:rsid w:val="00C857BC"/>
    <w:rsid w:val="00C868D6"/>
    <w:rsid w:val="00C92785"/>
    <w:rsid w:val="00C92DDD"/>
    <w:rsid w:val="00C9678E"/>
    <w:rsid w:val="00CA1E72"/>
    <w:rsid w:val="00CA32EA"/>
    <w:rsid w:val="00CA49DC"/>
    <w:rsid w:val="00CA53A3"/>
    <w:rsid w:val="00CA5769"/>
    <w:rsid w:val="00CA6D9A"/>
    <w:rsid w:val="00CB1A1A"/>
    <w:rsid w:val="00CB34A3"/>
    <w:rsid w:val="00CB3F22"/>
    <w:rsid w:val="00CC6B97"/>
    <w:rsid w:val="00CC7638"/>
    <w:rsid w:val="00CD04A8"/>
    <w:rsid w:val="00CD0BCD"/>
    <w:rsid w:val="00CE7F66"/>
    <w:rsid w:val="00CF2CBA"/>
    <w:rsid w:val="00CF3365"/>
    <w:rsid w:val="00CF457E"/>
    <w:rsid w:val="00CF6179"/>
    <w:rsid w:val="00D041E7"/>
    <w:rsid w:val="00D132F0"/>
    <w:rsid w:val="00D2388B"/>
    <w:rsid w:val="00D23B2C"/>
    <w:rsid w:val="00D33B67"/>
    <w:rsid w:val="00D33F0F"/>
    <w:rsid w:val="00D35611"/>
    <w:rsid w:val="00D4190B"/>
    <w:rsid w:val="00D44466"/>
    <w:rsid w:val="00D4666B"/>
    <w:rsid w:val="00D54EEE"/>
    <w:rsid w:val="00D57639"/>
    <w:rsid w:val="00D63377"/>
    <w:rsid w:val="00D676FC"/>
    <w:rsid w:val="00D80111"/>
    <w:rsid w:val="00D8125C"/>
    <w:rsid w:val="00D828F0"/>
    <w:rsid w:val="00D93DB5"/>
    <w:rsid w:val="00D97FD9"/>
    <w:rsid w:val="00DA01F1"/>
    <w:rsid w:val="00DA3BBF"/>
    <w:rsid w:val="00DA47A9"/>
    <w:rsid w:val="00DA60CC"/>
    <w:rsid w:val="00DA6581"/>
    <w:rsid w:val="00DB15CD"/>
    <w:rsid w:val="00DB4AF5"/>
    <w:rsid w:val="00DC05DC"/>
    <w:rsid w:val="00DD0172"/>
    <w:rsid w:val="00DD0469"/>
    <w:rsid w:val="00DD091E"/>
    <w:rsid w:val="00DD203C"/>
    <w:rsid w:val="00DE3480"/>
    <w:rsid w:val="00DE4665"/>
    <w:rsid w:val="00DE720A"/>
    <w:rsid w:val="00DF271D"/>
    <w:rsid w:val="00E00252"/>
    <w:rsid w:val="00E01A05"/>
    <w:rsid w:val="00E066A0"/>
    <w:rsid w:val="00E06794"/>
    <w:rsid w:val="00E0699B"/>
    <w:rsid w:val="00E11A13"/>
    <w:rsid w:val="00E1452A"/>
    <w:rsid w:val="00E1490C"/>
    <w:rsid w:val="00E22AB1"/>
    <w:rsid w:val="00E233D1"/>
    <w:rsid w:val="00E23A6E"/>
    <w:rsid w:val="00E25A3F"/>
    <w:rsid w:val="00E302A1"/>
    <w:rsid w:val="00E31048"/>
    <w:rsid w:val="00E4221C"/>
    <w:rsid w:val="00E50C07"/>
    <w:rsid w:val="00E63305"/>
    <w:rsid w:val="00E64C39"/>
    <w:rsid w:val="00E76488"/>
    <w:rsid w:val="00E767EB"/>
    <w:rsid w:val="00E8118B"/>
    <w:rsid w:val="00E85221"/>
    <w:rsid w:val="00E85A38"/>
    <w:rsid w:val="00E92951"/>
    <w:rsid w:val="00EB1A52"/>
    <w:rsid w:val="00EC4911"/>
    <w:rsid w:val="00EC7E2C"/>
    <w:rsid w:val="00ED0D65"/>
    <w:rsid w:val="00ED2E3D"/>
    <w:rsid w:val="00EE2FDA"/>
    <w:rsid w:val="00EF5A78"/>
    <w:rsid w:val="00EF6CB4"/>
    <w:rsid w:val="00EF7AF8"/>
    <w:rsid w:val="00EF7CB7"/>
    <w:rsid w:val="00F006C6"/>
    <w:rsid w:val="00F01DB2"/>
    <w:rsid w:val="00F04559"/>
    <w:rsid w:val="00F06735"/>
    <w:rsid w:val="00F10C2B"/>
    <w:rsid w:val="00F16283"/>
    <w:rsid w:val="00F245DC"/>
    <w:rsid w:val="00F42689"/>
    <w:rsid w:val="00F42DFA"/>
    <w:rsid w:val="00F4637E"/>
    <w:rsid w:val="00F52086"/>
    <w:rsid w:val="00F522AF"/>
    <w:rsid w:val="00F52D8B"/>
    <w:rsid w:val="00F52E55"/>
    <w:rsid w:val="00F54C62"/>
    <w:rsid w:val="00F54E68"/>
    <w:rsid w:val="00F5738A"/>
    <w:rsid w:val="00F57578"/>
    <w:rsid w:val="00F57866"/>
    <w:rsid w:val="00F61E42"/>
    <w:rsid w:val="00F63D96"/>
    <w:rsid w:val="00F72300"/>
    <w:rsid w:val="00F72A85"/>
    <w:rsid w:val="00F73C6C"/>
    <w:rsid w:val="00F7744F"/>
    <w:rsid w:val="00F90119"/>
    <w:rsid w:val="00F9018D"/>
    <w:rsid w:val="00F92050"/>
    <w:rsid w:val="00F927E8"/>
    <w:rsid w:val="00F93D45"/>
    <w:rsid w:val="00F9543A"/>
    <w:rsid w:val="00FA1285"/>
    <w:rsid w:val="00FC5AFD"/>
    <w:rsid w:val="00FD0866"/>
    <w:rsid w:val="00FD0D29"/>
    <w:rsid w:val="00FD1123"/>
    <w:rsid w:val="00FE1D32"/>
    <w:rsid w:val="00FE2D2A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77120"/>
  <w15:chartTrackingRefBased/>
  <w15:docId w15:val="{8352E9A0-FA0D-461D-8EDB-32A6ACB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6F2"/>
  </w:style>
  <w:style w:type="paragraph" w:styleId="Titlu1">
    <w:name w:val="heading 1"/>
    <w:basedOn w:val="Normal"/>
    <w:next w:val="Normal"/>
    <w:link w:val="Titlu1Caracter"/>
    <w:uiPriority w:val="9"/>
    <w:qFormat/>
    <w:rsid w:val="00085A82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85A82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85A8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85A8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85A8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85A8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85A8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85A8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85A8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5A8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85A8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85A8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85A8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85A8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85A8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85A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85A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85A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79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79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077D9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7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72D21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87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"/>
    <w:basedOn w:val="Normal"/>
    <w:link w:val="ListparagrafCaracter"/>
    <w:uiPriority w:val="34"/>
    <w:qFormat/>
    <w:rsid w:val="00872D2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CA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A32EA"/>
  </w:style>
  <w:style w:type="paragraph" w:styleId="Subsol">
    <w:name w:val="footer"/>
    <w:basedOn w:val="Normal"/>
    <w:link w:val="SubsolCaracter"/>
    <w:uiPriority w:val="99"/>
    <w:unhideWhenUsed/>
    <w:rsid w:val="00CA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32EA"/>
  </w:style>
  <w:style w:type="paragraph" w:styleId="Legend">
    <w:name w:val="caption"/>
    <w:basedOn w:val="Normal"/>
    <w:next w:val="Normal"/>
    <w:uiPriority w:val="35"/>
    <w:unhideWhenUsed/>
    <w:qFormat/>
    <w:rsid w:val="00085A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085A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85A8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85A8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85A82"/>
    <w:rPr>
      <w:color w:val="5A5A5A" w:themeColor="text1" w:themeTint="A5"/>
      <w:spacing w:val="10"/>
    </w:rPr>
  </w:style>
  <w:style w:type="character" w:styleId="Robust">
    <w:name w:val="Strong"/>
    <w:basedOn w:val="Fontdeparagrafimplicit"/>
    <w:uiPriority w:val="22"/>
    <w:qFormat/>
    <w:rsid w:val="00085A82"/>
    <w:rPr>
      <w:b/>
      <w:bCs/>
      <w:color w:val="000000" w:themeColor="text1"/>
    </w:rPr>
  </w:style>
  <w:style w:type="character" w:styleId="Accentuat">
    <w:name w:val="Emphasis"/>
    <w:basedOn w:val="Fontdeparagrafimplicit"/>
    <w:uiPriority w:val="20"/>
    <w:qFormat/>
    <w:rsid w:val="00085A82"/>
    <w:rPr>
      <w:i/>
      <w:iCs/>
      <w:color w:val="auto"/>
    </w:rPr>
  </w:style>
  <w:style w:type="paragraph" w:styleId="Frspaiere">
    <w:name w:val="No Spacing"/>
    <w:uiPriority w:val="1"/>
    <w:qFormat/>
    <w:rsid w:val="00085A82"/>
    <w:pPr>
      <w:spacing w:after="0" w:line="240" w:lineRule="auto"/>
    </w:pPr>
  </w:style>
  <w:style w:type="paragraph" w:styleId="Citat">
    <w:name w:val="Quote"/>
    <w:basedOn w:val="Normal"/>
    <w:next w:val="Normal"/>
    <w:link w:val="CitatCaracter"/>
    <w:uiPriority w:val="29"/>
    <w:qFormat/>
    <w:rsid w:val="00085A8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085A82"/>
    <w:rPr>
      <w:i/>
      <w:iCs/>
      <w:color w:val="000000" w:themeColor="tex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85A8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85A82"/>
    <w:rPr>
      <w:color w:val="000000" w:themeColor="text1"/>
      <w:shd w:val="clear" w:color="auto" w:fill="F2F2F2" w:themeFill="background1" w:themeFillShade="F2"/>
    </w:rPr>
  </w:style>
  <w:style w:type="character" w:styleId="Accentuaresubtil">
    <w:name w:val="Subtle Emphasis"/>
    <w:basedOn w:val="Fontdeparagrafimplicit"/>
    <w:uiPriority w:val="19"/>
    <w:qFormat/>
    <w:rsid w:val="00085A82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085A82"/>
    <w:rPr>
      <w:b/>
      <w:bCs/>
      <w:i/>
      <w:iCs/>
      <w:caps/>
    </w:rPr>
  </w:style>
  <w:style w:type="character" w:styleId="Referiresubtil">
    <w:name w:val="Subtle Reference"/>
    <w:basedOn w:val="Fontdeparagrafimplicit"/>
    <w:uiPriority w:val="31"/>
    <w:qFormat/>
    <w:rsid w:val="00085A82"/>
    <w:rPr>
      <w:smallCaps/>
      <w:color w:val="404040" w:themeColor="text1" w:themeTint="BF"/>
      <w:u w:val="single" w:color="7F7F7F" w:themeColor="text1" w:themeTint="80"/>
    </w:rPr>
  </w:style>
  <w:style w:type="character" w:styleId="Referireintens">
    <w:name w:val="Intense Reference"/>
    <w:basedOn w:val="Fontdeparagrafimplicit"/>
    <w:uiPriority w:val="32"/>
    <w:qFormat/>
    <w:rsid w:val="00085A82"/>
    <w:rPr>
      <w:b/>
      <w:bCs/>
      <w:smallCaps/>
      <w:u w:val="single"/>
    </w:rPr>
  </w:style>
  <w:style w:type="character" w:styleId="Titlulcrii">
    <w:name w:val="Book Title"/>
    <w:basedOn w:val="Fontdeparagrafimplicit"/>
    <w:uiPriority w:val="33"/>
    <w:qFormat/>
    <w:rsid w:val="00085A82"/>
    <w:rPr>
      <w:b w:val="0"/>
      <w:bCs w:val="0"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085A82"/>
    <w:pPr>
      <w:outlineLvl w:val="9"/>
    </w:pPr>
  </w:style>
  <w:style w:type="paragraph" w:customStyle="1" w:styleId="tt">
    <w:name w:val="tt"/>
    <w:basedOn w:val="Normal"/>
    <w:rsid w:val="0078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2C1784"/>
    <w:rPr>
      <w:color w:val="800080"/>
      <w:u w:val="single"/>
    </w:rPr>
  </w:style>
  <w:style w:type="paragraph" w:customStyle="1" w:styleId="msonormal0">
    <w:name w:val="msonormal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font6">
    <w:name w:val="font6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font7">
    <w:name w:val="font7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font8">
    <w:name w:val="font8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val="en-GB" w:eastAsia="en-GB"/>
    </w:rPr>
  </w:style>
  <w:style w:type="paragraph" w:customStyle="1" w:styleId="font9">
    <w:name w:val="font9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val="en-GB" w:eastAsia="en-GB"/>
    </w:rPr>
  </w:style>
  <w:style w:type="paragraph" w:customStyle="1" w:styleId="font10">
    <w:name w:val="font10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GB"/>
    </w:rPr>
  </w:style>
  <w:style w:type="paragraph" w:customStyle="1" w:styleId="xl69">
    <w:name w:val="xl69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2C178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1">
    <w:name w:val="xl71"/>
    <w:basedOn w:val="Normal"/>
    <w:rsid w:val="002C17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2">
    <w:name w:val="xl7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3">
    <w:name w:val="xl73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4">
    <w:name w:val="xl7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5">
    <w:name w:val="xl75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6">
    <w:name w:val="xl76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7">
    <w:name w:val="xl77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78">
    <w:name w:val="xl78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79">
    <w:name w:val="xl79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0">
    <w:name w:val="xl80"/>
    <w:basedOn w:val="Normal"/>
    <w:rsid w:val="002C17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1">
    <w:name w:val="xl81"/>
    <w:basedOn w:val="Normal"/>
    <w:rsid w:val="002C178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2">
    <w:name w:val="xl8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3">
    <w:name w:val="xl83"/>
    <w:basedOn w:val="Normal"/>
    <w:rsid w:val="002C1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84">
    <w:name w:val="xl8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5">
    <w:name w:val="xl85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6">
    <w:name w:val="xl86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87">
    <w:name w:val="xl87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8">
    <w:name w:val="xl88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89">
    <w:name w:val="xl89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0">
    <w:name w:val="xl90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1">
    <w:name w:val="xl91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2">
    <w:name w:val="xl9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93">
    <w:name w:val="xl93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4">
    <w:name w:val="xl9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5">
    <w:name w:val="xl95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6">
    <w:name w:val="xl96"/>
    <w:basedOn w:val="Normal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7">
    <w:name w:val="xl97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99">
    <w:name w:val="xl99"/>
    <w:basedOn w:val="Normal"/>
    <w:rsid w:val="002C17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00">
    <w:name w:val="xl100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01">
    <w:name w:val="xl101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2">
    <w:name w:val="xl102"/>
    <w:basedOn w:val="Normal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3">
    <w:name w:val="xl103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4">
    <w:name w:val="xl104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5">
    <w:name w:val="xl105"/>
    <w:basedOn w:val="Normal"/>
    <w:rsid w:val="002C17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6">
    <w:name w:val="xl106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customStyle="1" w:styleId="xl107">
    <w:name w:val="xl107"/>
    <w:basedOn w:val="Normal"/>
    <w:rsid w:val="002C1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8">
    <w:name w:val="xl108"/>
    <w:basedOn w:val="Normal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09">
    <w:name w:val="xl109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10">
    <w:name w:val="xl110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1">
    <w:name w:val="xl111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2">
    <w:name w:val="xl112"/>
    <w:basedOn w:val="Normal"/>
    <w:rsid w:val="002C178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3">
    <w:name w:val="xl113"/>
    <w:basedOn w:val="Normal"/>
    <w:rsid w:val="002C17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4">
    <w:name w:val="xl114"/>
    <w:basedOn w:val="Normal"/>
    <w:rsid w:val="002C178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5">
    <w:name w:val="xl115"/>
    <w:basedOn w:val="Normal"/>
    <w:rsid w:val="002C178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6">
    <w:name w:val="xl116"/>
    <w:basedOn w:val="Normal"/>
    <w:rsid w:val="002C178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7">
    <w:name w:val="xl117"/>
    <w:basedOn w:val="Normal"/>
    <w:rsid w:val="002C178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18">
    <w:name w:val="xl118"/>
    <w:basedOn w:val="Normal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9">
    <w:name w:val="xl119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0">
    <w:name w:val="xl120"/>
    <w:basedOn w:val="Normal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1">
    <w:name w:val="xl121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2">
    <w:name w:val="xl122"/>
    <w:basedOn w:val="Normal"/>
    <w:rsid w:val="002C1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3">
    <w:name w:val="xl123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4">
    <w:name w:val="xl12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25">
    <w:name w:val="xl125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6">
    <w:name w:val="xl126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27">
    <w:name w:val="xl127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8">
    <w:name w:val="xl128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9">
    <w:name w:val="xl129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0">
    <w:name w:val="xl130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1">
    <w:name w:val="xl131"/>
    <w:basedOn w:val="Normal"/>
    <w:rsid w:val="002C17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2">
    <w:name w:val="xl13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3">
    <w:name w:val="xl133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4">
    <w:name w:val="xl13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5">
    <w:name w:val="xl135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6">
    <w:name w:val="xl136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37">
    <w:name w:val="xl137"/>
    <w:basedOn w:val="Normal"/>
    <w:rsid w:val="002C17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38">
    <w:name w:val="xl138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39">
    <w:name w:val="xl139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40">
    <w:name w:val="xl140"/>
    <w:basedOn w:val="Normal"/>
    <w:rsid w:val="002C178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1">
    <w:name w:val="xl141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2">
    <w:name w:val="xl142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3">
    <w:name w:val="xl143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4">
    <w:name w:val="xl144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5">
    <w:name w:val="xl145"/>
    <w:basedOn w:val="Normal"/>
    <w:rsid w:val="002C17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47">
    <w:name w:val="xl147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8">
    <w:name w:val="xl148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49">
    <w:name w:val="xl149"/>
    <w:basedOn w:val="Normal"/>
    <w:rsid w:val="002C1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xl150">
    <w:name w:val="xl150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en-GB"/>
    </w:rPr>
  </w:style>
  <w:style w:type="paragraph" w:customStyle="1" w:styleId="xl151">
    <w:name w:val="xl151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2">
    <w:name w:val="xl152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3">
    <w:name w:val="xl153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54">
    <w:name w:val="xl154"/>
    <w:basedOn w:val="Normal"/>
    <w:rsid w:val="002C1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ocheader">
    <w:name w:val="doc_header"/>
    <w:basedOn w:val="Fontdeparagrafimplicit"/>
    <w:rsid w:val="00B105AC"/>
  </w:style>
  <w:style w:type="paragraph" w:customStyle="1" w:styleId="cn">
    <w:name w:val="cn"/>
    <w:basedOn w:val="Normal"/>
    <w:rsid w:val="00FD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b">
    <w:name w:val="pb"/>
    <w:basedOn w:val="Normal"/>
    <w:rsid w:val="00FE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fCaracter">
    <w:name w:val="Listă paragraf Caracter"/>
    <w:aliases w:val="List Paragraph 1 Caracter"/>
    <w:link w:val="Listparagraf"/>
    <w:uiPriority w:val="72"/>
    <w:locked/>
    <w:rsid w:val="00E85221"/>
  </w:style>
  <w:style w:type="paragraph" w:styleId="Textnotdesubsol">
    <w:name w:val="footnote text"/>
    <w:basedOn w:val="Normal"/>
    <w:link w:val="TextnotdesubsolCaracter"/>
    <w:uiPriority w:val="99"/>
    <w:rsid w:val="00E85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E85221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Referinnotdesubsol">
    <w:name w:val="footnote reference"/>
    <w:rsid w:val="00E85221"/>
    <w:rPr>
      <w:vertAlign w:val="superscript"/>
    </w:rPr>
  </w:style>
  <w:style w:type="character" w:customStyle="1" w:styleId="alineat1">
    <w:name w:val="alineat1"/>
    <w:rsid w:val="00E85221"/>
    <w:rPr>
      <w:b/>
      <w:bCs/>
      <w:color w:val="000000"/>
    </w:rPr>
  </w:style>
  <w:style w:type="table" w:styleId="Tabelgril5ntunecat-Accentuare6">
    <w:name w:val="Grid Table 5 Dark Accent 6"/>
    <w:basedOn w:val="TabelNormal"/>
    <w:uiPriority w:val="50"/>
    <w:rsid w:val="00E85221"/>
    <w:pPr>
      <w:spacing w:after="0" w:line="240" w:lineRule="auto"/>
    </w:pPr>
    <w:rPr>
      <w:rFonts w:eastAsiaTheme="minorHAnsi"/>
      <w:lang w:val="ro-R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spar">
    <w:name w:val="s_par"/>
    <w:basedOn w:val="Fontdeparagrafimplicit"/>
    <w:rsid w:val="003D765C"/>
  </w:style>
  <w:style w:type="character" w:customStyle="1" w:styleId="salnttl">
    <w:name w:val="s_aln_ttl"/>
    <w:basedOn w:val="Fontdeparagrafimplicit"/>
    <w:rsid w:val="003D765C"/>
  </w:style>
  <w:style w:type="character" w:customStyle="1" w:styleId="salnbdy">
    <w:name w:val="s_aln_bdy"/>
    <w:basedOn w:val="Fontdeparagrafimplicit"/>
    <w:rsid w:val="003D765C"/>
  </w:style>
  <w:style w:type="character" w:customStyle="1" w:styleId="slitbdy">
    <w:name w:val="s_lit_bdy"/>
    <w:basedOn w:val="Fontdeparagrafimplicit"/>
    <w:rsid w:val="003D765C"/>
  </w:style>
  <w:style w:type="paragraph" w:customStyle="1" w:styleId="rg">
    <w:name w:val="rg"/>
    <w:basedOn w:val="Normal"/>
    <w:rsid w:val="0067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67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B7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68DF-94A0-49C0-8E2B-F085BDA6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3846</Characters>
  <Application>Microsoft Office Word</Application>
  <DocSecurity>0</DocSecurity>
  <Lines>32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Gherta Alina</dc:creator>
  <cp:keywords/>
  <dc:description/>
  <cp:lastModifiedBy>Lungu, Alexandru</cp:lastModifiedBy>
  <cp:revision>3</cp:revision>
  <cp:lastPrinted>2022-12-22T09:32:00Z</cp:lastPrinted>
  <dcterms:created xsi:type="dcterms:W3CDTF">2022-12-22T10:09:00Z</dcterms:created>
  <dcterms:modified xsi:type="dcterms:W3CDTF">2022-12-22T12:14:00Z</dcterms:modified>
</cp:coreProperties>
</file>