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0" w:rsidRPr="0089132D" w:rsidRDefault="00D27310" w:rsidP="00D2731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27310" w:rsidRPr="00057B9E" w:rsidRDefault="00D27310" w:rsidP="00D2731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bookmarkStart w:id="0" w:name="_GoBack"/>
      <w:r w:rsidRPr="00057B9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NOTĂ INFORMATIVĂ</w:t>
      </w:r>
    </w:p>
    <w:bookmarkEnd w:id="0"/>
    <w:p w:rsidR="00AB62CE" w:rsidRPr="00057B9E" w:rsidRDefault="00D27310" w:rsidP="00D2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57B9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la proiectul hotărârii Guvernului </w:t>
      </w:r>
    </w:p>
    <w:p w:rsidR="00AB62CE" w:rsidRPr="00057B9E" w:rsidRDefault="00D27310" w:rsidP="0005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  <w:r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>cu privire</w:t>
      </w:r>
      <w:r w:rsidR="00AB62CE"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 xml:space="preserve"> </w:t>
      </w:r>
      <w:r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>la eliberarea p</w:t>
      </w:r>
      <w:r w:rsidR="00AB62CE"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>ăcuri</w:t>
      </w:r>
      <w:r w:rsidR="00513005"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>i</w:t>
      </w:r>
      <w:r w:rsidRPr="00057B9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o-RO" w:eastAsia="ru-RU"/>
        </w:rPr>
        <w:t xml:space="preserve"> din rezervele de stat</w:t>
      </w:r>
      <w:r w:rsidRP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AB62CE" w:rsidRP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>(număr unic 761/MAI/2022)</w:t>
      </w:r>
    </w:p>
    <w:p w:rsidR="00057B9E" w:rsidRPr="00057B9E" w:rsidRDefault="00057B9E" w:rsidP="0005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tbl>
      <w:tblPr>
        <w:tblStyle w:val="1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1. </w:t>
            </w:r>
            <w:r w:rsidRPr="00057B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FA4986" w:rsidP="00D27310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Proiectul a fost elaborat de către Ministerul Afacerilor Interne.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2. Condiţiile ce au impus elaborarea proiectului şi fin</w:t>
            </w:r>
            <w:r w:rsidR="00390E5A"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</w:t>
            </w: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lităţile urmărite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a fost elaborat în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temeiul art.</w:t>
            </w:r>
            <w:r w:rsidR="006C0025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 alin.</w:t>
            </w:r>
            <w:r w:rsidR="006C0025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(1), alin.</w:t>
            </w:r>
            <w:r w:rsidR="006C0025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(2) lit.</w:t>
            </w:r>
            <w:r w:rsidR="006C0025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a) și alin.</w:t>
            </w:r>
            <w:r w:rsidR="006C0025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(3) din 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Legea </w:t>
            </w:r>
            <w:r w:rsidR="008A74BA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="006C0025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104/2020 cu privire la rezervele de stat și de mobilizare, </w:t>
            </w:r>
            <w:r w:rsidR="005C47A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precum și în</w:t>
            </w:r>
            <w:r w:rsidR="00FE703B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tru executarea</w:t>
            </w:r>
            <w:r w:rsidR="005C47A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pct. 1 sbp. 1.1. a Dispoziției nr. 41 din 7 octombrie 2022 a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Comisiei pentru Situaţii Excepționale a Republicii Moldova</w:t>
            </w:r>
            <w:r w:rsidR="005C47A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A76AA" w:rsidRPr="00057B9E" w:rsidRDefault="00D27310" w:rsidP="00FA76AA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Scopul proiectului </w:t>
            </w:r>
            <w:r w:rsidR="00693AE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redă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5C47A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interve</w:t>
            </w:r>
            <w:r w:rsidR="006C002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n</w:t>
            </w:r>
            <w:r w:rsidR="005C47A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ția statului în vederea optimizării consumului de gaze naturale în contextul </w:t>
            </w:r>
            <w:r w:rsidR="0023751F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reducerii volumelor </w:t>
            </w:r>
            <w:r w:rsidR="006C002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de gaze naturale </w:t>
            </w:r>
            <w:r w:rsidR="00D33F7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livrate Republicii Moldova de către S.A. </w:t>
            </w:r>
            <w:r w:rsidR="00F7470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„Gazprom”</w:t>
            </w:r>
            <w:r w:rsidR="005C6FF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și menținerea securității energetice </w:t>
            </w:r>
            <w:r w:rsidR="00FC54C0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prin asigurarea tuturor consumatorilor cu resurse energetice </w:t>
            </w:r>
            <w:r w:rsidR="005C6FF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până la normalizarea situației. </w:t>
            </w:r>
            <w:r w:rsidR="00F7470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7D22E7" w:rsidRPr="00057B9E" w:rsidRDefault="00FA76AA" w:rsidP="00D53FF8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În acest sens, </w:t>
            </w:r>
            <w:r w:rsidR="00794C4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Agenția Rezerve Materiale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794C4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va elibera S.A. „Termoelectrica” 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din rezervele de stat, cu titlu de deblocare, cantitatea de </w:t>
            </w:r>
            <w:r w:rsidR="009F023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8000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D53FF8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tone de păcură. </w:t>
            </w:r>
          </w:p>
          <w:p w:rsidR="007D22E7" w:rsidRPr="00057B9E" w:rsidRDefault="00D53FF8" w:rsidP="00D53FF8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Arderea</w:t>
            </w:r>
            <w:r w:rsidR="00FA76A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păcurii eliberate va permite</w:t>
            </w:r>
            <w:r w:rsidR="008232B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continuarea livrării</w:t>
            </w:r>
            <w:r w:rsidR="006C002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gazelor naturale și menținerea presiunii </w:t>
            </w:r>
            <w:r w:rsidR="00693AE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necesare </w:t>
            </w:r>
            <w:r w:rsidR="006C002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în conductele de gaz, ceea ce va duce la </w:t>
            </w:r>
            <w:r w:rsidR="00FA76A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asigurarea</w:t>
            </w:r>
            <w:r w:rsidR="007D22E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funcționării normale a termocentralelor pe gaz, în condițiile în care o mare parte a blocurilor de locuit folosesc această sursă de energie. </w:t>
            </w:r>
            <w:r w:rsidR="006C002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3177B5" w:rsidRPr="00057B9E" w:rsidRDefault="003177B5" w:rsidP="00D53FF8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Această măsură se impune în</w:t>
            </w:r>
            <w:r w:rsidR="008232B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contextul limitării volumului de gaze naturale prevăzute pentru luna octombrie livrate către Republica Moldova de către Federația Rusă prin intermediul S.A. ”Gazprom”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.</w:t>
            </w:r>
          </w:p>
          <w:p w:rsidR="006C0025" w:rsidRPr="00057B9E" w:rsidRDefault="007D22E7" w:rsidP="007D22E7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Astfel, populația care locuiește în blocurile conectate la</w:t>
            </w:r>
            <w:r w:rsidR="007C210E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agentul energetic și termic generat de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cazangerii pe gaz își va putea desfășura activitățile curente</w:t>
            </w:r>
            <w:r w:rsidR="00A3351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într-un regim normal și stabil, fiind evitate la minim devierile din sistem sau deconectările. 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8232BA" w:rsidRPr="00057B9E" w:rsidRDefault="007D22E7" w:rsidP="00693AE7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Totodată, reieșind din considerentul că cantitatea de 8000 tone de păcură </w:t>
            </w:r>
            <w:r w:rsidR="00863943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este eliberată din rezervele de stat prin </w:t>
            </w:r>
            <w:r w:rsidR="00A3351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deblocare, S.A. „Termoelectrica” fiind </w:t>
            </w:r>
            <w:r w:rsidR="005E7EBB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scutită </w:t>
            </w:r>
            <w:r w:rsidR="00A3351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de obligația de restituire, precum și </w:t>
            </w:r>
            <w:r w:rsidR="008232B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luând în calcul</w:t>
            </w:r>
            <w:r w:rsidR="00A3351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durabilitatea operațiunilor de achiziții,</w:t>
            </w:r>
            <w:r w:rsidR="00693AE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sursele financiare</w:t>
            </w:r>
            <w:r w:rsidR="00FC54C0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necesare pentru completarea rezervelor de stat cu cantitatea de păcură eliberată vor fi incluse în proiectul legii bugetului de stat pentru anu</w:t>
            </w:r>
            <w:r w:rsidR="00693AE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l 2023, </w:t>
            </w:r>
            <w:r w:rsidR="008232BA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care, conform estimărilor realizate la momentul elaborării proiectului, constituie cca 169,3 mln lei.  </w:t>
            </w:r>
          </w:p>
          <w:p w:rsidR="0068217C" w:rsidRPr="00057B9E" w:rsidRDefault="009F1465" w:rsidP="009F1465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În sco</w:t>
            </w:r>
            <w:r w:rsidR="003177B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pul intervenirii operative a sta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tului pentru menținerea securității energetice, p</w:t>
            </w:r>
            <w:r w:rsidR="0068217C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roiectul hotărârii Guvernului urmează să intre în vigoare la data 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publicării în Monitorul Oficial</w:t>
            </w:r>
            <w:r w:rsidR="003177B5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al Republicii Moldova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.</w:t>
            </w:r>
            <w:r w:rsidR="0068217C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nu are ca scop armonizarea legislației naționale cu legislaţia Uniunii Europene.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4. Principalele prevederi ale proiectului şi evidenţierea elementelor noi </w:t>
            </w:r>
          </w:p>
        </w:tc>
      </w:tr>
      <w:tr w:rsidR="00D27310" w:rsidRPr="00057B9E" w:rsidTr="00057B9E">
        <w:tc>
          <w:tcPr>
            <w:tcW w:w="10632" w:type="dxa"/>
          </w:tcPr>
          <w:p w:rsidR="00F74707" w:rsidRPr="00057B9E" w:rsidRDefault="00D27310" w:rsidP="00F74707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Proiectul are drept scop </w:t>
            </w:r>
            <w:r w:rsidR="00936E2B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eliberarea cantității de </w:t>
            </w:r>
            <w:r w:rsidR="00255D30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8000</w:t>
            </w:r>
            <w:r w:rsidR="00936E2B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tone de păcură din 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rezervele de stat </w:t>
            </w:r>
            <w:r w:rsidR="00354C89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către </w:t>
            </w:r>
            <w:r w:rsidR="00D1178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S.A. „Termoelectrica” </w:t>
            </w:r>
            <w:r w:rsidR="00936E2B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1178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pentru </w:t>
            </w:r>
            <w:r w:rsidR="00255D30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optimizarea consumului de gaze naturale în contextul reducerii volumelor de gaze naturale livrate Republicii Moldova de către S.A. „Gazprom”</w:t>
            </w:r>
            <w:r w:rsidR="00F74707"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. </w:t>
            </w:r>
          </w:p>
          <w:p w:rsidR="00D27310" w:rsidRPr="00057B9E" w:rsidRDefault="00513005" w:rsidP="00F74707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7470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De asemenea, în temeiul art. 26 alin. (1) din Legea nr. 104/2022 cu privire la rezervele de stat și de mobilizare, Ministerul Finanțelor, la propunerea Ministerului Afacerilor Interne</w:t>
            </w:r>
            <w:r w:rsidR="00354C89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F7470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7470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va include în proiectul legii bugetului de stat pentru anul 2023 cheltuielile necesare pentru completarea rezervelor de stat cu cantitatea de păcură eliberată cu titlu de deblocare. 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89132D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lastRenderedPageBreak/>
              <w:t>5. Fundamentarea economico-financiară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3A78C7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Implementarea prevederilor prezentului proiect necesită </w:t>
            </w:r>
            <w:r w:rsidR="003A78C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includerea în proiectul legii bugetului pentru anul 2023 și respectiv</w:t>
            </w:r>
            <w:r w:rsidR="00693AE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,</w:t>
            </w:r>
            <w:r w:rsidR="003A78C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alocarea 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Agenţiei Rezerve Materiale</w:t>
            </w:r>
            <w:r w:rsidR="00693AE7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A78C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 mijloacelor financiare necesare pentru achiziționarea în anul 2023 a cantității de 8000 tone păcură pentru suplinire</w:t>
            </w:r>
            <w:r w:rsidR="00693AE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 stocurilor rezervelor de stat, care la moment constituie cca 169,3 mln lei.</w:t>
            </w:r>
            <w:r w:rsidR="003A78C7"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6. Modul de încorporare a proiectului în cadrul normativ în vigoare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89132D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Aprobarea proiectului nu va genera modificări sau ajustări a cadrului normativ în vigoare.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7.  Avizarea şi consultarea publică </w:t>
            </w:r>
          </w:p>
        </w:tc>
      </w:tr>
      <w:tr w:rsidR="00D27310" w:rsidRPr="00057B9E" w:rsidTr="00057B9E">
        <w:tc>
          <w:tcPr>
            <w:tcW w:w="10632" w:type="dxa"/>
          </w:tcPr>
          <w:p w:rsidR="00D27310" w:rsidRPr="00057B9E" w:rsidRDefault="0089132D" w:rsidP="0089132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Reieșind din importanța majoră, proiectul a fost eleborat în regim de urgență, respectiv, s-a omis etapa de</w:t>
            </w:r>
            <w:r w:rsidR="007F5875" w:rsidRPr="00057B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consultare publică a acestuia, în conformitate cu art. 14 alin. (1) din Legea nr. 239/2008 privind transparenţa în procesul decizional.</w:t>
            </w:r>
          </w:p>
          <w:p w:rsidR="00A3138C" w:rsidRPr="00057B9E" w:rsidRDefault="00A3138C" w:rsidP="00AA71A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sz w:val="28"/>
                <w:szCs w:val="28"/>
              </w:rPr>
              <w:t xml:space="preserve">Proiectul </w:t>
            </w:r>
            <w:r w:rsidR="00057B9E" w:rsidRPr="00057B9E">
              <w:rPr>
                <w:rFonts w:ascii="Times New Roman" w:hAnsi="Times New Roman" w:cs="Times New Roman"/>
                <w:sz w:val="28"/>
                <w:szCs w:val="28"/>
              </w:rPr>
              <w:t xml:space="preserve">a fost avizat de </w:t>
            </w:r>
            <w:r w:rsidR="00AA71A0">
              <w:rPr>
                <w:rFonts w:ascii="Times New Roman" w:hAnsi="Times New Roman" w:cs="Times New Roman"/>
                <w:sz w:val="28"/>
                <w:szCs w:val="28"/>
              </w:rPr>
              <w:t xml:space="preserve">către Ministerul Infrastructurii și Dezvoltării Regionale și de către Ministerul Finanțelor. </w:t>
            </w:r>
            <w:r w:rsidR="00DC1978">
              <w:rPr>
                <w:rFonts w:ascii="Times New Roman" w:hAnsi="Times New Roman" w:cs="Times New Roman"/>
                <w:sz w:val="28"/>
                <w:szCs w:val="28"/>
              </w:rPr>
              <w:t>Ministerul infrastructurii și Dezvoltări Regionale a prezentat lipsă de obiecții și propuneri. T</w:t>
            </w:r>
            <w:r w:rsidR="00AA71A0">
              <w:rPr>
                <w:rFonts w:ascii="Times New Roman" w:hAnsi="Times New Roman" w:cs="Times New Roman"/>
                <w:sz w:val="28"/>
                <w:szCs w:val="28"/>
              </w:rPr>
              <w:t xml:space="preserve">oate obiecțiile și propunerile </w:t>
            </w:r>
            <w:r w:rsidR="00DC1978">
              <w:rPr>
                <w:rFonts w:ascii="Times New Roman" w:hAnsi="Times New Roman" w:cs="Times New Roman"/>
                <w:sz w:val="28"/>
                <w:szCs w:val="28"/>
              </w:rPr>
              <w:t xml:space="preserve">înaintate de către Ministerul Finanțelor </w:t>
            </w:r>
            <w:r w:rsidR="00AA71A0">
              <w:rPr>
                <w:rFonts w:ascii="Times New Roman" w:hAnsi="Times New Roman" w:cs="Times New Roman"/>
                <w:sz w:val="28"/>
                <w:szCs w:val="28"/>
              </w:rPr>
              <w:t xml:space="preserve">la proiect au fost luate în considerație. </w:t>
            </w:r>
          </w:p>
        </w:tc>
      </w:tr>
      <w:tr w:rsidR="00057B9E" w:rsidRPr="00057B9E" w:rsidTr="00057B9E">
        <w:tc>
          <w:tcPr>
            <w:tcW w:w="10632" w:type="dxa"/>
          </w:tcPr>
          <w:p w:rsidR="00057B9E" w:rsidRPr="00057B9E" w:rsidRDefault="00057B9E" w:rsidP="00E123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57B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8. </w:t>
            </w:r>
            <w:r w:rsidR="00E123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Constatările expertizei anticorupție</w:t>
            </w:r>
          </w:p>
        </w:tc>
      </w:tr>
      <w:tr w:rsidR="00E123C0" w:rsidRPr="00057B9E" w:rsidTr="00057B9E">
        <w:tc>
          <w:tcPr>
            <w:tcW w:w="10632" w:type="dxa"/>
          </w:tcPr>
          <w:p w:rsidR="00BC5FE4" w:rsidRDefault="00E123C0" w:rsidP="00BC5FE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23C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</w:t>
            </w:r>
            <w:r w:rsidR="00BC5F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supus expertizei anticorupție. </w:t>
            </w:r>
          </w:p>
          <w:p w:rsidR="00BC5FE4" w:rsidRPr="00E123C0" w:rsidRDefault="00BC5FE4" w:rsidP="00BC5FE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Urmare expertizei nu au fost identificate riscuri de corupție. </w:t>
            </w:r>
          </w:p>
        </w:tc>
      </w:tr>
      <w:tr w:rsidR="00E123C0" w:rsidRPr="00057B9E" w:rsidTr="00057B9E">
        <w:tc>
          <w:tcPr>
            <w:tcW w:w="10632" w:type="dxa"/>
          </w:tcPr>
          <w:p w:rsidR="00E123C0" w:rsidRPr="00E123C0" w:rsidRDefault="00E123C0" w:rsidP="00E123C0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23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 Constatările expertizei juridice</w:t>
            </w:r>
          </w:p>
        </w:tc>
      </w:tr>
      <w:tr w:rsidR="00E123C0" w:rsidRPr="00057B9E" w:rsidTr="00057B9E">
        <w:tc>
          <w:tcPr>
            <w:tcW w:w="10632" w:type="dxa"/>
          </w:tcPr>
          <w:p w:rsidR="00E123C0" w:rsidRDefault="00E123C0" w:rsidP="00E123C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 Justiției a efcetuat expertiza juridică a proiectului. Urmare acesteia a fost comunicată lipsa obiecțiilor de ordin conceptual. </w:t>
            </w:r>
          </w:p>
          <w:p w:rsidR="00E123C0" w:rsidRPr="00E123C0" w:rsidRDefault="00E123C0" w:rsidP="00E123C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Totodată, clauza de adoptare a fost modificată conform normelor de tehnică legislativă. </w:t>
            </w:r>
          </w:p>
        </w:tc>
      </w:tr>
      <w:tr w:rsidR="00A3138C" w:rsidRPr="00057B9E" w:rsidTr="00057B9E">
        <w:tc>
          <w:tcPr>
            <w:tcW w:w="10632" w:type="dxa"/>
            <w:hideMark/>
          </w:tcPr>
          <w:p w:rsidR="00A3138C" w:rsidRPr="00057B9E" w:rsidRDefault="00A3138C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8C7" w:rsidRPr="00057B9E" w:rsidRDefault="003A78C7" w:rsidP="00D27310">
      <w:pPr>
        <w:ind w:hanging="660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p w:rsidR="00895DB7" w:rsidRPr="00057B9E" w:rsidRDefault="00D27310" w:rsidP="009F1465">
      <w:pPr>
        <w:ind w:hanging="66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Secretar </w:t>
      </w:r>
      <w:r w:rsidR="003A78C7" w:rsidRP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general al ministerului                                                           </w:t>
      </w:r>
      <w:r w:rsid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Pr="00057B9E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>Serghei DIACONU</w:t>
      </w:r>
    </w:p>
    <w:sectPr w:rsidR="00895DB7" w:rsidRPr="00057B9E" w:rsidSect="00057B9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2"/>
    <w:rsid w:val="0000513D"/>
    <w:rsid w:val="00052724"/>
    <w:rsid w:val="00057B9E"/>
    <w:rsid w:val="000D413F"/>
    <w:rsid w:val="00102BDF"/>
    <w:rsid w:val="001350F3"/>
    <w:rsid w:val="00180170"/>
    <w:rsid w:val="0023751F"/>
    <w:rsid w:val="0023787E"/>
    <w:rsid w:val="00255D30"/>
    <w:rsid w:val="002569D4"/>
    <w:rsid w:val="002B00AA"/>
    <w:rsid w:val="0030458C"/>
    <w:rsid w:val="00314E5E"/>
    <w:rsid w:val="003177B5"/>
    <w:rsid w:val="00321FA6"/>
    <w:rsid w:val="00354C89"/>
    <w:rsid w:val="00380BF3"/>
    <w:rsid w:val="00383291"/>
    <w:rsid w:val="00390E5A"/>
    <w:rsid w:val="003A78C7"/>
    <w:rsid w:val="004418A8"/>
    <w:rsid w:val="00451368"/>
    <w:rsid w:val="004E18F9"/>
    <w:rsid w:val="00513005"/>
    <w:rsid w:val="00527008"/>
    <w:rsid w:val="00527D9B"/>
    <w:rsid w:val="00553B8B"/>
    <w:rsid w:val="00564CA7"/>
    <w:rsid w:val="005B0FC2"/>
    <w:rsid w:val="005C47A7"/>
    <w:rsid w:val="005C6FF3"/>
    <w:rsid w:val="005E7EBB"/>
    <w:rsid w:val="0068217C"/>
    <w:rsid w:val="00693AE7"/>
    <w:rsid w:val="00696C6F"/>
    <w:rsid w:val="006B3068"/>
    <w:rsid w:val="006C0025"/>
    <w:rsid w:val="0071694D"/>
    <w:rsid w:val="00794C43"/>
    <w:rsid w:val="007C210E"/>
    <w:rsid w:val="007D22E7"/>
    <w:rsid w:val="007F5875"/>
    <w:rsid w:val="008232BA"/>
    <w:rsid w:val="008513FC"/>
    <w:rsid w:val="00863943"/>
    <w:rsid w:val="00881724"/>
    <w:rsid w:val="0089132D"/>
    <w:rsid w:val="00895DB7"/>
    <w:rsid w:val="008A74BA"/>
    <w:rsid w:val="008B4A60"/>
    <w:rsid w:val="008D70A1"/>
    <w:rsid w:val="00936E2B"/>
    <w:rsid w:val="0095673C"/>
    <w:rsid w:val="00961D78"/>
    <w:rsid w:val="0096230E"/>
    <w:rsid w:val="00984579"/>
    <w:rsid w:val="009F023A"/>
    <w:rsid w:val="009F1465"/>
    <w:rsid w:val="00A3138C"/>
    <w:rsid w:val="00A33515"/>
    <w:rsid w:val="00A354CE"/>
    <w:rsid w:val="00A4383F"/>
    <w:rsid w:val="00A72841"/>
    <w:rsid w:val="00A93732"/>
    <w:rsid w:val="00AA71A0"/>
    <w:rsid w:val="00AB06A0"/>
    <w:rsid w:val="00AB62CE"/>
    <w:rsid w:val="00AF0023"/>
    <w:rsid w:val="00B41ED0"/>
    <w:rsid w:val="00BC5FE4"/>
    <w:rsid w:val="00BF5816"/>
    <w:rsid w:val="00C25E61"/>
    <w:rsid w:val="00C96487"/>
    <w:rsid w:val="00CC12E9"/>
    <w:rsid w:val="00D11787"/>
    <w:rsid w:val="00D27310"/>
    <w:rsid w:val="00D316D8"/>
    <w:rsid w:val="00D33F73"/>
    <w:rsid w:val="00D53FF8"/>
    <w:rsid w:val="00D77262"/>
    <w:rsid w:val="00D96CB5"/>
    <w:rsid w:val="00DC1978"/>
    <w:rsid w:val="00DF0B83"/>
    <w:rsid w:val="00E123C0"/>
    <w:rsid w:val="00E12911"/>
    <w:rsid w:val="00F0680B"/>
    <w:rsid w:val="00F60B49"/>
    <w:rsid w:val="00F74707"/>
    <w:rsid w:val="00FA4986"/>
    <w:rsid w:val="00FA76AA"/>
    <w:rsid w:val="00FB67E0"/>
    <w:rsid w:val="00FB7F3F"/>
    <w:rsid w:val="00FC54C0"/>
    <w:rsid w:val="00FE690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Dorin Dorin</cp:lastModifiedBy>
  <cp:revision>2</cp:revision>
  <dcterms:created xsi:type="dcterms:W3CDTF">2022-10-12T17:00:00Z</dcterms:created>
  <dcterms:modified xsi:type="dcterms:W3CDTF">2022-10-12T17:00:00Z</dcterms:modified>
</cp:coreProperties>
</file>