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6118" w14:textId="77777777" w:rsidR="004328A1" w:rsidRPr="00C7121D" w:rsidRDefault="004328A1" w:rsidP="004328A1">
      <w:pPr>
        <w:ind w:right="-39"/>
        <w:jc w:val="center"/>
        <w:rPr>
          <w:b/>
          <w:sz w:val="28"/>
          <w:szCs w:val="28"/>
          <w:lang w:val="ro-RO"/>
        </w:rPr>
      </w:pPr>
      <w:r w:rsidRPr="00C7121D">
        <w:rPr>
          <w:b/>
          <w:sz w:val="28"/>
          <w:szCs w:val="28"/>
          <w:lang w:val="ro-RO"/>
        </w:rPr>
        <w:t>NOTĂ INFORMATIVĂ</w:t>
      </w:r>
    </w:p>
    <w:p w14:paraId="41844D95" w14:textId="77777777" w:rsidR="00BF4CA0" w:rsidRPr="00C7121D" w:rsidRDefault="004328A1" w:rsidP="004328A1">
      <w:pPr>
        <w:ind w:right="-39"/>
        <w:jc w:val="center"/>
        <w:rPr>
          <w:b/>
          <w:sz w:val="28"/>
          <w:szCs w:val="28"/>
          <w:lang w:val="ro-RO"/>
        </w:rPr>
      </w:pPr>
      <w:r w:rsidRPr="00C7121D">
        <w:rPr>
          <w:b/>
          <w:sz w:val="28"/>
          <w:szCs w:val="28"/>
          <w:lang w:val="ro-RO"/>
        </w:rPr>
        <w:t xml:space="preserve">la proiectul </w:t>
      </w:r>
      <w:r w:rsidR="00BF4CA0" w:rsidRPr="00C7121D">
        <w:rPr>
          <w:b/>
          <w:sz w:val="28"/>
          <w:szCs w:val="28"/>
          <w:lang w:val="ro-RO"/>
        </w:rPr>
        <w:t xml:space="preserve">hotărârii Guvernului cu privire la </w:t>
      </w:r>
    </w:p>
    <w:p w14:paraId="72319FBF" w14:textId="0BA127DF" w:rsidR="004328A1" w:rsidRPr="00C7121D" w:rsidRDefault="00BF4CA0" w:rsidP="004328A1">
      <w:pPr>
        <w:ind w:right="-39"/>
        <w:jc w:val="center"/>
        <w:rPr>
          <w:b/>
          <w:sz w:val="28"/>
          <w:szCs w:val="28"/>
          <w:lang w:val="ro-RO"/>
        </w:rPr>
      </w:pPr>
      <w:r w:rsidRPr="00C7121D">
        <w:rPr>
          <w:b/>
          <w:sz w:val="28"/>
          <w:szCs w:val="28"/>
          <w:lang w:val="ro-RO"/>
        </w:rPr>
        <w:t>Comisia Națională pentru Monopol Fiscal</w:t>
      </w:r>
    </w:p>
    <w:p w14:paraId="74CA4DE8" w14:textId="79A7F7AD" w:rsidR="004328A1" w:rsidRPr="00C7121D" w:rsidRDefault="004328A1" w:rsidP="004328A1">
      <w:pPr>
        <w:ind w:right="-39"/>
        <w:jc w:val="center"/>
        <w:rPr>
          <w:b/>
          <w:sz w:val="28"/>
          <w:szCs w:val="28"/>
          <w:lang w:val="ro-RO"/>
        </w:rPr>
      </w:pPr>
    </w:p>
    <w:p w14:paraId="1147268F" w14:textId="77777777" w:rsidR="004328A1" w:rsidRPr="00C7121D" w:rsidRDefault="004328A1" w:rsidP="00D0696D">
      <w:pPr>
        <w:pStyle w:val="ListParagraph"/>
        <w:numPr>
          <w:ilvl w:val="3"/>
          <w:numId w:val="1"/>
        </w:numPr>
        <w:shd w:val="clear" w:color="auto" w:fill="DEEAF6"/>
        <w:tabs>
          <w:tab w:val="clear" w:pos="4755"/>
          <w:tab w:val="left" w:pos="1134"/>
        </w:tabs>
        <w:spacing w:after="0" w:line="240" w:lineRule="auto"/>
        <w:ind w:left="0" w:right="-1" w:firstLine="595"/>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 xml:space="preserve">Denumirea autorului și, după caz, a participanților la elaborarea proiectului </w:t>
      </w:r>
    </w:p>
    <w:p w14:paraId="719EF258" w14:textId="77777777" w:rsidR="004328A1" w:rsidRPr="00C7121D" w:rsidRDefault="004328A1" w:rsidP="00E6293D">
      <w:pPr>
        <w:spacing w:line="276" w:lineRule="auto"/>
        <w:ind w:right="-39"/>
        <w:jc w:val="both"/>
        <w:rPr>
          <w:sz w:val="28"/>
          <w:szCs w:val="28"/>
          <w:lang w:val="ro-RO" w:eastAsia="zh-CN"/>
        </w:rPr>
      </w:pPr>
      <w:r w:rsidRPr="00C7121D">
        <w:rPr>
          <w:b/>
          <w:i/>
          <w:sz w:val="28"/>
          <w:szCs w:val="28"/>
          <w:lang w:val="ro-RO"/>
        </w:rPr>
        <w:t xml:space="preserve">         </w:t>
      </w:r>
      <w:r w:rsidRPr="00C7121D">
        <w:rPr>
          <w:sz w:val="28"/>
          <w:szCs w:val="28"/>
          <w:lang w:val="ro-RO"/>
        </w:rPr>
        <w:t xml:space="preserve">Prezentul </w:t>
      </w:r>
      <w:r w:rsidRPr="00C7121D">
        <w:rPr>
          <w:sz w:val="28"/>
          <w:szCs w:val="28"/>
          <w:lang w:val="ro-RO" w:eastAsia="zh-CN"/>
        </w:rPr>
        <w:t xml:space="preserve">proiect de act normativ este elaborat de către Ministerul Economiei. </w:t>
      </w:r>
    </w:p>
    <w:p w14:paraId="79C41539" w14:textId="77777777" w:rsidR="004328A1" w:rsidRPr="00C7121D" w:rsidRDefault="004328A1" w:rsidP="00E6293D">
      <w:pPr>
        <w:spacing w:line="276" w:lineRule="auto"/>
        <w:ind w:right="-39"/>
        <w:jc w:val="both"/>
        <w:rPr>
          <w:i/>
          <w:sz w:val="28"/>
          <w:szCs w:val="28"/>
          <w:lang w:val="ro-RO"/>
        </w:rPr>
      </w:pPr>
    </w:p>
    <w:p w14:paraId="726F2444" w14:textId="77777777" w:rsidR="004328A1" w:rsidRPr="00C7121D" w:rsidRDefault="004328A1" w:rsidP="00E6293D">
      <w:pPr>
        <w:pStyle w:val="ListParagraph"/>
        <w:numPr>
          <w:ilvl w:val="3"/>
          <w:numId w:val="1"/>
        </w:numPr>
        <w:shd w:val="clear" w:color="auto" w:fill="DEEAF6"/>
        <w:tabs>
          <w:tab w:val="clear" w:pos="4755"/>
          <w:tab w:val="left" w:pos="1134"/>
        </w:tabs>
        <w:spacing w:after="0"/>
        <w:ind w:left="0" w:right="-1" w:firstLine="595"/>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Condițiile ce au impus elaborarea proiectului și finalitățile urmărite</w:t>
      </w:r>
    </w:p>
    <w:p w14:paraId="64AFEBB3" w14:textId="77777777" w:rsidR="00A11712" w:rsidRPr="00C7121D" w:rsidRDefault="00A11712" w:rsidP="00E6293D">
      <w:pPr>
        <w:pStyle w:val="NormalWeb"/>
        <w:spacing w:line="276" w:lineRule="auto"/>
        <w:rPr>
          <w:sz w:val="28"/>
          <w:szCs w:val="28"/>
          <w:lang w:val="ro-RO" w:eastAsia="en-GB"/>
        </w:rPr>
      </w:pPr>
      <w:r w:rsidRPr="00C7121D">
        <w:rPr>
          <w:sz w:val="28"/>
          <w:szCs w:val="28"/>
          <w:lang w:val="ro-RO" w:eastAsia="en-GB"/>
        </w:rPr>
        <w:t>În condițiile economiei de piață rolul statului este limitat la problemele esențiale ce privesc apărarea și promovarea interesului public în activitatea economică, desfășurată nemijlocit de către agenții economici pe baza autonomiei lor juridice.</w:t>
      </w:r>
    </w:p>
    <w:p w14:paraId="0FCF3E78" w14:textId="7AA99A3E" w:rsidR="00A11712" w:rsidRPr="00C7121D" w:rsidRDefault="00E65B61" w:rsidP="00E6293D">
      <w:pPr>
        <w:pStyle w:val="NormalWeb"/>
        <w:spacing w:line="276" w:lineRule="auto"/>
        <w:rPr>
          <w:sz w:val="28"/>
          <w:szCs w:val="28"/>
          <w:lang w:val="ro-RO" w:eastAsia="en-GB"/>
        </w:rPr>
      </w:pPr>
      <w:r w:rsidRPr="00C7121D">
        <w:rPr>
          <w:sz w:val="28"/>
          <w:szCs w:val="28"/>
          <w:lang w:val="ro-RO" w:eastAsia="en-GB"/>
        </w:rPr>
        <w:t>Prin urmare</w:t>
      </w:r>
      <w:r w:rsidR="00A11712" w:rsidRPr="00C7121D">
        <w:rPr>
          <w:sz w:val="28"/>
          <w:szCs w:val="28"/>
          <w:lang w:val="ro-RO" w:eastAsia="en-GB"/>
        </w:rPr>
        <w:t xml:space="preserve">, </w:t>
      </w:r>
      <w:r w:rsidR="00C7121D">
        <w:rPr>
          <w:sz w:val="28"/>
          <w:szCs w:val="28"/>
          <w:lang w:val="ro-RO" w:eastAsia="en-GB"/>
        </w:rPr>
        <w:t>în vederea</w:t>
      </w:r>
      <w:r w:rsidR="00A11712" w:rsidRPr="00C7121D">
        <w:rPr>
          <w:sz w:val="28"/>
          <w:szCs w:val="28"/>
          <w:lang w:val="ro-RO" w:eastAsia="en-GB"/>
        </w:rPr>
        <w:t xml:space="preserve"> apăr</w:t>
      </w:r>
      <w:r w:rsidR="00C7121D">
        <w:rPr>
          <w:sz w:val="28"/>
          <w:szCs w:val="28"/>
          <w:lang w:val="ro-RO" w:eastAsia="en-GB"/>
        </w:rPr>
        <w:t>ării</w:t>
      </w:r>
      <w:r w:rsidR="00A11712" w:rsidRPr="00C7121D">
        <w:rPr>
          <w:sz w:val="28"/>
          <w:szCs w:val="28"/>
          <w:lang w:val="ro-RO" w:eastAsia="en-GB"/>
        </w:rPr>
        <w:t xml:space="preserve"> și promov</w:t>
      </w:r>
      <w:r w:rsidR="00C7121D">
        <w:rPr>
          <w:sz w:val="28"/>
          <w:szCs w:val="28"/>
          <w:lang w:val="ro-RO" w:eastAsia="en-GB"/>
        </w:rPr>
        <w:t>ării</w:t>
      </w:r>
      <w:r w:rsidR="00A11712" w:rsidRPr="00C7121D">
        <w:rPr>
          <w:sz w:val="28"/>
          <w:szCs w:val="28"/>
          <w:lang w:val="ro-RO" w:eastAsia="en-GB"/>
        </w:rPr>
        <w:t xml:space="preserve"> unor interese de ordin general, statul acționează în mod indirect, prin intermediul Guvernului, care pune în acțiune pârghiile sale specifice - impozite, taxe, licențe, garantarea guvernamentală a unor credite, lansarea comenzilor de stat etc., și îndeosebi prin politica sa </w:t>
      </w:r>
      <w:r w:rsidR="00F13286">
        <w:rPr>
          <w:sz w:val="28"/>
          <w:szCs w:val="28"/>
          <w:lang w:val="ro-RO" w:eastAsia="en-GB"/>
        </w:rPr>
        <w:t>normativă</w:t>
      </w:r>
      <w:r w:rsidR="00A11712" w:rsidRPr="00C7121D">
        <w:rPr>
          <w:sz w:val="28"/>
          <w:szCs w:val="28"/>
          <w:lang w:val="ro-RO" w:eastAsia="en-GB"/>
        </w:rPr>
        <w:t>.</w:t>
      </w:r>
    </w:p>
    <w:p w14:paraId="71378FF6" w14:textId="5ECFFE68" w:rsidR="00A11712" w:rsidRPr="00C7121D" w:rsidRDefault="00A11712" w:rsidP="00E6293D">
      <w:pPr>
        <w:pStyle w:val="NormalWeb"/>
        <w:spacing w:line="276" w:lineRule="auto"/>
        <w:rPr>
          <w:sz w:val="28"/>
          <w:szCs w:val="28"/>
          <w:lang w:val="ro-RO" w:eastAsia="en-GB"/>
        </w:rPr>
      </w:pPr>
      <w:r w:rsidRPr="00C7121D">
        <w:rPr>
          <w:sz w:val="28"/>
          <w:szCs w:val="28"/>
          <w:lang w:val="ro-RO" w:eastAsia="en-GB"/>
        </w:rPr>
        <w:t>Determinarea cadrului normativ general și stabilirea principiilor reglementării de către stat a monopolurilor sale în economia națională urmăresc scopul de a apăra cetățenii și societatea. Monopolul statului este situația în care un număr limitat de agenți economici, cu autorizarea organelor administrației publice, au dreptul exclusiv de a desfășura într-o anumită sferă activități economice de producere, transportare, comercializare și procurare a mărfurilor (serviciilor).</w:t>
      </w:r>
    </w:p>
    <w:p w14:paraId="6185289A" w14:textId="18AFC9FF" w:rsidR="00220C61" w:rsidRPr="00641ED5" w:rsidRDefault="00220C61" w:rsidP="00E6293D">
      <w:pPr>
        <w:pStyle w:val="NormalWeb"/>
        <w:spacing w:line="276" w:lineRule="auto"/>
        <w:rPr>
          <w:sz w:val="28"/>
          <w:szCs w:val="28"/>
          <w:lang w:val="ro-RO"/>
        </w:rPr>
      </w:pPr>
      <w:r w:rsidRPr="00641ED5">
        <w:rPr>
          <w:sz w:val="28"/>
          <w:szCs w:val="28"/>
          <w:lang w:val="ro-RO" w:eastAsia="en-GB"/>
        </w:rPr>
        <w:t>În context, l</w:t>
      </w:r>
      <w:r w:rsidRPr="00641ED5">
        <w:rPr>
          <w:sz w:val="28"/>
          <w:szCs w:val="28"/>
          <w:lang w:val="ro-RO"/>
        </w:rPr>
        <w:t>a data de 28 iulie 2022 Parlamentul a adoptat Legea nr….  pentru modificarea Legii nr.845/1992 cu privire la antreprenoriat și întreprinderi.</w:t>
      </w:r>
    </w:p>
    <w:p w14:paraId="3113A850" w14:textId="7A13F2D9" w:rsidR="00F62B3F" w:rsidRPr="00641ED5" w:rsidRDefault="00F62B3F" w:rsidP="00E6293D">
      <w:pPr>
        <w:pStyle w:val="NormalWeb"/>
        <w:spacing w:line="276" w:lineRule="auto"/>
        <w:rPr>
          <w:sz w:val="28"/>
          <w:szCs w:val="28"/>
          <w:lang w:val="ro-RO"/>
        </w:rPr>
      </w:pPr>
      <w:r w:rsidRPr="00641ED5">
        <w:rPr>
          <w:sz w:val="28"/>
          <w:szCs w:val="28"/>
          <w:lang w:val="ro-RO"/>
        </w:rPr>
        <w:t>Conform art.36</w:t>
      </w:r>
      <w:r w:rsidR="00363022" w:rsidRPr="00641ED5">
        <w:rPr>
          <w:sz w:val="28"/>
          <w:szCs w:val="28"/>
          <w:vertAlign w:val="superscript"/>
          <w:lang w:val="ro-RO"/>
        </w:rPr>
        <w:t>7</w:t>
      </w:r>
      <w:r w:rsidR="004C51F9" w:rsidRPr="00641ED5">
        <w:rPr>
          <w:sz w:val="28"/>
          <w:szCs w:val="28"/>
          <w:lang w:val="ro-RO"/>
        </w:rPr>
        <w:t>, 36</w:t>
      </w:r>
      <w:r w:rsidRPr="00641ED5">
        <w:rPr>
          <w:sz w:val="28"/>
          <w:szCs w:val="28"/>
          <w:vertAlign w:val="superscript"/>
          <w:lang w:val="ro-RO"/>
        </w:rPr>
        <w:t>8</w:t>
      </w:r>
      <w:r w:rsidRPr="00641ED5">
        <w:rPr>
          <w:sz w:val="28"/>
          <w:szCs w:val="28"/>
          <w:lang w:val="ro-RO"/>
        </w:rPr>
        <w:t xml:space="preserve"> din Legea nr.845/1992, </w:t>
      </w:r>
      <w:r w:rsidR="00363022" w:rsidRPr="00641ED5">
        <w:rPr>
          <w:sz w:val="28"/>
          <w:szCs w:val="28"/>
          <w:lang w:val="ro-RO"/>
        </w:rPr>
        <w:t xml:space="preserve">statutul de monopol fiscal se atribuie întreprinderii sau grupului de întreprinderi de către Guvern, la propunerea </w:t>
      </w:r>
      <w:r w:rsidRPr="00641ED5">
        <w:rPr>
          <w:sz w:val="28"/>
          <w:szCs w:val="28"/>
          <w:lang w:val="ro-RO"/>
        </w:rPr>
        <w:t>Comisi</w:t>
      </w:r>
      <w:r w:rsidR="00363022" w:rsidRPr="00641ED5">
        <w:rPr>
          <w:sz w:val="28"/>
          <w:szCs w:val="28"/>
          <w:lang w:val="ro-RO"/>
        </w:rPr>
        <w:t>ei</w:t>
      </w:r>
      <w:r w:rsidRPr="00641ED5">
        <w:rPr>
          <w:sz w:val="28"/>
          <w:szCs w:val="28"/>
          <w:lang w:val="ro-RO"/>
        </w:rPr>
        <w:t xml:space="preserve"> Național</w:t>
      </w:r>
      <w:r w:rsidR="00363022" w:rsidRPr="00641ED5">
        <w:rPr>
          <w:sz w:val="28"/>
          <w:szCs w:val="28"/>
          <w:lang w:val="ro-RO"/>
        </w:rPr>
        <w:t>e</w:t>
      </w:r>
      <w:r w:rsidRPr="00641ED5">
        <w:rPr>
          <w:sz w:val="28"/>
          <w:szCs w:val="28"/>
          <w:lang w:val="ro-RO"/>
        </w:rPr>
        <w:t xml:space="preserve"> pentru Monopol Fiscal</w:t>
      </w:r>
      <w:r w:rsidR="00363022" w:rsidRPr="00641ED5">
        <w:rPr>
          <w:sz w:val="28"/>
          <w:szCs w:val="28"/>
          <w:lang w:val="ro-RO"/>
        </w:rPr>
        <w:t>, care</w:t>
      </w:r>
      <w:r w:rsidRPr="00641ED5">
        <w:rPr>
          <w:sz w:val="28"/>
          <w:szCs w:val="28"/>
          <w:lang w:val="ro-RO"/>
        </w:rPr>
        <w:t xml:space="preserve"> se instituie de către Guvern și activează în baza propriului regulament de activitate.</w:t>
      </w:r>
    </w:p>
    <w:p w14:paraId="139D8C5F" w14:textId="7E39A788" w:rsidR="00F62B3F" w:rsidRPr="00641ED5" w:rsidRDefault="00F62B3F" w:rsidP="00E6293D">
      <w:pPr>
        <w:pStyle w:val="NormalWeb"/>
        <w:spacing w:line="276" w:lineRule="auto"/>
        <w:rPr>
          <w:sz w:val="28"/>
          <w:szCs w:val="28"/>
          <w:lang w:val="ro-RO"/>
        </w:rPr>
      </w:pPr>
      <w:r w:rsidRPr="00641ED5">
        <w:rPr>
          <w:sz w:val="28"/>
          <w:szCs w:val="28"/>
          <w:lang w:val="ro-RO"/>
        </w:rPr>
        <w:t xml:space="preserve"> Astfel, în scopul elaborării cadrului normativ subordonat legii, Ministerul Economiei a elaborat și propune spre promovare proiec</w:t>
      </w:r>
      <w:r w:rsidR="00363022" w:rsidRPr="00641ED5">
        <w:rPr>
          <w:sz w:val="28"/>
          <w:szCs w:val="28"/>
          <w:lang w:val="ro-RO"/>
        </w:rPr>
        <w:t>tul h</w:t>
      </w:r>
      <w:r w:rsidRPr="00641ED5">
        <w:rPr>
          <w:sz w:val="28"/>
          <w:szCs w:val="28"/>
          <w:lang w:val="ro-RO"/>
        </w:rPr>
        <w:t>otăr</w:t>
      </w:r>
      <w:r w:rsidR="00641ED5">
        <w:rPr>
          <w:sz w:val="28"/>
          <w:szCs w:val="28"/>
          <w:lang w:val="ro-RO"/>
        </w:rPr>
        <w:t>â</w:t>
      </w:r>
      <w:r w:rsidRPr="00641ED5">
        <w:rPr>
          <w:sz w:val="28"/>
          <w:szCs w:val="28"/>
          <w:lang w:val="ro-RO"/>
        </w:rPr>
        <w:t>rii Guvernului cu privire la Comisia Națională pentru Monopol Fiscal.</w:t>
      </w:r>
    </w:p>
    <w:p w14:paraId="1E1ED4C2" w14:textId="77777777" w:rsidR="00F62B3F" w:rsidRPr="00220C61" w:rsidRDefault="00F62B3F" w:rsidP="00E6293D">
      <w:pPr>
        <w:pStyle w:val="NormalWeb"/>
        <w:spacing w:line="276" w:lineRule="auto"/>
        <w:rPr>
          <w:sz w:val="28"/>
          <w:szCs w:val="28"/>
          <w:lang w:val="ro-RO" w:eastAsia="en-GB"/>
        </w:rPr>
      </w:pPr>
    </w:p>
    <w:p w14:paraId="2C57CB6D" w14:textId="4E1B382E" w:rsidR="004328A1" w:rsidRPr="00C7121D" w:rsidRDefault="004328A1" w:rsidP="00E6293D">
      <w:pPr>
        <w:numPr>
          <w:ilvl w:val="3"/>
          <w:numId w:val="1"/>
        </w:numPr>
        <w:shd w:val="clear" w:color="auto" w:fill="D9E2F3"/>
        <w:tabs>
          <w:tab w:val="clear" w:pos="4755"/>
          <w:tab w:val="left" w:pos="1080"/>
          <w:tab w:val="left" w:pos="1134"/>
          <w:tab w:val="left" w:pos="1170"/>
        </w:tabs>
        <w:spacing w:line="276" w:lineRule="auto"/>
        <w:ind w:left="0" w:right="-1" w:firstLine="630"/>
        <w:jc w:val="both"/>
        <w:rPr>
          <w:b/>
          <w:i/>
          <w:sz w:val="28"/>
          <w:szCs w:val="28"/>
          <w:lang w:val="ro-RO"/>
        </w:rPr>
      </w:pPr>
      <w:r w:rsidRPr="00C7121D">
        <w:rPr>
          <w:b/>
          <w:i/>
          <w:sz w:val="28"/>
          <w:szCs w:val="28"/>
          <w:lang w:val="ro-RO"/>
        </w:rPr>
        <w:t>Descrierea gradului de compatibilitate pentru proiectele care au ca scop armonizarea legislației naționale cu legislația Uniunii Europene</w:t>
      </w:r>
    </w:p>
    <w:p w14:paraId="3F23D7A9" w14:textId="69E32518" w:rsidR="004328A1" w:rsidRPr="00C7121D" w:rsidRDefault="004328A1" w:rsidP="00E6293D">
      <w:pPr>
        <w:pStyle w:val="NormalWeb"/>
        <w:tabs>
          <w:tab w:val="left" w:pos="1134"/>
        </w:tabs>
        <w:spacing w:line="276" w:lineRule="auto"/>
        <w:ind w:right="-1" w:firstLine="590"/>
        <w:rPr>
          <w:sz w:val="28"/>
          <w:szCs w:val="28"/>
          <w:lang w:val="ro-RO"/>
        </w:rPr>
      </w:pPr>
      <w:r w:rsidRPr="00C7121D">
        <w:rPr>
          <w:sz w:val="28"/>
          <w:szCs w:val="28"/>
          <w:lang w:val="ro-RO" w:eastAsia="zh-CN"/>
        </w:rPr>
        <w:t>Proiectul nu conține norme de armonizare a legislației naționale cu legislația Uniunii Europene.</w:t>
      </w:r>
      <w:r w:rsidRPr="00C7121D">
        <w:rPr>
          <w:sz w:val="28"/>
          <w:szCs w:val="28"/>
          <w:lang w:val="ro-RO"/>
        </w:rPr>
        <w:t xml:space="preserve"> </w:t>
      </w:r>
    </w:p>
    <w:p w14:paraId="4A12EC40" w14:textId="77777777" w:rsidR="00D0696D" w:rsidRPr="00C7121D" w:rsidRDefault="00D0696D" w:rsidP="00E6293D">
      <w:pPr>
        <w:pStyle w:val="NormalWeb"/>
        <w:tabs>
          <w:tab w:val="left" w:pos="1134"/>
        </w:tabs>
        <w:spacing w:line="276" w:lineRule="auto"/>
        <w:ind w:firstLine="590"/>
        <w:rPr>
          <w:sz w:val="28"/>
          <w:szCs w:val="28"/>
          <w:lang w:val="ro-RO"/>
        </w:rPr>
      </w:pPr>
    </w:p>
    <w:p w14:paraId="5D1537AC" w14:textId="77777777" w:rsidR="004328A1" w:rsidRPr="00C7121D" w:rsidRDefault="004328A1" w:rsidP="00E6293D">
      <w:pPr>
        <w:pStyle w:val="ListParagraph"/>
        <w:numPr>
          <w:ilvl w:val="3"/>
          <w:numId w:val="1"/>
        </w:numPr>
        <w:shd w:val="clear" w:color="auto" w:fill="D9E2F3"/>
        <w:tabs>
          <w:tab w:val="left" w:pos="1080"/>
          <w:tab w:val="left" w:pos="1134"/>
        </w:tabs>
        <w:spacing w:after="0"/>
        <w:ind w:left="0" w:right="-1" w:firstLine="595"/>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 xml:space="preserve"> Principalele prevederi ale proiectului și evidențierea elementelor noi</w:t>
      </w:r>
    </w:p>
    <w:p w14:paraId="0E7017AF" w14:textId="75C8C05F" w:rsidR="00A640D5" w:rsidRPr="00641ED5" w:rsidRDefault="00F62B3F" w:rsidP="00E6293D">
      <w:pPr>
        <w:pStyle w:val="NormalWeb"/>
        <w:spacing w:line="276" w:lineRule="auto"/>
        <w:rPr>
          <w:sz w:val="28"/>
          <w:szCs w:val="28"/>
          <w:lang w:val="ro-RO"/>
        </w:rPr>
      </w:pPr>
      <w:r w:rsidRPr="00641ED5">
        <w:rPr>
          <w:sz w:val="28"/>
          <w:szCs w:val="28"/>
          <w:lang w:val="ro-RO"/>
        </w:rPr>
        <w:lastRenderedPageBreak/>
        <w:t>P</w:t>
      </w:r>
      <w:r w:rsidR="00A640D5" w:rsidRPr="00641ED5">
        <w:rPr>
          <w:sz w:val="28"/>
          <w:szCs w:val="28"/>
          <w:lang w:val="ro-RO"/>
        </w:rPr>
        <w:t xml:space="preserve">roiectul prevede instituirea Comisiei Naționale pentru Monopol Fiscal în calitate de organ colegial, constituit din reprezentanți ai autorităților publice din </w:t>
      </w:r>
      <w:r w:rsidR="00973AEE" w:rsidRPr="00641ED5">
        <w:rPr>
          <w:sz w:val="28"/>
          <w:szCs w:val="28"/>
          <w:lang w:val="ro-RO"/>
        </w:rPr>
        <w:t>domeniu</w:t>
      </w:r>
      <w:r w:rsidR="00A640D5" w:rsidRPr="00641ED5">
        <w:rPr>
          <w:sz w:val="28"/>
          <w:szCs w:val="28"/>
          <w:lang w:val="ro-RO"/>
        </w:rPr>
        <w:t xml:space="preserve"> și </w:t>
      </w:r>
      <w:r w:rsidR="00973AEE" w:rsidRPr="00641ED5">
        <w:rPr>
          <w:sz w:val="28"/>
          <w:szCs w:val="28"/>
          <w:lang w:val="ro-RO"/>
        </w:rPr>
        <w:t xml:space="preserve">ai </w:t>
      </w:r>
      <w:r w:rsidR="00A640D5" w:rsidRPr="00641ED5">
        <w:rPr>
          <w:sz w:val="28"/>
          <w:szCs w:val="28"/>
          <w:lang w:val="ro-RO"/>
        </w:rPr>
        <w:t xml:space="preserve">societății civile, care </w:t>
      </w:r>
      <w:r w:rsidR="00692855" w:rsidRPr="00641ED5">
        <w:rPr>
          <w:sz w:val="28"/>
          <w:szCs w:val="28"/>
          <w:lang w:val="ro-RO"/>
        </w:rPr>
        <w:t>exercit</w:t>
      </w:r>
      <w:r w:rsidR="00BE7A51" w:rsidRPr="00641ED5">
        <w:rPr>
          <w:sz w:val="28"/>
          <w:szCs w:val="28"/>
          <w:lang w:val="ro-RO"/>
        </w:rPr>
        <w:t>ă</w:t>
      </w:r>
      <w:r w:rsidR="00692855" w:rsidRPr="00641ED5">
        <w:rPr>
          <w:sz w:val="28"/>
          <w:szCs w:val="28"/>
          <w:lang w:val="ro-RO"/>
        </w:rPr>
        <w:t xml:space="preserve"> următoarele atribuții:</w:t>
      </w:r>
    </w:p>
    <w:p w14:paraId="730C0616" w14:textId="77777777" w:rsidR="00973AEE" w:rsidRPr="00641ED5" w:rsidRDefault="00973AEE" w:rsidP="00E6293D">
      <w:pPr>
        <w:spacing w:line="276" w:lineRule="auto"/>
        <w:ind w:firstLine="567"/>
        <w:jc w:val="both"/>
        <w:rPr>
          <w:iCs/>
          <w:sz w:val="28"/>
          <w:szCs w:val="28"/>
          <w:lang w:val="ro-RO"/>
        </w:rPr>
      </w:pPr>
      <w:bookmarkStart w:id="0" w:name="_Hlk104881271"/>
      <w:r w:rsidRPr="00641ED5">
        <w:rPr>
          <w:iCs/>
          <w:sz w:val="28"/>
          <w:szCs w:val="28"/>
          <w:lang w:val="ro-RO"/>
        </w:rPr>
        <w:t>1) constată necesitatea instituirii monopolului fiscal pentru anumite activități economice;</w:t>
      </w:r>
    </w:p>
    <w:p w14:paraId="2F527E18" w14:textId="77777777" w:rsidR="00973AEE" w:rsidRPr="00641ED5" w:rsidRDefault="00973AEE" w:rsidP="00E6293D">
      <w:pPr>
        <w:spacing w:line="276" w:lineRule="auto"/>
        <w:ind w:firstLine="567"/>
        <w:jc w:val="both"/>
        <w:rPr>
          <w:iCs/>
          <w:sz w:val="28"/>
          <w:szCs w:val="28"/>
          <w:lang w:val="ro-RO"/>
        </w:rPr>
      </w:pPr>
      <w:r w:rsidRPr="00641ED5">
        <w:rPr>
          <w:iCs/>
          <w:sz w:val="28"/>
          <w:szCs w:val="28"/>
          <w:lang w:val="ro-RO"/>
        </w:rPr>
        <w:t xml:space="preserve">2) identifică </w:t>
      </w:r>
      <w:r w:rsidRPr="00641ED5">
        <w:rPr>
          <w:sz w:val="28"/>
          <w:szCs w:val="28"/>
          <w:lang w:val="ro-RO"/>
        </w:rPr>
        <w:t>întreprinderea sau grupul de întreprinderi care</w:t>
      </w:r>
      <w:r w:rsidRPr="00641ED5">
        <w:rPr>
          <w:iCs/>
          <w:sz w:val="28"/>
          <w:szCs w:val="28"/>
          <w:lang w:val="ro-RO"/>
        </w:rPr>
        <w:t xml:space="preserve"> desfășoară activități economice pentru care a fost constatată necesitatea instituirii monopolului fiscal;</w:t>
      </w:r>
    </w:p>
    <w:p w14:paraId="0ABC1B31" w14:textId="77777777" w:rsidR="00973AEE" w:rsidRPr="00641ED5" w:rsidRDefault="00973AEE" w:rsidP="00E6293D">
      <w:pPr>
        <w:spacing w:line="276" w:lineRule="auto"/>
        <w:ind w:firstLine="567"/>
        <w:jc w:val="both"/>
        <w:rPr>
          <w:iCs/>
          <w:sz w:val="28"/>
          <w:szCs w:val="28"/>
          <w:lang w:val="ro-RO"/>
        </w:rPr>
      </w:pPr>
      <w:r w:rsidRPr="00641ED5">
        <w:rPr>
          <w:iCs/>
          <w:sz w:val="28"/>
          <w:szCs w:val="28"/>
          <w:lang w:val="ro-RO"/>
        </w:rPr>
        <w:t xml:space="preserve">3) analizează și estimează impactul atribuirii statutului de monopol fiscal, inclusiv relevă avantajele și dezavantajele economice și de altă natură pe termen scurt, mediu și lung; </w:t>
      </w:r>
    </w:p>
    <w:p w14:paraId="6D6BCA50" w14:textId="77777777" w:rsidR="00973AEE" w:rsidRPr="00641ED5" w:rsidRDefault="00973AEE" w:rsidP="00E6293D">
      <w:pPr>
        <w:spacing w:line="276" w:lineRule="auto"/>
        <w:ind w:firstLine="567"/>
        <w:jc w:val="both"/>
        <w:rPr>
          <w:iCs/>
          <w:sz w:val="28"/>
          <w:szCs w:val="28"/>
          <w:lang w:val="ro-RO"/>
        </w:rPr>
      </w:pPr>
      <w:r w:rsidRPr="00641ED5">
        <w:rPr>
          <w:iCs/>
          <w:sz w:val="28"/>
          <w:szCs w:val="28"/>
          <w:lang w:val="ro-RO"/>
        </w:rPr>
        <w:t>4) propune Guvernului spre examinare și aprobare, prin intermediul organului central de specialitate care asigură lucrările de secretariat ale Comisiei, proiectul actului normativ prin care se atribuie statutul de monopol fiscal unei întreprinderi sau unui grup de întreprinderi;</w:t>
      </w:r>
    </w:p>
    <w:p w14:paraId="5B3D6303" w14:textId="77777777" w:rsidR="00973AEE" w:rsidRPr="00641ED5" w:rsidRDefault="00973AEE" w:rsidP="00E6293D">
      <w:pPr>
        <w:spacing w:line="276" w:lineRule="auto"/>
        <w:ind w:firstLine="567"/>
        <w:jc w:val="both"/>
        <w:rPr>
          <w:iCs/>
          <w:sz w:val="28"/>
          <w:szCs w:val="28"/>
          <w:lang w:val="ro-RO"/>
        </w:rPr>
      </w:pPr>
      <w:r w:rsidRPr="00641ED5">
        <w:rPr>
          <w:iCs/>
          <w:sz w:val="28"/>
          <w:szCs w:val="28"/>
          <w:lang w:val="ro-RO"/>
        </w:rPr>
        <w:t>5) monitorizează și evaluează anual sectorul economic în care activează întreprinderea sau grupul de întreprinderi pentru care a fost atribuit statutul de monopol fiscal și prezintă un raport Guvernului;</w:t>
      </w:r>
    </w:p>
    <w:p w14:paraId="7BB53DAD" w14:textId="70C96258" w:rsidR="00973AEE" w:rsidRPr="00641ED5" w:rsidRDefault="00973AEE" w:rsidP="00E6293D">
      <w:pPr>
        <w:spacing w:line="276" w:lineRule="auto"/>
        <w:ind w:firstLine="567"/>
        <w:jc w:val="both"/>
        <w:rPr>
          <w:sz w:val="28"/>
          <w:szCs w:val="28"/>
          <w:lang w:val="ro-RO"/>
        </w:rPr>
      </w:pPr>
      <w:r w:rsidRPr="00641ED5">
        <w:rPr>
          <w:iCs/>
          <w:sz w:val="28"/>
          <w:szCs w:val="28"/>
          <w:lang w:val="ro-RO"/>
        </w:rPr>
        <w:t>6) propune Guvernului retragerea statutului de monopol fiscal întreprinderii sau grupului de întreprinderi în cazul în care se constată abateri de la normele specifice de reglementare a activității economice, stabilite de actul normativ prin care a fost atribuit statutul de monopol fiscal, sau în cazul suprimării circumstanțelor care au determinat constatarea necesității instituirii monopolului fiscal.</w:t>
      </w:r>
      <w:bookmarkEnd w:id="0"/>
    </w:p>
    <w:p w14:paraId="4413E5A3" w14:textId="09631671" w:rsidR="00692855" w:rsidRPr="00641ED5" w:rsidRDefault="00692855" w:rsidP="00E6293D">
      <w:pPr>
        <w:pStyle w:val="NormalWeb"/>
        <w:spacing w:line="276" w:lineRule="auto"/>
        <w:rPr>
          <w:sz w:val="28"/>
          <w:szCs w:val="28"/>
          <w:lang w:val="ro-RO"/>
        </w:rPr>
      </w:pPr>
      <w:r w:rsidRPr="00641ED5">
        <w:rPr>
          <w:sz w:val="28"/>
          <w:szCs w:val="28"/>
          <w:lang w:val="ro-RO"/>
        </w:rPr>
        <w:t xml:space="preserve">Totodată, proiectul prevede </w:t>
      </w:r>
      <w:r w:rsidR="00BE7A51" w:rsidRPr="00641ED5">
        <w:rPr>
          <w:sz w:val="28"/>
          <w:szCs w:val="28"/>
          <w:lang w:val="ro-RO"/>
        </w:rPr>
        <w:t xml:space="preserve">componența, </w:t>
      </w:r>
      <w:r w:rsidRPr="00641ED5">
        <w:rPr>
          <w:sz w:val="28"/>
          <w:szCs w:val="28"/>
          <w:lang w:val="ro-RO"/>
        </w:rPr>
        <w:t>modul de constituire, organizare și funcționare a Comisiei</w:t>
      </w:r>
      <w:r w:rsidR="00EA3466" w:rsidRPr="00641ED5">
        <w:rPr>
          <w:sz w:val="28"/>
          <w:szCs w:val="28"/>
          <w:lang w:val="ro-RO"/>
        </w:rPr>
        <w:t xml:space="preserve"> Naționale pentru Monopol Fiscal.</w:t>
      </w:r>
    </w:p>
    <w:p w14:paraId="088F5688" w14:textId="503BB867" w:rsidR="00692855" w:rsidRPr="00C7121D" w:rsidRDefault="00692855" w:rsidP="00E6293D">
      <w:pPr>
        <w:pStyle w:val="NormalWeb"/>
        <w:spacing w:line="276" w:lineRule="auto"/>
        <w:rPr>
          <w:sz w:val="28"/>
          <w:szCs w:val="28"/>
          <w:lang w:val="ro-RO"/>
        </w:rPr>
      </w:pPr>
    </w:p>
    <w:p w14:paraId="4CC7CCC9" w14:textId="77777777" w:rsidR="004328A1" w:rsidRPr="00C7121D" w:rsidRDefault="004328A1" w:rsidP="00E6293D">
      <w:pPr>
        <w:numPr>
          <w:ilvl w:val="3"/>
          <w:numId w:val="1"/>
        </w:numPr>
        <w:shd w:val="clear" w:color="auto" w:fill="D9E2F3"/>
        <w:tabs>
          <w:tab w:val="clear" w:pos="4755"/>
          <w:tab w:val="left" w:pos="567"/>
          <w:tab w:val="left" w:pos="1134"/>
        </w:tabs>
        <w:spacing w:line="276" w:lineRule="auto"/>
        <w:ind w:left="0" w:right="-1" w:firstLine="630"/>
        <w:jc w:val="both"/>
        <w:rPr>
          <w:b/>
          <w:i/>
          <w:sz w:val="28"/>
          <w:szCs w:val="28"/>
          <w:lang w:val="ro-RO"/>
        </w:rPr>
      </w:pPr>
      <w:r w:rsidRPr="00C7121D">
        <w:rPr>
          <w:b/>
          <w:i/>
          <w:sz w:val="28"/>
          <w:szCs w:val="28"/>
          <w:lang w:val="ro-RO"/>
        </w:rPr>
        <w:t>Fundamentarea economico-financiară</w:t>
      </w:r>
    </w:p>
    <w:p w14:paraId="5494C770" w14:textId="02B0FD23" w:rsidR="00F60806" w:rsidRDefault="004328A1" w:rsidP="00E6293D">
      <w:pPr>
        <w:pStyle w:val="NormalWeb"/>
        <w:spacing w:line="276" w:lineRule="auto"/>
        <w:rPr>
          <w:sz w:val="28"/>
          <w:szCs w:val="28"/>
          <w:lang w:val="ro-RO"/>
        </w:rPr>
      </w:pPr>
      <w:r w:rsidRPr="00C7121D">
        <w:rPr>
          <w:sz w:val="28"/>
          <w:szCs w:val="28"/>
          <w:lang w:val="ro-RO"/>
        </w:rPr>
        <w:t xml:space="preserve">Implementarea prevederilor proiectului </w:t>
      </w:r>
      <w:r w:rsidR="00C770C4">
        <w:rPr>
          <w:sz w:val="28"/>
          <w:szCs w:val="28"/>
          <w:lang w:val="ro-RO"/>
        </w:rPr>
        <w:t>de hotărâre</w:t>
      </w:r>
      <w:r w:rsidRPr="00C7121D">
        <w:rPr>
          <w:sz w:val="28"/>
          <w:szCs w:val="28"/>
          <w:lang w:val="ro-RO"/>
        </w:rPr>
        <w:t xml:space="preserve"> nu necesită careva cheltuieli suplimentare de la bugetul de stat</w:t>
      </w:r>
      <w:r w:rsidR="00EA3466" w:rsidRPr="00C7121D">
        <w:rPr>
          <w:sz w:val="28"/>
          <w:szCs w:val="28"/>
          <w:lang w:val="ro-RO"/>
        </w:rPr>
        <w:t xml:space="preserve">. </w:t>
      </w:r>
    </w:p>
    <w:p w14:paraId="5AEBD1C0" w14:textId="77777777" w:rsidR="00C770C4" w:rsidRDefault="00C770C4" w:rsidP="00E6293D">
      <w:pPr>
        <w:pStyle w:val="NormalWeb"/>
        <w:spacing w:line="276" w:lineRule="auto"/>
        <w:rPr>
          <w:sz w:val="28"/>
          <w:szCs w:val="28"/>
          <w:lang w:val="ro-RO"/>
        </w:rPr>
      </w:pPr>
    </w:p>
    <w:p w14:paraId="41A6AAC3" w14:textId="77777777" w:rsidR="004328A1" w:rsidRPr="00C7121D" w:rsidRDefault="004328A1" w:rsidP="00E6293D">
      <w:pPr>
        <w:pStyle w:val="ListParagraph"/>
        <w:numPr>
          <w:ilvl w:val="3"/>
          <w:numId w:val="1"/>
        </w:numPr>
        <w:shd w:val="clear" w:color="auto" w:fill="DEEAF6"/>
        <w:tabs>
          <w:tab w:val="clear" w:pos="4755"/>
          <w:tab w:val="left" w:pos="567"/>
          <w:tab w:val="left" w:pos="1134"/>
        </w:tabs>
        <w:spacing w:after="0"/>
        <w:ind w:left="0" w:right="-1" w:firstLine="595"/>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Modul de încorporare a actului în cadrul normativ în vigoare</w:t>
      </w:r>
    </w:p>
    <w:p w14:paraId="0A47779D" w14:textId="77777777" w:rsidR="002C6510" w:rsidRDefault="004328A1" w:rsidP="00E6293D">
      <w:pPr>
        <w:pStyle w:val="NormalWeb"/>
        <w:tabs>
          <w:tab w:val="left" w:pos="567"/>
          <w:tab w:val="left" w:pos="851"/>
          <w:tab w:val="left" w:pos="1134"/>
        </w:tabs>
        <w:spacing w:line="276" w:lineRule="auto"/>
        <w:rPr>
          <w:sz w:val="28"/>
          <w:szCs w:val="28"/>
          <w:lang w:val="ro-RO"/>
        </w:rPr>
      </w:pPr>
      <w:r w:rsidRPr="00C7121D">
        <w:rPr>
          <w:sz w:val="28"/>
          <w:szCs w:val="28"/>
          <w:lang w:val="ro-RO" w:eastAsia="zh-CN"/>
        </w:rPr>
        <w:t xml:space="preserve">Implementarea prevederilor proiectului </w:t>
      </w:r>
      <w:r w:rsidR="002C6510">
        <w:rPr>
          <w:sz w:val="28"/>
          <w:szCs w:val="28"/>
          <w:lang w:val="ro-RO" w:eastAsia="zh-CN"/>
        </w:rPr>
        <w:t xml:space="preserve">nu </w:t>
      </w:r>
      <w:r w:rsidRPr="00C7121D">
        <w:rPr>
          <w:sz w:val="28"/>
          <w:szCs w:val="28"/>
          <w:lang w:val="ro-RO" w:eastAsia="zh-CN"/>
        </w:rPr>
        <w:t xml:space="preserve">va necesita </w:t>
      </w:r>
      <w:r w:rsidR="002C6510">
        <w:rPr>
          <w:sz w:val="28"/>
          <w:szCs w:val="28"/>
          <w:lang w:val="ro-RO" w:eastAsia="zh-CN"/>
        </w:rPr>
        <w:t>modificarea altor a</w:t>
      </w:r>
      <w:r w:rsidRPr="00C7121D">
        <w:rPr>
          <w:sz w:val="28"/>
          <w:szCs w:val="28"/>
          <w:lang w:val="ro-RO"/>
        </w:rPr>
        <w:t xml:space="preserve">cte normative </w:t>
      </w:r>
    </w:p>
    <w:p w14:paraId="2127A848" w14:textId="77777777" w:rsidR="004328A1" w:rsidRPr="00C7121D" w:rsidRDefault="004328A1" w:rsidP="00E6293D">
      <w:pPr>
        <w:pStyle w:val="NormalWeb"/>
        <w:tabs>
          <w:tab w:val="left" w:pos="567"/>
          <w:tab w:val="left" w:pos="851"/>
          <w:tab w:val="left" w:pos="1134"/>
        </w:tabs>
        <w:spacing w:line="276" w:lineRule="auto"/>
        <w:rPr>
          <w:sz w:val="28"/>
          <w:szCs w:val="28"/>
          <w:lang w:val="ro-RO"/>
        </w:rPr>
      </w:pPr>
    </w:p>
    <w:p w14:paraId="096F9153" w14:textId="77777777" w:rsidR="004328A1" w:rsidRPr="00C7121D" w:rsidRDefault="004328A1" w:rsidP="00E6293D">
      <w:pPr>
        <w:pStyle w:val="ListParagraph"/>
        <w:shd w:val="clear" w:color="auto" w:fill="DEEAF6"/>
        <w:tabs>
          <w:tab w:val="left" w:pos="567"/>
          <w:tab w:val="left" w:pos="1134"/>
        </w:tabs>
        <w:spacing w:after="0"/>
        <w:ind w:left="0" w:right="-1"/>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 xml:space="preserve">         7. Avizarea și consultarea publică a proiectului </w:t>
      </w:r>
    </w:p>
    <w:p w14:paraId="1826D55A" w14:textId="229D741C" w:rsidR="004328A1" w:rsidRPr="00C7121D" w:rsidRDefault="004328A1" w:rsidP="00E6293D">
      <w:pPr>
        <w:tabs>
          <w:tab w:val="left" w:pos="1134"/>
        </w:tabs>
        <w:autoSpaceDE w:val="0"/>
        <w:autoSpaceDN w:val="0"/>
        <w:adjustRightInd w:val="0"/>
        <w:spacing w:line="276" w:lineRule="auto"/>
        <w:ind w:right="-13" w:firstLine="567"/>
        <w:jc w:val="both"/>
        <w:rPr>
          <w:color w:val="000000"/>
          <w:sz w:val="28"/>
          <w:szCs w:val="28"/>
          <w:lang w:val="ro-RO" w:eastAsia="en-US"/>
        </w:rPr>
      </w:pPr>
      <w:r w:rsidRPr="00C7121D">
        <w:rPr>
          <w:color w:val="000000"/>
          <w:sz w:val="28"/>
          <w:szCs w:val="28"/>
          <w:lang w:val="ro-RO" w:eastAsia="en-US"/>
        </w:rPr>
        <w:t xml:space="preserve">În scopul respectării prevederilor Legii nr.100/2017 cu privire la actele normative și ale Legii nr.239/2008 privind transparența în procesul decizional, anunțul privind consultările publice a proiectului </w:t>
      </w:r>
      <w:r w:rsidR="00245CE4" w:rsidRPr="00C7121D">
        <w:rPr>
          <w:color w:val="000000"/>
          <w:sz w:val="28"/>
          <w:szCs w:val="28"/>
          <w:lang w:val="ro-RO" w:eastAsia="en-US"/>
        </w:rPr>
        <w:t>a fost</w:t>
      </w:r>
      <w:r w:rsidRPr="00C7121D">
        <w:rPr>
          <w:color w:val="000000"/>
          <w:sz w:val="28"/>
          <w:szCs w:val="28"/>
          <w:lang w:val="ro-RO" w:eastAsia="en-US"/>
        </w:rPr>
        <w:t xml:space="preserve"> plasat pe pagina web a Ministerului Economiei, secțiunea - Transparența decizională</w:t>
      </w:r>
      <w:r w:rsidR="00066619" w:rsidRPr="00C7121D">
        <w:rPr>
          <w:color w:val="000000"/>
          <w:sz w:val="28"/>
          <w:szCs w:val="28"/>
          <w:lang w:val="ro-RO" w:eastAsia="en-US"/>
        </w:rPr>
        <w:t xml:space="preserve">, precum și pe portalul guvernamental </w:t>
      </w:r>
      <w:hyperlink r:id="rId5" w:history="1">
        <w:r w:rsidR="00D93F82" w:rsidRPr="00C7121D">
          <w:rPr>
            <w:rStyle w:val="Hyperlink"/>
            <w:sz w:val="28"/>
            <w:szCs w:val="28"/>
            <w:lang w:val="ro-RO" w:eastAsia="en-US"/>
          </w:rPr>
          <w:t>www.particip.gov.md</w:t>
        </w:r>
      </w:hyperlink>
      <w:r w:rsidR="00066619" w:rsidRPr="00C7121D">
        <w:rPr>
          <w:color w:val="000000"/>
          <w:sz w:val="28"/>
          <w:szCs w:val="28"/>
          <w:lang w:val="ro-RO" w:eastAsia="en-US"/>
        </w:rPr>
        <w:t>.</w:t>
      </w:r>
      <w:r w:rsidR="00D93F82" w:rsidRPr="00C7121D">
        <w:rPr>
          <w:color w:val="000000"/>
          <w:sz w:val="28"/>
          <w:szCs w:val="28"/>
          <w:lang w:val="ro-RO" w:eastAsia="en-US"/>
        </w:rPr>
        <w:t xml:space="preserve"> </w:t>
      </w:r>
      <w:r w:rsidR="00066619" w:rsidRPr="00C7121D">
        <w:rPr>
          <w:color w:val="000000"/>
          <w:sz w:val="28"/>
          <w:szCs w:val="28"/>
          <w:lang w:val="ro-RO" w:eastAsia="en-US"/>
        </w:rPr>
        <w:t xml:space="preserve"> </w:t>
      </w:r>
    </w:p>
    <w:p w14:paraId="46AA7FBA" w14:textId="77777777" w:rsidR="001165AD" w:rsidRPr="00C7121D" w:rsidRDefault="001165AD" w:rsidP="00E6293D">
      <w:pPr>
        <w:tabs>
          <w:tab w:val="left" w:pos="1134"/>
        </w:tabs>
        <w:autoSpaceDE w:val="0"/>
        <w:autoSpaceDN w:val="0"/>
        <w:adjustRightInd w:val="0"/>
        <w:spacing w:line="276" w:lineRule="auto"/>
        <w:ind w:right="-13" w:firstLine="567"/>
        <w:jc w:val="both"/>
        <w:rPr>
          <w:color w:val="000000"/>
          <w:sz w:val="28"/>
          <w:szCs w:val="28"/>
          <w:lang w:val="ro-RO" w:eastAsia="en-US"/>
        </w:rPr>
      </w:pPr>
    </w:p>
    <w:p w14:paraId="3994E3B1" w14:textId="196787E0" w:rsidR="00763CF6" w:rsidRPr="00C7121D" w:rsidRDefault="00763CF6" w:rsidP="00E6293D">
      <w:pPr>
        <w:pStyle w:val="ListParagraph"/>
        <w:shd w:val="clear" w:color="auto" w:fill="DEEAF6"/>
        <w:tabs>
          <w:tab w:val="left" w:pos="567"/>
          <w:tab w:val="left" w:pos="1134"/>
        </w:tabs>
        <w:spacing w:after="0"/>
        <w:ind w:left="0" w:right="-1"/>
        <w:contextualSpacing w:val="0"/>
        <w:jc w:val="both"/>
        <w:rPr>
          <w:rFonts w:ascii="Times New Roman" w:eastAsia="Times New Roman" w:hAnsi="Times New Roman"/>
          <w:b/>
          <w:i/>
          <w:sz w:val="28"/>
          <w:szCs w:val="28"/>
          <w:lang w:val="ro-RO" w:eastAsia="ru-RU"/>
        </w:rPr>
      </w:pPr>
      <w:r w:rsidRPr="00C7121D">
        <w:rPr>
          <w:rFonts w:ascii="Times New Roman" w:eastAsia="Times New Roman" w:hAnsi="Times New Roman"/>
          <w:b/>
          <w:i/>
          <w:sz w:val="28"/>
          <w:szCs w:val="28"/>
          <w:lang w:val="ro-RO" w:eastAsia="ru-RU"/>
        </w:rPr>
        <w:tab/>
        <w:t>8. Constatările expertizei anticorupție</w:t>
      </w:r>
    </w:p>
    <w:p w14:paraId="3EE02290" w14:textId="2A89C1E1" w:rsidR="00D0696D" w:rsidRPr="00641ED5" w:rsidRDefault="003F774D" w:rsidP="00E6293D">
      <w:pPr>
        <w:pStyle w:val="NormalWeb"/>
        <w:shd w:val="clear" w:color="auto" w:fill="FFFFFF"/>
        <w:tabs>
          <w:tab w:val="left" w:pos="1134"/>
        </w:tabs>
        <w:spacing w:line="276" w:lineRule="auto"/>
        <w:ind w:right="-1"/>
        <w:rPr>
          <w:sz w:val="28"/>
          <w:szCs w:val="28"/>
          <w:lang w:val="ro-RO"/>
        </w:rPr>
      </w:pPr>
      <w:r w:rsidRPr="00641ED5">
        <w:rPr>
          <w:sz w:val="28"/>
          <w:szCs w:val="28"/>
          <w:lang w:val="ro-RO"/>
        </w:rPr>
        <w:lastRenderedPageBreak/>
        <w:t>Proiectul urmează a fi supus expertizei anticorupție.</w:t>
      </w:r>
    </w:p>
    <w:p w14:paraId="28CF0047" w14:textId="77777777" w:rsidR="00E6293D" w:rsidRPr="00641ED5" w:rsidRDefault="00E6293D" w:rsidP="00E6293D">
      <w:pPr>
        <w:pStyle w:val="NormalWeb"/>
        <w:shd w:val="clear" w:color="auto" w:fill="FFFFFF"/>
        <w:tabs>
          <w:tab w:val="left" w:pos="1134"/>
        </w:tabs>
        <w:spacing w:line="276" w:lineRule="auto"/>
        <w:ind w:right="-1"/>
        <w:rPr>
          <w:sz w:val="28"/>
          <w:szCs w:val="28"/>
          <w:lang w:val="ro-RO"/>
        </w:rPr>
      </w:pPr>
    </w:p>
    <w:p w14:paraId="64C84765" w14:textId="125E0DF4" w:rsidR="004328A1" w:rsidRPr="00641ED5" w:rsidRDefault="004328A1" w:rsidP="00E6293D">
      <w:pPr>
        <w:pStyle w:val="ListParagraph"/>
        <w:shd w:val="clear" w:color="auto" w:fill="DEEAF6"/>
        <w:tabs>
          <w:tab w:val="left" w:pos="567"/>
          <w:tab w:val="left" w:pos="1134"/>
        </w:tabs>
        <w:spacing w:after="0"/>
        <w:ind w:left="0" w:right="-1"/>
        <w:contextualSpacing w:val="0"/>
        <w:jc w:val="both"/>
        <w:rPr>
          <w:rFonts w:ascii="Times New Roman" w:eastAsia="Times New Roman" w:hAnsi="Times New Roman"/>
          <w:b/>
          <w:i/>
          <w:sz w:val="28"/>
          <w:szCs w:val="28"/>
          <w:lang w:val="ro-RO" w:eastAsia="ru-RU"/>
        </w:rPr>
      </w:pPr>
      <w:r w:rsidRPr="00641ED5">
        <w:rPr>
          <w:rFonts w:ascii="Times New Roman" w:eastAsia="Times New Roman" w:hAnsi="Times New Roman"/>
          <w:b/>
          <w:i/>
          <w:sz w:val="28"/>
          <w:szCs w:val="28"/>
          <w:lang w:val="ro-RO" w:eastAsia="ru-RU"/>
        </w:rPr>
        <w:t xml:space="preserve">         </w:t>
      </w:r>
      <w:r w:rsidR="00763CF6" w:rsidRPr="00641ED5">
        <w:rPr>
          <w:rFonts w:ascii="Times New Roman" w:eastAsia="Times New Roman" w:hAnsi="Times New Roman"/>
          <w:b/>
          <w:i/>
          <w:sz w:val="28"/>
          <w:szCs w:val="28"/>
          <w:lang w:val="ro-RO" w:eastAsia="ru-RU"/>
        </w:rPr>
        <w:t>9</w:t>
      </w:r>
      <w:r w:rsidRPr="00641ED5">
        <w:rPr>
          <w:rFonts w:ascii="Times New Roman" w:eastAsia="Times New Roman" w:hAnsi="Times New Roman"/>
          <w:b/>
          <w:i/>
          <w:sz w:val="28"/>
          <w:szCs w:val="28"/>
          <w:lang w:val="ro-RO" w:eastAsia="ru-RU"/>
        </w:rPr>
        <w:t xml:space="preserve">.  Constatările expertizei de compatibilitate </w:t>
      </w:r>
    </w:p>
    <w:p w14:paraId="7267D384" w14:textId="248D9CA7" w:rsidR="004328A1" w:rsidRPr="00641ED5" w:rsidRDefault="004328A1" w:rsidP="00E6293D">
      <w:pPr>
        <w:pStyle w:val="Default"/>
        <w:tabs>
          <w:tab w:val="left" w:pos="1134"/>
        </w:tabs>
        <w:spacing w:line="276" w:lineRule="auto"/>
        <w:ind w:right="-1" w:firstLine="567"/>
        <w:jc w:val="both"/>
        <w:rPr>
          <w:rFonts w:ascii="Times New Roman" w:hAnsi="Times New Roman" w:cs="Times New Roman"/>
          <w:sz w:val="28"/>
          <w:szCs w:val="28"/>
          <w:lang w:val="ro-RO"/>
        </w:rPr>
      </w:pPr>
      <w:r w:rsidRPr="00641ED5">
        <w:rPr>
          <w:rFonts w:ascii="Times New Roman" w:hAnsi="Times New Roman" w:cs="Times New Roman"/>
          <w:sz w:val="28"/>
          <w:szCs w:val="28"/>
          <w:lang w:val="ro-RO"/>
        </w:rPr>
        <w:t>Proiectul nu este elaborat în scopul armonizării legislației naționale cu legislația U</w:t>
      </w:r>
      <w:r w:rsidR="003D59AE" w:rsidRPr="00641ED5">
        <w:rPr>
          <w:rFonts w:ascii="Times New Roman" w:hAnsi="Times New Roman" w:cs="Times New Roman"/>
          <w:sz w:val="28"/>
          <w:szCs w:val="28"/>
          <w:lang w:val="ro-RO"/>
        </w:rPr>
        <w:t xml:space="preserve">niunii </w:t>
      </w:r>
      <w:r w:rsidRPr="00641ED5">
        <w:rPr>
          <w:rFonts w:ascii="Times New Roman" w:hAnsi="Times New Roman" w:cs="Times New Roman"/>
          <w:sz w:val="28"/>
          <w:szCs w:val="28"/>
          <w:lang w:val="ro-RO"/>
        </w:rPr>
        <w:t>E</w:t>
      </w:r>
      <w:r w:rsidR="003D59AE" w:rsidRPr="00641ED5">
        <w:rPr>
          <w:rFonts w:ascii="Times New Roman" w:hAnsi="Times New Roman" w:cs="Times New Roman"/>
          <w:sz w:val="28"/>
          <w:szCs w:val="28"/>
          <w:lang w:val="ro-RO"/>
        </w:rPr>
        <w:t>uropene</w:t>
      </w:r>
      <w:r w:rsidR="001112D9" w:rsidRPr="00641ED5">
        <w:rPr>
          <w:rFonts w:ascii="Times New Roman" w:hAnsi="Times New Roman" w:cs="Times New Roman"/>
          <w:sz w:val="28"/>
          <w:szCs w:val="28"/>
          <w:lang w:val="ro-RO"/>
        </w:rPr>
        <w:t xml:space="preserve"> și </w:t>
      </w:r>
      <w:r w:rsidR="003E5D33" w:rsidRPr="00641ED5">
        <w:rPr>
          <w:rFonts w:ascii="Times New Roman" w:hAnsi="Times New Roman" w:cs="Times New Roman"/>
          <w:sz w:val="28"/>
          <w:szCs w:val="28"/>
          <w:lang w:val="ro-RO"/>
        </w:rPr>
        <w:t>decade</w:t>
      </w:r>
      <w:r w:rsidR="001112D9" w:rsidRPr="00641ED5">
        <w:rPr>
          <w:rFonts w:ascii="Times New Roman" w:hAnsi="Times New Roman" w:cs="Times New Roman"/>
          <w:sz w:val="28"/>
          <w:szCs w:val="28"/>
          <w:lang w:val="ro-RO"/>
        </w:rPr>
        <w:t xml:space="preserve"> neces</w:t>
      </w:r>
      <w:r w:rsidR="003E5D33" w:rsidRPr="00641ED5">
        <w:rPr>
          <w:rFonts w:ascii="Times New Roman" w:hAnsi="Times New Roman" w:cs="Times New Roman"/>
          <w:sz w:val="28"/>
          <w:szCs w:val="28"/>
          <w:lang w:val="ro-RO"/>
        </w:rPr>
        <w:t>itatea</w:t>
      </w:r>
      <w:r w:rsidRPr="00641ED5">
        <w:rPr>
          <w:rFonts w:ascii="Times New Roman" w:hAnsi="Times New Roman" w:cs="Times New Roman"/>
          <w:sz w:val="28"/>
          <w:szCs w:val="28"/>
          <w:lang w:val="ro-RO"/>
        </w:rPr>
        <w:t xml:space="preserve"> efectu</w:t>
      </w:r>
      <w:r w:rsidR="003E5D33" w:rsidRPr="00641ED5">
        <w:rPr>
          <w:rFonts w:ascii="Times New Roman" w:hAnsi="Times New Roman" w:cs="Times New Roman"/>
          <w:sz w:val="28"/>
          <w:szCs w:val="28"/>
          <w:lang w:val="ro-RO"/>
        </w:rPr>
        <w:t>ării</w:t>
      </w:r>
      <w:r w:rsidRPr="00641ED5">
        <w:rPr>
          <w:rFonts w:ascii="Times New Roman" w:hAnsi="Times New Roman" w:cs="Times New Roman"/>
          <w:sz w:val="28"/>
          <w:szCs w:val="28"/>
          <w:lang w:val="ro-RO"/>
        </w:rPr>
        <w:t xml:space="preserve"> expertizei de compatibilitate.</w:t>
      </w:r>
    </w:p>
    <w:p w14:paraId="4A1C9966" w14:textId="77777777" w:rsidR="00D0696D" w:rsidRPr="00641ED5" w:rsidRDefault="00D0696D" w:rsidP="00E6293D">
      <w:pPr>
        <w:pStyle w:val="Default"/>
        <w:tabs>
          <w:tab w:val="left" w:pos="1134"/>
        </w:tabs>
        <w:spacing w:line="276" w:lineRule="auto"/>
        <w:ind w:right="-1" w:firstLine="567"/>
        <w:jc w:val="both"/>
        <w:rPr>
          <w:rFonts w:ascii="Times New Roman" w:hAnsi="Times New Roman" w:cs="Times New Roman"/>
          <w:sz w:val="28"/>
          <w:szCs w:val="28"/>
          <w:lang w:val="ro-RO"/>
        </w:rPr>
      </w:pPr>
    </w:p>
    <w:p w14:paraId="142A6964" w14:textId="41723671" w:rsidR="004328A1" w:rsidRPr="00641ED5" w:rsidRDefault="004328A1" w:rsidP="00E6293D">
      <w:pPr>
        <w:pStyle w:val="ListParagraph"/>
        <w:shd w:val="clear" w:color="auto" w:fill="DEEAF6"/>
        <w:tabs>
          <w:tab w:val="left" w:pos="567"/>
          <w:tab w:val="left" w:pos="1134"/>
        </w:tabs>
        <w:spacing w:after="0"/>
        <w:ind w:left="0" w:right="-1"/>
        <w:contextualSpacing w:val="0"/>
        <w:jc w:val="both"/>
        <w:rPr>
          <w:rFonts w:ascii="Times New Roman" w:eastAsia="Times New Roman" w:hAnsi="Times New Roman"/>
          <w:b/>
          <w:i/>
          <w:sz w:val="28"/>
          <w:szCs w:val="28"/>
          <w:lang w:val="ro-RO" w:eastAsia="ru-RU"/>
        </w:rPr>
      </w:pPr>
      <w:r w:rsidRPr="00641ED5">
        <w:rPr>
          <w:rFonts w:ascii="Times New Roman" w:eastAsia="Times New Roman" w:hAnsi="Times New Roman"/>
          <w:b/>
          <w:i/>
          <w:sz w:val="28"/>
          <w:szCs w:val="28"/>
          <w:lang w:val="ro-RO" w:eastAsia="ru-RU"/>
        </w:rPr>
        <w:t xml:space="preserve">        </w:t>
      </w:r>
      <w:r w:rsidR="00763CF6" w:rsidRPr="00641ED5">
        <w:rPr>
          <w:rFonts w:ascii="Times New Roman" w:eastAsia="Times New Roman" w:hAnsi="Times New Roman"/>
          <w:b/>
          <w:i/>
          <w:sz w:val="28"/>
          <w:szCs w:val="28"/>
          <w:lang w:val="ro-RO" w:eastAsia="ru-RU"/>
        </w:rPr>
        <w:t>10</w:t>
      </w:r>
      <w:r w:rsidRPr="00641ED5">
        <w:rPr>
          <w:rFonts w:ascii="Times New Roman" w:eastAsia="Times New Roman" w:hAnsi="Times New Roman"/>
          <w:b/>
          <w:i/>
          <w:sz w:val="28"/>
          <w:szCs w:val="28"/>
          <w:lang w:val="ro-RO" w:eastAsia="ru-RU"/>
        </w:rPr>
        <w:t>. Constatările expertizei juridice</w:t>
      </w:r>
    </w:p>
    <w:p w14:paraId="7C13C281" w14:textId="406CD51E" w:rsidR="003F774D" w:rsidRPr="00641ED5" w:rsidRDefault="003F774D" w:rsidP="00E6293D">
      <w:pPr>
        <w:pStyle w:val="NormalWeb"/>
        <w:shd w:val="clear" w:color="auto" w:fill="FFFFFF"/>
        <w:tabs>
          <w:tab w:val="left" w:pos="1134"/>
        </w:tabs>
        <w:spacing w:line="276" w:lineRule="auto"/>
        <w:ind w:right="-1"/>
        <w:rPr>
          <w:sz w:val="28"/>
          <w:szCs w:val="28"/>
          <w:lang w:val="ro-RO"/>
        </w:rPr>
      </w:pPr>
      <w:r w:rsidRPr="00641ED5">
        <w:rPr>
          <w:sz w:val="28"/>
          <w:szCs w:val="28"/>
          <w:lang w:val="ro-RO"/>
        </w:rPr>
        <w:t xml:space="preserve">Proiectul urmează a fi supus expertizei </w:t>
      </w:r>
      <w:r w:rsidR="009921AA" w:rsidRPr="00641ED5">
        <w:rPr>
          <w:sz w:val="28"/>
          <w:szCs w:val="28"/>
          <w:lang w:val="ro-RO"/>
        </w:rPr>
        <w:t>juridice</w:t>
      </w:r>
      <w:r w:rsidRPr="00641ED5">
        <w:rPr>
          <w:sz w:val="28"/>
          <w:szCs w:val="28"/>
          <w:lang w:val="ro-RO"/>
        </w:rPr>
        <w:t>.</w:t>
      </w:r>
    </w:p>
    <w:p w14:paraId="140DD2B0" w14:textId="77777777" w:rsidR="00D0696D" w:rsidRPr="00641ED5" w:rsidRDefault="00D0696D" w:rsidP="00E6293D">
      <w:pPr>
        <w:pStyle w:val="NormalWeb"/>
        <w:shd w:val="clear" w:color="auto" w:fill="FFFFFF"/>
        <w:tabs>
          <w:tab w:val="left" w:pos="1134"/>
        </w:tabs>
        <w:spacing w:line="276" w:lineRule="auto"/>
        <w:ind w:right="-1"/>
        <w:rPr>
          <w:sz w:val="28"/>
          <w:szCs w:val="28"/>
          <w:lang w:val="ro-RO"/>
        </w:rPr>
      </w:pPr>
    </w:p>
    <w:p w14:paraId="3E695B8D" w14:textId="00969E10" w:rsidR="004328A1" w:rsidRPr="00641ED5" w:rsidRDefault="00763CF6" w:rsidP="00E6293D">
      <w:pPr>
        <w:pStyle w:val="ListParagraph"/>
        <w:shd w:val="clear" w:color="auto" w:fill="DEEAF6"/>
        <w:tabs>
          <w:tab w:val="left" w:pos="567"/>
          <w:tab w:val="left" w:pos="1134"/>
        </w:tabs>
        <w:spacing w:after="0"/>
        <w:ind w:left="0" w:right="-1"/>
        <w:contextualSpacing w:val="0"/>
        <w:jc w:val="both"/>
        <w:rPr>
          <w:rFonts w:ascii="Times New Roman" w:eastAsia="Times New Roman" w:hAnsi="Times New Roman"/>
          <w:b/>
          <w:i/>
          <w:sz w:val="28"/>
          <w:szCs w:val="28"/>
          <w:lang w:val="ro-RO" w:eastAsia="ru-RU"/>
        </w:rPr>
      </w:pPr>
      <w:r w:rsidRPr="00641ED5">
        <w:rPr>
          <w:rFonts w:ascii="Times New Roman" w:eastAsia="Times New Roman" w:hAnsi="Times New Roman"/>
          <w:b/>
          <w:i/>
          <w:sz w:val="28"/>
          <w:szCs w:val="28"/>
          <w:lang w:val="ro-RO" w:eastAsia="ru-RU"/>
        </w:rPr>
        <w:tab/>
      </w:r>
      <w:r w:rsidR="00C7222D" w:rsidRPr="00641ED5">
        <w:rPr>
          <w:rFonts w:ascii="Times New Roman" w:eastAsia="Times New Roman" w:hAnsi="Times New Roman"/>
          <w:b/>
          <w:i/>
          <w:sz w:val="28"/>
          <w:szCs w:val="28"/>
          <w:lang w:val="ro-RO" w:eastAsia="ru-RU"/>
        </w:rPr>
        <w:t>11. Constatările altor expertize</w:t>
      </w:r>
    </w:p>
    <w:p w14:paraId="1EC02BF0" w14:textId="43C4055C" w:rsidR="00C7222D" w:rsidRPr="00641ED5" w:rsidRDefault="003F774D" w:rsidP="00E6293D">
      <w:pPr>
        <w:pStyle w:val="NormalWeb"/>
        <w:spacing w:after="120" w:line="276" w:lineRule="auto"/>
        <w:rPr>
          <w:sz w:val="28"/>
          <w:szCs w:val="28"/>
          <w:lang w:val="ro-RO"/>
        </w:rPr>
      </w:pPr>
      <w:r w:rsidRPr="00641ED5">
        <w:rPr>
          <w:sz w:val="28"/>
          <w:szCs w:val="28"/>
          <w:lang w:val="ro-RO"/>
        </w:rPr>
        <w:t>Proiectul de hotărâre nu cade sub incidenta altor expertize necesare a fi efectuate în condițiile Legii nr.100/2017 cu privire la actele normative.</w:t>
      </w:r>
    </w:p>
    <w:p w14:paraId="05B99790" w14:textId="77777777" w:rsidR="00E021F9" w:rsidRPr="00641ED5" w:rsidRDefault="00E021F9" w:rsidP="00E6293D">
      <w:pPr>
        <w:pStyle w:val="NormalWeb"/>
        <w:spacing w:after="120" w:line="276" w:lineRule="auto"/>
        <w:rPr>
          <w:sz w:val="28"/>
          <w:szCs w:val="28"/>
          <w:lang w:val="ro-RO"/>
        </w:rPr>
      </w:pPr>
    </w:p>
    <w:p w14:paraId="3BF81F44" w14:textId="77777777" w:rsidR="00E021F9" w:rsidRDefault="00E021F9" w:rsidP="00E6293D">
      <w:pPr>
        <w:pStyle w:val="NormalWeb"/>
        <w:spacing w:after="120" w:line="276" w:lineRule="auto"/>
        <w:rPr>
          <w:sz w:val="28"/>
          <w:szCs w:val="28"/>
        </w:rPr>
      </w:pPr>
    </w:p>
    <w:p w14:paraId="38D45722" w14:textId="77777777" w:rsidR="00E021F9" w:rsidRDefault="00E021F9" w:rsidP="00E6293D">
      <w:pPr>
        <w:pStyle w:val="NormalWeb"/>
        <w:spacing w:after="120" w:line="276" w:lineRule="auto"/>
        <w:rPr>
          <w:sz w:val="28"/>
          <w:szCs w:val="28"/>
        </w:rPr>
      </w:pPr>
    </w:p>
    <w:p w14:paraId="451F8E9D" w14:textId="77777777" w:rsidR="00E021F9" w:rsidRPr="003F774D" w:rsidRDefault="00E021F9" w:rsidP="00E6293D">
      <w:pPr>
        <w:pStyle w:val="NormalWeb"/>
        <w:spacing w:after="120" w:line="276" w:lineRule="auto"/>
        <w:rPr>
          <w:sz w:val="28"/>
          <w:szCs w:val="28"/>
          <w:lang w:val="ro-RO"/>
        </w:rPr>
      </w:pPr>
    </w:p>
    <w:p w14:paraId="499F1D25" w14:textId="77777777" w:rsidR="004328A1" w:rsidRPr="00C7121D" w:rsidRDefault="004328A1" w:rsidP="004328A1">
      <w:pPr>
        <w:pStyle w:val="NormalWeb"/>
        <w:shd w:val="clear" w:color="auto" w:fill="FFFFFF"/>
        <w:ind w:right="-1" w:firstLine="0"/>
        <w:rPr>
          <w:b/>
          <w:sz w:val="28"/>
          <w:szCs w:val="28"/>
          <w:lang w:val="ro-RO"/>
        </w:rPr>
      </w:pPr>
      <w:r w:rsidRPr="00C7121D">
        <w:rPr>
          <w:b/>
          <w:sz w:val="28"/>
          <w:szCs w:val="28"/>
          <w:lang w:val="ro-RO"/>
        </w:rPr>
        <w:t xml:space="preserve"> </w:t>
      </w:r>
    </w:p>
    <w:p w14:paraId="0F659A16" w14:textId="5362EF5B" w:rsidR="00C43DEE" w:rsidRPr="00C7121D" w:rsidRDefault="004328A1" w:rsidP="00C7222D">
      <w:pPr>
        <w:tabs>
          <w:tab w:val="left" w:pos="1134"/>
        </w:tabs>
        <w:ind w:right="-1" w:firstLine="567"/>
        <w:jc w:val="both"/>
        <w:rPr>
          <w:sz w:val="28"/>
          <w:szCs w:val="28"/>
          <w:lang w:val="en-GB"/>
        </w:rPr>
      </w:pPr>
      <w:r w:rsidRPr="00C7121D">
        <w:rPr>
          <w:b/>
          <w:sz w:val="28"/>
          <w:szCs w:val="28"/>
          <w:lang w:val="ro-RO"/>
        </w:rPr>
        <w:t xml:space="preserve">   </w:t>
      </w:r>
      <w:r w:rsidR="00C921B5" w:rsidRPr="00C7121D">
        <w:rPr>
          <w:b/>
          <w:sz w:val="28"/>
          <w:szCs w:val="28"/>
          <w:lang w:val="ro-RO"/>
        </w:rPr>
        <w:t xml:space="preserve"> </w:t>
      </w:r>
      <w:r w:rsidR="006153C2" w:rsidRPr="00C7121D">
        <w:rPr>
          <w:b/>
          <w:sz w:val="28"/>
          <w:szCs w:val="28"/>
          <w:lang w:val="ro-RO"/>
        </w:rPr>
        <w:t xml:space="preserve"> </w:t>
      </w:r>
      <w:r w:rsidR="008D7A31">
        <w:rPr>
          <w:b/>
          <w:sz w:val="28"/>
          <w:szCs w:val="28"/>
          <w:lang w:val="ro-RO"/>
        </w:rPr>
        <w:t>Secretar de stat                                            Vadim GUMENE</w:t>
      </w:r>
    </w:p>
    <w:sectPr w:rsidR="00C43DEE" w:rsidRPr="00C7121D" w:rsidSect="00D069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479A6334"/>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59"/>
    <w:rsid w:val="00066619"/>
    <w:rsid w:val="001112D9"/>
    <w:rsid w:val="001165AD"/>
    <w:rsid w:val="001D5491"/>
    <w:rsid w:val="00220C61"/>
    <w:rsid w:val="0023421C"/>
    <w:rsid w:val="00245CE4"/>
    <w:rsid w:val="00264986"/>
    <w:rsid w:val="00272450"/>
    <w:rsid w:val="002C6510"/>
    <w:rsid w:val="003265D2"/>
    <w:rsid w:val="00363022"/>
    <w:rsid w:val="003B7160"/>
    <w:rsid w:val="003D59AE"/>
    <w:rsid w:val="003E5D33"/>
    <w:rsid w:val="003F774D"/>
    <w:rsid w:val="003F7B1C"/>
    <w:rsid w:val="00420CE9"/>
    <w:rsid w:val="004328A1"/>
    <w:rsid w:val="00433E1D"/>
    <w:rsid w:val="0044145F"/>
    <w:rsid w:val="004C3333"/>
    <w:rsid w:val="004C51F9"/>
    <w:rsid w:val="00500E33"/>
    <w:rsid w:val="005D5880"/>
    <w:rsid w:val="006153C2"/>
    <w:rsid w:val="00641ED5"/>
    <w:rsid w:val="00692855"/>
    <w:rsid w:val="00763CF6"/>
    <w:rsid w:val="00866986"/>
    <w:rsid w:val="008A2A19"/>
    <w:rsid w:val="008D7A31"/>
    <w:rsid w:val="00916AF5"/>
    <w:rsid w:val="00941C4D"/>
    <w:rsid w:val="00973AEE"/>
    <w:rsid w:val="009921AA"/>
    <w:rsid w:val="009A74E9"/>
    <w:rsid w:val="00A11712"/>
    <w:rsid w:val="00A640D5"/>
    <w:rsid w:val="00AD19EA"/>
    <w:rsid w:val="00AE6930"/>
    <w:rsid w:val="00B843FF"/>
    <w:rsid w:val="00B845BE"/>
    <w:rsid w:val="00BD706E"/>
    <w:rsid w:val="00BE7A51"/>
    <w:rsid w:val="00BF4CA0"/>
    <w:rsid w:val="00C041B8"/>
    <w:rsid w:val="00C43DEE"/>
    <w:rsid w:val="00C65D28"/>
    <w:rsid w:val="00C7121D"/>
    <w:rsid w:val="00C7222D"/>
    <w:rsid w:val="00C770C4"/>
    <w:rsid w:val="00C921B5"/>
    <w:rsid w:val="00CD6426"/>
    <w:rsid w:val="00D0696D"/>
    <w:rsid w:val="00D07EFC"/>
    <w:rsid w:val="00D20A56"/>
    <w:rsid w:val="00D45159"/>
    <w:rsid w:val="00D520D8"/>
    <w:rsid w:val="00D93F82"/>
    <w:rsid w:val="00E021F9"/>
    <w:rsid w:val="00E14D9E"/>
    <w:rsid w:val="00E22ECA"/>
    <w:rsid w:val="00E577C5"/>
    <w:rsid w:val="00E615AC"/>
    <w:rsid w:val="00E6293D"/>
    <w:rsid w:val="00E65B61"/>
    <w:rsid w:val="00E75D83"/>
    <w:rsid w:val="00EA3466"/>
    <w:rsid w:val="00EA7EF6"/>
    <w:rsid w:val="00ED77DD"/>
    <w:rsid w:val="00F13286"/>
    <w:rsid w:val="00F60806"/>
    <w:rsid w:val="00F62B3F"/>
    <w:rsid w:val="00FB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1DEE"/>
  <w15:chartTrackingRefBased/>
  <w15:docId w15:val="{7D1ADED5-B605-490A-BF28-A57D344C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8A1"/>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qFormat/>
    <w:rsid w:val="004328A1"/>
    <w:pPr>
      <w:ind w:firstLine="567"/>
      <w:jc w:val="both"/>
    </w:pPr>
    <w:rPr>
      <w:lang w:val="en-US" w:eastAsia="en-US"/>
    </w:rPr>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
    <w:basedOn w:val="Normal"/>
    <w:link w:val="ListParagraphChar"/>
    <w:uiPriority w:val="34"/>
    <w:qFormat/>
    <w:rsid w:val="004328A1"/>
    <w:pPr>
      <w:spacing w:after="200" w:line="276" w:lineRule="auto"/>
      <w:ind w:left="720"/>
      <w:contextualSpacing/>
    </w:pPr>
    <w:rPr>
      <w:rFonts w:ascii="Calibri" w:eastAsia="Calibri" w:hAnsi="Calibri"/>
      <w:sz w:val="20"/>
      <w:szCs w:val="20"/>
      <w:lang w:val="en-US" w:eastAsia="x-none"/>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locked/>
    <w:rsid w:val="004328A1"/>
    <w:rPr>
      <w:rFonts w:ascii="Calibri" w:eastAsia="Calibri" w:hAnsi="Calibri" w:cs="Times New Roman"/>
      <w:sz w:val="20"/>
      <w:szCs w:val="20"/>
      <w:lang w:val="en-US" w:eastAsia="x-none"/>
    </w:rPr>
  </w:style>
  <w:style w:type="paragraph" w:customStyle="1" w:styleId="tt">
    <w:name w:val="tt"/>
    <w:basedOn w:val="Normal"/>
    <w:rsid w:val="004328A1"/>
    <w:pPr>
      <w:spacing w:before="100" w:beforeAutospacing="1" w:after="100" w:afterAutospacing="1"/>
      <w:jc w:val="center"/>
    </w:pPr>
    <w:rPr>
      <w:b/>
      <w:bCs/>
      <w:lang w:val="ro-RO" w:eastAsia="ro-RO"/>
    </w:rPr>
  </w:style>
  <w:style w:type="paragraph" w:customStyle="1" w:styleId="Default">
    <w:name w:val="Default"/>
    <w:rsid w:val="004328A1"/>
    <w:pPr>
      <w:autoSpaceDE w:val="0"/>
      <w:autoSpaceDN w:val="0"/>
      <w:adjustRightInd w:val="0"/>
    </w:pPr>
    <w:rPr>
      <w:rFonts w:ascii="Calibri" w:eastAsia="Times New Roman" w:hAnsi="Calibri" w:cs="Calibri"/>
      <w:color w:val="000000"/>
      <w:sz w:val="24"/>
      <w:szCs w:val="24"/>
      <w:lang w:val="en-US"/>
    </w:rPr>
  </w:style>
  <w:style w:type="character" w:customStyle="1" w:styleId="NormalWebChar">
    <w:name w:val="Normal (Web) Char"/>
    <w:aliases w:val="Знак Char,webb Char, Знак Char"/>
    <w:link w:val="NormalWeb"/>
    <w:uiPriority w:val="99"/>
    <w:locked/>
    <w:rsid w:val="004328A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93F82"/>
    <w:rPr>
      <w:color w:val="0563C1" w:themeColor="hyperlink"/>
      <w:u w:val="single"/>
    </w:rPr>
  </w:style>
  <w:style w:type="character" w:customStyle="1" w:styleId="UnresolvedMention1">
    <w:name w:val="Unresolved Mention1"/>
    <w:basedOn w:val="DefaultParagraphFont"/>
    <w:uiPriority w:val="99"/>
    <w:semiHidden/>
    <w:unhideWhenUsed/>
    <w:rsid w:val="00D93F82"/>
    <w:rPr>
      <w:color w:val="605E5C"/>
      <w:shd w:val="clear" w:color="auto" w:fill="E1DFDD"/>
    </w:rPr>
  </w:style>
  <w:style w:type="character" w:customStyle="1" w:styleId="tonic-accent">
    <w:name w:val="tonic-accent"/>
    <w:basedOn w:val="DefaultParagraphFont"/>
    <w:rsid w:val="009A74E9"/>
  </w:style>
  <w:style w:type="paragraph" w:customStyle="1" w:styleId="cb">
    <w:name w:val="cb"/>
    <w:basedOn w:val="Normal"/>
    <w:rsid w:val="00C7222D"/>
    <w:pPr>
      <w:spacing w:before="100" w:beforeAutospacing="1" w:after="100" w:afterAutospacing="1"/>
      <w:jc w:val="center"/>
    </w:pPr>
    <w:rPr>
      <w:b/>
      <w:bCs/>
      <w:lang w:val="en-GB" w:eastAsia="en-GB"/>
    </w:rPr>
  </w:style>
  <w:style w:type="character" w:customStyle="1" w:styleId="markedcontent">
    <w:name w:val="markedcontent"/>
    <w:basedOn w:val="DefaultParagraphFont"/>
    <w:rsid w:val="00ED77DD"/>
  </w:style>
  <w:style w:type="paragraph" w:styleId="BalloonText">
    <w:name w:val="Balloon Text"/>
    <w:basedOn w:val="Normal"/>
    <w:link w:val="BalloonTextChar"/>
    <w:uiPriority w:val="99"/>
    <w:semiHidden/>
    <w:unhideWhenUsed/>
    <w:rsid w:val="004C5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F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4181">
      <w:bodyDiv w:val="1"/>
      <w:marLeft w:val="0"/>
      <w:marRight w:val="0"/>
      <w:marTop w:val="0"/>
      <w:marBottom w:val="0"/>
      <w:divBdr>
        <w:top w:val="none" w:sz="0" w:space="0" w:color="auto"/>
        <w:left w:val="none" w:sz="0" w:space="0" w:color="auto"/>
        <w:bottom w:val="none" w:sz="0" w:space="0" w:color="auto"/>
        <w:right w:val="none" w:sz="0" w:space="0" w:color="auto"/>
      </w:divBdr>
    </w:div>
    <w:div w:id="930436371">
      <w:bodyDiv w:val="1"/>
      <w:marLeft w:val="0"/>
      <w:marRight w:val="0"/>
      <w:marTop w:val="0"/>
      <w:marBottom w:val="0"/>
      <w:divBdr>
        <w:top w:val="none" w:sz="0" w:space="0" w:color="auto"/>
        <w:left w:val="none" w:sz="0" w:space="0" w:color="auto"/>
        <w:bottom w:val="none" w:sz="0" w:space="0" w:color="auto"/>
        <w:right w:val="none" w:sz="0" w:space="0" w:color="auto"/>
      </w:divBdr>
    </w:div>
    <w:div w:id="1110055552">
      <w:bodyDiv w:val="1"/>
      <w:marLeft w:val="0"/>
      <w:marRight w:val="0"/>
      <w:marTop w:val="0"/>
      <w:marBottom w:val="0"/>
      <w:divBdr>
        <w:top w:val="none" w:sz="0" w:space="0" w:color="auto"/>
        <w:left w:val="none" w:sz="0" w:space="0" w:color="auto"/>
        <w:bottom w:val="none" w:sz="0" w:space="0" w:color="auto"/>
        <w:right w:val="none" w:sz="0" w:space="0" w:color="auto"/>
      </w:divBdr>
    </w:div>
    <w:div w:id="1155605594">
      <w:bodyDiv w:val="1"/>
      <w:marLeft w:val="0"/>
      <w:marRight w:val="0"/>
      <w:marTop w:val="0"/>
      <w:marBottom w:val="0"/>
      <w:divBdr>
        <w:top w:val="none" w:sz="0" w:space="0" w:color="auto"/>
        <w:left w:val="none" w:sz="0" w:space="0" w:color="auto"/>
        <w:bottom w:val="none" w:sz="0" w:space="0" w:color="auto"/>
        <w:right w:val="none" w:sz="0" w:space="0" w:color="auto"/>
      </w:divBdr>
    </w:div>
    <w:div w:id="1572276225">
      <w:bodyDiv w:val="1"/>
      <w:marLeft w:val="0"/>
      <w:marRight w:val="0"/>
      <w:marTop w:val="0"/>
      <w:marBottom w:val="0"/>
      <w:divBdr>
        <w:top w:val="none" w:sz="0" w:space="0" w:color="auto"/>
        <w:left w:val="none" w:sz="0" w:space="0" w:color="auto"/>
        <w:bottom w:val="none" w:sz="0" w:space="0" w:color="auto"/>
        <w:right w:val="none" w:sz="0" w:space="0" w:color="auto"/>
      </w:divBdr>
    </w:div>
    <w:div w:id="1955205324">
      <w:bodyDiv w:val="1"/>
      <w:marLeft w:val="0"/>
      <w:marRight w:val="0"/>
      <w:marTop w:val="0"/>
      <w:marBottom w:val="0"/>
      <w:divBdr>
        <w:top w:val="none" w:sz="0" w:space="0" w:color="auto"/>
        <w:left w:val="none" w:sz="0" w:space="0" w:color="auto"/>
        <w:bottom w:val="none" w:sz="0" w:space="0" w:color="auto"/>
        <w:right w:val="none" w:sz="0" w:space="0" w:color="auto"/>
      </w:divBdr>
    </w:div>
    <w:div w:id="20509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Voicu</dc:creator>
  <cp:keywords/>
  <dc:description/>
  <cp:lastModifiedBy>Ina Școlnîi</cp:lastModifiedBy>
  <cp:revision>2</cp:revision>
  <cp:lastPrinted>2022-08-12T11:18:00Z</cp:lastPrinted>
  <dcterms:created xsi:type="dcterms:W3CDTF">2022-08-17T13:36:00Z</dcterms:created>
  <dcterms:modified xsi:type="dcterms:W3CDTF">2022-08-17T13:36:00Z</dcterms:modified>
</cp:coreProperties>
</file>