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9C" w:rsidRPr="001E3274" w:rsidRDefault="00B0689C" w:rsidP="005908F4">
      <w:pPr>
        <w:spacing w:after="0" w:line="240" w:lineRule="auto"/>
        <w:rPr>
          <w:lang w:val="ro-RO"/>
        </w:rPr>
      </w:pPr>
    </w:p>
    <w:tbl>
      <w:tblPr>
        <w:tblpPr w:leftFromText="180" w:rightFromText="180" w:horzAnchor="margin" w:tblpX="-465" w:tblpY="5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8306A" w:rsidRPr="00796D30" w:rsidTr="007D4C53">
        <w:trPr>
          <w:trHeight w:val="839"/>
        </w:trPr>
        <w:tc>
          <w:tcPr>
            <w:tcW w:w="9776" w:type="dxa"/>
          </w:tcPr>
          <w:p w:rsidR="00F8306A" w:rsidRPr="00E001A0" w:rsidRDefault="005908F4" w:rsidP="00E001A0">
            <w:pPr>
              <w:spacing w:after="0" w:line="240" w:lineRule="auto"/>
              <w:ind w:left="1128" w:right="1066"/>
              <w:jc w:val="center"/>
              <w:rPr>
                <w:rFonts w:ascii="Times New Roman" w:hAnsi="Times New Roman"/>
                <w:b/>
                <w:bCs/>
                <w:sz w:val="28"/>
                <w:szCs w:val="28"/>
                <w:lang w:val="ro-RO" w:eastAsia="ro-RO"/>
              </w:rPr>
            </w:pPr>
            <w:r w:rsidRPr="00E001A0">
              <w:rPr>
                <w:rFonts w:ascii="Times New Roman" w:hAnsi="Times New Roman"/>
                <w:b/>
                <w:bCs/>
                <w:sz w:val="28"/>
                <w:szCs w:val="28"/>
                <w:lang w:val="ro-RO" w:eastAsia="ro-RO"/>
              </w:rPr>
              <w:t>NOTĂ</w:t>
            </w:r>
            <w:r w:rsidR="00F8306A" w:rsidRPr="00E001A0">
              <w:rPr>
                <w:rFonts w:ascii="Times New Roman" w:hAnsi="Times New Roman"/>
                <w:b/>
                <w:bCs/>
                <w:sz w:val="28"/>
                <w:szCs w:val="28"/>
                <w:lang w:val="ro-RO" w:eastAsia="ro-RO"/>
              </w:rPr>
              <w:t xml:space="preserve"> </w:t>
            </w:r>
            <w:r w:rsidR="00C80F4A" w:rsidRPr="00E001A0">
              <w:rPr>
                <w:rFonts w:ascii="Times New Roman" w:hAnsi="Times New Roman"/>
                <w:b/>
                <w:bCs/>
                <w:sz w:val="28"/>
                <w:szCs w:val="28"/>
                <w:lang w:val="ro-RO" w:eastAsia="ro-RO"/>
              </w:rPr>
              <w:t xml:space="preserve"> </w:t>
            </w:r>
            <w:r w:rsidR="00F8306A" w:rsidRPr="00E001A0">
              <w:rPr>
                <w:rFonts w:ascii="Times New Roman" w:hAnsi="Times New Roman"/>
                <w:b/>
                <w:bCs/>
                <w:sz w:val="28"/>
                <w:szCs w:val="28"/>
                <w:lang w:val="ro-RO" w:eastAsia="ro-RO"/>
              </w:rPr>
              <w:t>INFORMATIVĂ</w:t>
            </w:r>
          </w:p>
          <w:p w:rsidR="00362FA8" w:rsidRDefault="005908F4" w:rsidP="00E001A0">
            <w:pPr>
              <w:spacing w:after="0" w:line="240" w:lineRule="auto"/>
              <w:jc w:val="center"/>
              <w:rPr>
                <w:rFonts w:ascii="Times New Roman" w:hAnsi="Times New Roman"/>
                <w:noProof/>
                <w:color w:val="7030A0"/>
                <w:sz w:val="28"/>
                <w:szCs w:val="28"/>
                <w:lang w:val="ro-RO"/>
              </w:rPr>
            </w:pPr>
            <w:r w:rsidRPr="00E001A0">
              <w:rPr>
                <w:rFonts w:ascii="Times New Roman" w:hAnsi="Times New Roman"/>
                <w:b/>
                <w:sz w:val="28"/>
                <w:szCs w:val="28"/>
                <w:lang w:val="ro-RO"/>
              </w:rPr>
              <w:t>cu privire la</w:t>
            </w:r>
            <w:r w:rsidR="00F85704" w:rsidRPr="00E001A0">
              <w:rPr>
                <w:rFonts w:ascii="Times New Roman" w:hAnsi="Times New Roman"/>
                <w:b/>
                <w:sz w:val="28"/>
                <w:szCs w:val="28"/>
                <w:lang w:val="ro-RO"/>
              </w:rPr>
              <w:t xml:space="preserve"> proiectul de l</w:t>
            </w:r>
            <w:r w:rsidR="00D31FF0" w:rsidRPr="00E001A0">
              <w:rPr>
                <w:rFonts w:ascii="Times New Roman" w:hAnsi="Times New Roman"/>
                <w:b/>
                <w:sz w:val="28"/>
                <w:szCs w:val="28"/>
                <w:lang w:val="ro-RO"/>
              </w:rPr>
              <w:t xml:space="preserve">ege pentru modificarea unor acte </w:t>
            </w:r>
            <w:r w:rsidR="00315EA0" w:rsidRPr="00E001A0">
              <w:rPr>
                <w:rFonts w:ascii="Times New Roman" w:hAnsi="Times New Roman"/>
                <w:b/>
                <w:sz w:val="28"/>
                <w:szCs w:val="28"/>
                <w:lang w:val="ro-RO"/>
              </w:rPr>
              <w:t>normative</w:t>
            </w:r>
            <w:r w:rsidR="00486A94" w:rsidRPr="00E001A0">
              <w:rPr>
                <w:rFonts w:ascii="Times New Roman" w:hAnsi="Times New Roman"/>
                <w:noProof/>
                <w:color w:val="7030A0"/>
                <w:sz w:val="28"/>
                <w:szCs w:val="28"/>
                <w:lang w:val="ro-RO"/>
              </w:rPr>
              <w:t xml:space="preserve"> </w:t>
            </w:r>
          </w:p>
          <w:p w:rsidR="005908F4" w:rsidRPr="00E001A0" w:rsidRDefault="00486A94" w:rsidP="00E001A0">
            <w:pPr>
              <w:spacing w:after="0" w:line="240" w:lineRule="auto"/>
              <w:jc w:val="center"/>
              <w:rPr>
                <w:rFonts w:ascii="Times New Roman" w:hAnsi="Times New Roman"/>
                <w:b/>
                <w:sz w:val="28"/>
                <w:szCs w:val="28"/>
                <w:lang w:val="ro-RO"/>
              </w:rPr>
            </w:pPr>
            <w:r w:rsidRPr="00E001A0">
              <w:rPr>
                <w:rFonts w:ascii="Times New Roman" w:hAnsi="Times New Roman"/>
                <w:noProof/>
                <w:color w:val="7030A0"/>
                <w:sz w:val="28"/>
                <w:szCs w:val="28"/>
                <w:lang w:val="ro-RO"/>
              </w:rPr>
              <w:t xml:space="preserve"> </w:t>
            </w:r>
            <w:r w:rsidR="00362FA8">
              <w:rPr>
                <w:rFonts w:ascii="Times New Roman" w:hAnsi="Times New Roman"/>
                <w:noProof/>
                <w:color w:val="7030A0"/>
                <w:sz w:val="28"/>
                <w:szCs w:val="28"/>
                <w:lang w:val="ro-RO"/>
              </w:rPr>
              <w:t>(</w:t>
            </w:r>
            <w:r w:rsidR="00362FA8" w:rsidRPr="00796D30">
              <w:rPr>
                <w:rFonts w:ascii="Times New Roman" w:eastAsia="Calibri" w:hAnsi="Times New Roman"/>
                <w:b/>
                <w:bCs/>
                <w:sz w:val="28"/>
                <w:szCs w:val="28"/>
                <w:lang w:val="en-US"/>
              </w:rPr>
              <w:t>aspecte conexe de guvernanță corporativă și piața de capital</w:t>
            </w:r>
            <w:r w:rsidR="00362FA8">
              <w:rPr>
                <w:rFonts w:ascii="Times New Roman" w:eastAsia="Calibri" w:hAnsi="Times New Roman"/>
                <w:b/>
                <w:bCs/>
                <w:sz w:val="28"/>
                <w:szCs w:val="28"/>
                <w:lang w:val="en-US"/>
              </w:rPr>
              <w:t>)</w:t>
            </w:r>
            <w:r w:rsidRPr="00E001A0">
              <w:rPr>
                <w:rFonts w:ascii="Times New Roman" w:hAnsi="Times New Roman"/>
                <w:noProof/>
                <w:color w:val="7030A0"/>
                <w:sz w:val="28"/>
                <w:szCs w:val="28"/>
                <w:lang w:val="ro-RO"/>
              </w:rPr>
              <w:t xml:space="preserve">                                                    </w:t>
            </w:r>
            <w:r w:rsidR="00050560" w:rsidRPr="00E001A0">
              <w:rPr>
                <w:rFonts w:ascii="Times New Roman" w:hAnsi="Times New Roman"/>
                <w:noProof/>
                <w:color w:val="7030A0"/>
                <w:sz w:val="28"/>
                <w:szCs w:val="28"/>
                <w:lang w:val="ro-RO"/>
              </w:rPr>
              <w:t xml:space="preserve">                              </w:t>
            </w:r>
          </w:p>
        </w:tc>
      </w:tr>
      <w:tr w:rsidR="00414AE1" w:rsidRPr="00327C61" w:rsidTr="007D4C53">
        <w:tc>
          <w:tcPr>
            <w:tcW w:w="9776" w:type="dxa"/>
            <w:shd w:val="clear" w:color="auto" w:fill="BFBFBF"/>
          </w:tcPr>
          <w:p w:rsidR="00414AE1" w:rsidRPr="00E001A0" w:rsidRDefault="00E7754B" w:rsidP="00E7754B">
            <w:pPr>
              <w:spacing w:after="0" w:line="240" w:lineRule="auto"/>
              <w:rPr>
                <w:rFonts w:ascii="Times New Roman" w:hAnsi="Times New Roman"/>
                <w:b/>
                <w:sz w:val="28"/>
                <w:szCs w:val="28"/>
                <w:lang w:val="ro-RO"/>
              </w:rPr>
            </w:pPr>
            <w:r>
              <w:rPr>
                <w:rFonts w:ascii="Times New Roman" w:hAnsi="Times New Roman"/>
                <w:b/>
                <w:sz w:val="28"/>
                <w:szCs w:val="28"/>
                <w:lang w:val="ro-RO"/>
              </w:rPr>
              <w:t>1.</w:t>
            </w:r>
            <w:r w:rsidR="00414AE1" w:rsidRPr="00E001A0">
              <w:rPr>
                <w:rFonts w:ascii="Times New Roman" w:hAnsi="Times New Roman"/>
                <w:b/>
                <w:sz w:val="28"/>
                <w:szCs w:val="28"/>
                <w:lang w:val="ro-RO"/>
              </w:rPr>
              <w:t>Denumirea autorului</w:t>
            </w:r>
          </w:p>
        </w:tc>
      </w:tr>
      <w:tr w:rsidR="00414AE1" w:rsidRPr="00796D30" w:rsidTr="007D4C53">
        <w:tc>
          <w:tcPr>
            <w:tcW w:w="9776" w:type="dxa"/>
          </w:tcPr>
          <w:p w:rsidR="00414AE1" w:rsidRPr="00E001A0" w:rsidRDefault="00D31FF0" w:rsidP="00E001A0">
            <w:pPr>
              <w:spacing w:after="0" w:line="240" w:lineRule="auto"/>
              <w:jc w:val="both"/>
              <w:rPr>
                <w:rFonts w:ascii="Times New Roman" w:hAnsi="Times New Roman"/>
                <w:sz w:val="28"/>
                <w:szCs w:val="28"/>
                <w:lang w:val="ro-RO"/>
              </w:rPr>
            </w:pPr>
            <w:r w:rsidRPr="00E001A0">
              <w:rPr>
                <w:rFonts w:ascii="Times New Roman" w:hAnsi="Times New Roman"/>
                <w:sz w:val="28"/>
                <w:szCs w:val="28"/>
                <w:lang w:val="ro-RO"/>
              </w:rPr>
              <w:t xml:space="preserve">Proiectul de </w:t>
            </w:r>
            <w:r w:rsidR="00734872">
              <w:rPr>
                <w:rFonts w:ascii="Times New Roman" w:hAnsi="Times New Roman"/>
                <w:sz w:val="28"/>
                <w:szCs w:val="28"/>
                <w:lang w:val="ro-RO"/>
              </w:rPr>
              <w:t>l</w:t>
            </w:r>
            <w:r w:rsidRPr="00E001A0">
              <w:rPr>
                <w:rFonts w:ascii="Times New Roman" w:hAnsi="Times New Roman"/>
                <w:sz w:val="28"/>
                <w:szCs w:val="28"/>
                <w:lang w:val="ro-RO"/>
              </w:rPr>
              <w:t xml:space="preserve">ege pentru modificarea unor acte </w:t>
            </w:r>
            <w:r w:rsidR="00315EA0" w:rsidRPr="00E001A0">
              <w:rPr>
                <w:rFonts w:ascii="Times New Roman" w:hAnsi="Times New Roman"/>
                <w:sz w:val="28"/>
                <w:szCs w:val="28"/>
                <w:lang w:val="ro-RO"/>
              </w:rPr>
              <w:t xml:space="preserve">normative </w:t>
            </w:r>
            <w:r w:rsidRPr="00E001A0">
              <w:rPr>
                <w:rFonts w:ascii="Times New Roman" w:hAnsi="Times New Roman"/>
                <w:sz w:val="28"/>
                <w:szCs w:val="28"/>
                <w:lang w:val="ro-RO"/>
              </w:rPr>
              <w:t>(în continuare</w:t>
            </w:r>
            <w:r w:rsidR="00810797" w:rsidRPr="00E001A0">
              <w:rPr>
                <w:rFonts w:ascii="Times New Roman" w:hAnsi="Times New Roman"/>
                <w:sz w:val="28"/>
                <w:szCs w:val="28"/>
                <w:lang w:val="ro-RO"/>
              </w:rPr>
              <w:t xml:space="preserve"> </w:t>
            </w:r>
            <w:r w:rsidRPr="00E001A0">
              <w:rPr>
                <w:rFonts w:ascii="Times New Roman" w:hAnsi="Times New Roman"/>
                <w:sz w:val="28"/>
                <w:szCs w:val="28"/>
                <w:lang w:val="ro-RO"/>
              </w:rPr>
              <w:t>-</w:t>
            </w:r>
            <w:r w:rsidR="00810797" w:rsidRPr="00E001A0">
              <w:rPr>
                <w:rFonts w:ascii="Times New Roman" w:hAnsi="Times New Roman"/>
                <w:sz w:val="28"/>
                <w:szCs w:val="28"/>
                <w:lang w:val="ro-RO"/>
              </w:rPr>
              <w:t xml:space="preserve"> </w:t>
            </w:r>
            <w:r w:rsidRPr="00E001A0">
              <w:rPr>
                <w:rFonts w:ascii="Times New Roman" w:hAnsi="Times New Roman"/>
                <w:i/>
                <w:sz w:val="28"/>
                <w:szCs w:val="28"/>
                <w:lang w:val="ro-RO"/>
              </w:rPr>
              <w:t>Proiect de lege</w:t>
            </w:r>
            <w:r w:rsidRPr="00E001A0">
              <w:rPr>
                <w:rFonts w:ascii="Times New Roman" w:hAnsi="Times New Roman"/>
                <w:sz w:val="28"/>
                <w:szCs w:val="28"/>
                <w:lang w:val="ro-RO"/>
              </w:rPr>
              <w:t xml:space="preserve">) a fost elaborat de către </w:t>
            </w:r>
            <w:r w:rsidRPr="00E001A0">
              <w:rPr>
                <w:rFonts w:ascii="Times New Roman" w:eastAsia="SimSun" w:hAnsi="Times New Roman"/>
                <w:sz w:val="28"/>
                <w:szCs w:val="28"/>
                <w:lang w:val="ro-RO"/>
              </w:rPr>
              <w:t>Comisia Națională a Pieței Financiare</w:t>
            </w:r>
            <w:r w:rsidR="001C790C" w:rsidRPr="00E001A0">
              <w:rPr>
                <w:rFonts w:ascii="Times New Roman" w:eastAsia="SimSun" w:hAnsi="Times New Roman"/>
                <w:sz w:val="28"/>
                <w:szCs w:val="28"/>
                <w:lang w:val="ro-RO"/>
              </w:rPr>
              <w:t xml:space="preserve"> </w:t>
            </w:r>
            <w:r w:rsidR="001C790C" w:rsidRPr="00E001A0">
              <w:rPr>
                <w:rFonts w:ascii="Times New Roman" w:eastAsia="SimSun" w:hAnsi="Times New Roman"/>
                <w:i/>
                <w:sz w:val="28"/>
                <w:szCs w:val="28"/>
                <w:lang w:val="ro-RO"/>
              </w:rPr>
              <w:t>(CNPF)</w:t>
            </w:r>
            <w:r w:rsidRPr="00E001A0">
              <w:rPr>
                <w:rFonts w:ascii="Times New Roman" w:hAnsi="Times New Roman"/>
                <w:sz w:val="28"/>
                <w:szCs w:val="28"/>
                <w:lang w:val="ro-RO"/>
              </w:rPr>
              <w:t>.</w:t>
            </w:r>
            <w:r w:rsidR="003E160F" w:rsidRPr="00E001A0">
              <w:rPr>
                <w:rFonts w:ascii="Times New Roman" w:hAnsi="Times New Roman"/>
                <w:sz w:val="28"/>
                <w:szCs w:val="28"/>
                <w:lang w:val="ro-RO"/>
              </w:rPr>
              <w:t xml:space="preserve"> </w:t>
            </w:r>
          </w:p>
        </w:tc>
      </w:tr>
      <w:tr w:rsidR="00332A5D" w:rsidRPr="00796D30" w:rsidTr="007D4C53">
        <w:tc>
          <w:tcPr>
            <w:tcW w:w="9776" w:type="dxa"/>
            <w:shd w:val="clear" w:color="auto" w:fill="BFBFBF"/>
          </w:tcPr>
          <w:p w:rsidR="00FC2EEA" w:rsidRPr="00E001A0" w:rsidRDefault="00E7754B" w:rsidP="00E7754B">
            <w:pPr>
              <w:spacing w:after="0" w:line="240" w:lineRule="auto"/>
              <w:rPr>
                <w:rFonts w:ascii="Times New Roman" w:hAnsi="Times New Roman"/>
                <w:b/>
                <w:sz w:val="28"/>
                <w:szCs w:val="28"/>
                <w:lang w:val="ro-RO"/>
              </w:rPr>
            </w:pPr>
            <w:r>
              <w:rPr>
                <w:rFonts w:ascii="Times New Roman" w:hAnsi="Times New Roman"/>
                <w:b/>
                <w:sz w:val="28"/>
                <w:szCs w:val="28"/>
                <w:lang w:val="ro-RO"/>
              </w:rPr>
              <w:t>2.</w:t>
            </w:r>
            <w:r w:rsidR="00807F46" w:rsidRPr="00E001A0">
              <w:rPr>
                <w:rFonts w:ascii="Times New Roman" w:hAnsi="Times New Roman"/>
                <w:b/>
                <w:sz w:val="28"/>
                <w:szCs w:val="28"/>
                <w:lang w:val="ro-RO"/>
              </w:rPr>
              <w:t>Condițiile</w:t>
            </w:r>
            <w:r w:rsidR="00332A5D" w:rsidRPr="00E001A0">
              <w:rPr>
                <w:rFonts w:ascii="Times New Roman" w:hAnsi="Times New Roman"/>
                <w:b/>
                <w:sz w:val="28"/>
                <w:szCs w:val="28"/>
                <w:lang w:val="ro-RO"/>
              </w:rPr>
              <w:t xml:space="preserve"> ce au impus elaborarea actului normativ </w:t>
            </w:r>
            <w:r w:rsidR="00807F46" w:rsidRPr="00E001A0">
              <w:rPr>
                <w:rFonts w:ascii="Times New Roman" w:hAnsi="Times New Roman"/>
                <w:b/>
                <w:sz w:val="28"/>
                <w:szCs w:val="28"/>
                <w:lang w:val="ro-RO"/>
              </w:rPr>
              <w:t>și</w:t>
            </w:r>
            <w:r w:rsidR="00332A5D" w:rsidRPr="00E001A0">
              <w:rPr>
                <w:rFonts w:ascii="Times New Roman" w:hAnsi="Times New Roman"/>
                <w:b/>
                <w:sz w:val="28"/>
                <w:szCs w:val="28"/>
                <w:lang w:val="ro-RO"/>
              </w:rPr>
              <w:t xml:space="preserve"> </w:t>
            </w:r>
            <w:r w:rsidR="00807F46" w:rsidRPr="00E001A0">
              <w:rPr>
                <w:rFonts w:ascii="Times New Roman" w:hAnsi="Times New Roman"/>
                <w:b/>
                <w:sz w:val="28"/>
                <w:szCs w:val="28"/>
                <w:lang w:val="ro-RO"/>
              </w:rPr>
              <w:t>finalitățile</w:t>
            </w:r>
            <w:r w:rsidR="00332A5D" w:rsidRPr="00E001A0">
              <w:rPr>
                <w:rFonts w:ascii="Times New Roman" w:hAnsi="Times New Roman"/>
                <w:b/>
                <w:sz w:val="28"/>
                <w:szCs w:val="28"/>
                <w:lang w:val="ro-RO"/>
              </w:rPr>
              <w:t xml:space="preserve"> urmărite</w:t>
            </w:r>
          </w:p>
        </w:tc>
      </w:tr>
      <w:tr w:rsidR="00FB00FF" w:rsidRPr="00796D30" w:rsidTr="007D4C53">
        <w:tc>
          <w:tcPr>
            <w:tcW w:w="9776" w:type="dxa"/>
            <w:shd w:val="clear" w:color="auto" w:fill="FFFFFF"/>
          </w:tcPr>
          <w:p w:rsidR="00315EA0" w:rsidRPr="00E001A0" w:rsidRDefault="00463E37" w:rsidP="00E001A0">
            <w:pPr>
              <w:pStyle w:val="ad"/>
              <w:jc w:val="both"/>
              <w:rPr>
                <w:rFonts w:ascii="Times New Roman" w:hAnsi="Times New Roman" w:cs="Times New Roman"/>
                <w:b/>
                <w:sz w:val="28"/>
                <w:szCs w:val="28"/>
                <w:lang w:val="ro-RO"/>
              </w:rPr>
            </w:pPr>
            <w:r w:rsidRPr="00E001A0">
              <w:rPr>
                <w:rFonts w:ascii="Times New Roman" w:hAnsi="Times New Roman" w:cs="Times New Roman"/>
                <w:sz w:val="28"/>
                <w:szCs w:val="28"/>
                <w:lang w:val="ro-RO"/>
              </w:rPr>
              <w:t>Proiectul de l</w:t>
            </w:r>
            <w:r w:rsidR="00315EA0" w:rsidRPr="00E001A0">
              <w:rPr>
                <w:rFonts w:ascii="Times New Roman" w:hAnsi="Times New Roman" w:cs="Times New Roman"/>
                <w:sz w:val="28"/>
                <w:szCs w:val="28"/>
                <w:lang w:val="ro-RO"/>
              </w:rPr>
              <w:t xml:space="preserve">ege este elaborat în vederea </w:t>
            </w:r>
            <w:r w:rsidR="009D0280" w:rsidRPr="00E001A0">
              <w:rPr>
                <w:rFonts w:ascii="Times New Roman" w:hAnsi="Times New Roman" w:cs="Times New Roman"/>
                <w:sz w:val="28"/>
                <w:szCs w:val="28"/>
                <w:lang w:val="ro-RO"/>
              </w:rPr>
              <w:t>conformării legislației naționale la prevederile</w:t>
            </w:r>
            <w:r w:rsidR="009D0280" w:rsidRPr="00E001A0">
              <w:rPr>
                <w:rFonts w:ascii="Times New Roman" w:hAnsi="Times New Roman" w:cs="Times New Roman"/>
                <w:b/>
                <w:sz w:val="28"/>
                <w:szCs w:val="28"/>
                <w:lang w:val="ro-RO"/>
              </w:rPr>
              <w:t xml:space="preserve"> Directivei UE nr.2017/828</w:t>
            </w:r>
            <w:r w:rsidR="00675E6D" w:rsidRPr="00E001A0">
              <w:rPr>
                <w:rFonts w:ascii="Times New Roman" w:hAnsi="Times New Roman" w:cs="Times New Roman"/>
                <w:b/>
                <w:sz w:val="28"/>
                <w:szCs w:val="28"/>
                <w:lang w:val="ro-RO"/>
              </w:rPr>
              <w:t xml:space="preserve"> </w:t>
            </w:r>
            <w:r w:rsidR="00675E6D" w:rsidRPr="00E001A0">
              <w:rPr>
                <w:rFonts w:ascii="Times New Roman" w:eastAsiaTheme="majorEastAsia" w:hAnsi="Times New Roman" w:cs="Times New Roman"/>
                <w:b/>
                <w:i/>
                <w:sz w:val="28"/>
                <w:szCs w:val="28"/>
                <w:lang w:val="ro-RO"/>
              </w:rPr>
              <w:t>”d</w:t>
            </w:r>
            <w:r w:rsidR="00675E6D" w:rsidRPr="00E001A0">
              <w:rPr>
                <w:rFonts w:ascii="Times New Roman" w:hAnsi="Times New Roman" w:cs="Times New Roman"/>
                <w:b/>
                <w:i/>
                <w:sz w:val="28"/>
                <w:szCs w:val="28"/>
                <w:lang w:val="ro-RO"/>
              </w:rPr>
              <w:t xml:space="preserve">e modificare  a </w:t>
            </w:r>
            <w:r w:rsidR="00675E6D" w:rsidRPr="00E001A0">
              <w:rPr>
                <w:rFonts w:ascii="Times New Roman" w:eastAsiaTheme="majorEastAsia" w:hAnsi="Times New Roman" w:cs="Times New Roman"/>
                <w:b/>
                <w:i/>
                <w:sz w:val="28"/>
                <w:szCs w:val="28"/>
                <w:lang w:val="ro-RO"/>
              </w:rPr>
              <w:t xml:space="preserve">Directivei </w:t>
            </w:r>
            <w:r w:rsidR="00675E6D" w:rsidRPr="00E001A0">
              <w:rPr>
                <w:rFonts w:ascii="Times New Roman" w:eastAsiaTheme="majorEastAsia" w:hAnsi="Times New Roman" w:cs="Times New Roman"/>
                <w:b/>
                <w:i/>
                <w:sz w:val="28"/>
                <w:szCs w:val="28"/>
                <w:lang w:val="ro-RO" w:bidi="ro-RO"/>
              </w:rPr>
              <w:t xml:space="preserve">2007/36/CE </w:t>
            </w:r>
            <w:r w:rsidR="00675E6D" w:rsidRPr="00E001A0">
              <w:rPr>
                <w:rFonts w:ascii="Times New Roman" w:eastAsiaTheme="majorEastAsia" w:hAnsi="Times New Roman" w:cs="Times New Roman"/>
                <w:b/>
                <w:i/>
                <w:sz w:val="28"/>
                <w:szCs w:val="28"/>
                <w:lang w:val="ro-RO"/>
              </w:rPr>
              <w:t>în ceea ce privește încurajarea implicării pe termen lung a acționarilor”</w:t>
            </w:r>
            <w:r w:rsidR="00675E6D" w:rsidRPr="00E001A0">
              <w:rPr>
                <w:rFonts w:ascii="Times New Roman" w:eastAsiaTheme="majorEastAsia" w:hAnsi="Times New Roman" w:cs="Times New Roman"/>
                <w:sz w:val="28"/>
                <w:szCs w:val="28"/>
                <w:lang w:val="ro-RO"/>
              </w:rPr>
              <w:t xml:space="preserve"> (</w:t>
            </w:r>
            <w:r w:rsidR="005B3486" w:rsidRPr="00E001A0">
              <w:rPr>
                <w:rFonts w:ascii="Times New Roman" w:eastAsiaTheme="majorEastAsia" w:hAnsi="Times New Roman" w:cs="Times New Roman"/>
                <w:i/>
                <w:sz w:val="28"/>
                <w:szCs w:val="28"/>
                <w:lang w:val="ro-RO"/>
              </w:rPr>
              <w:t xml:space="preserve">în continuare </w:t>
            </w:r>
            <w:r w:rsidR="00675E6D" w:rsidRPr="00E001A0">
              <w:rPr>
                <w:rFonts w:ascii="Times New Roman" w:eastAsiaTheme="majorEastAsia" w:hAnsi="Times New Roman" w:cs="Times New Roman"/>
                <w:i/>
                <w:sz w:val="28"/>
                <w:szCs w:val="28"/>
                <w:lang w:val="ro-RO"/>
              </w:rPr>
              <w:t>Directiva  UE nr.2017/828</w:t>
            </w:r>
            <w:r w:rsidR="00675E6D" w:rsidRPr="00E001A0">
              <w:rPr>
                <w:rFonts w:ascii="Times New Roman" w:eastAsiaTheme="majorEastAsia" w:hAnsi="Times New Roman" w:cs="Times New Roman"/>
                <w:sz w:val="28"/>
                <w:szCs w:val="28"/>
                <w:lang w:val="ro-RO"/>
              </w:rPr>
              <w:t>)</w:t>
            </w:r>
            <w:r w:rsidR="009D0280" w:rsidRPr="00E001A0">
              <w:rPr>
                <w:rFonts w:ascii="Times New Roman" w:hAnsi="Times New Roman" w:cs="Times New Roman"/>
                <w:b/>
                <w:sz w:val="28"/>
                <w:szCs w:val="28"/>
                <w:lang w:val="ro-RO"/>
              </w:rPr>
              <w:t>, care derivă din</w:t>
            </w:r>
            <w:r w:rsidR="00315EA0" w:rsidRPr="00E001A0">
              <w:rPr>
                <w:rFonts w:ascii="Times New Roman" w:hAnsi="Times New Roman" w:cs="Times New Roman"/>
                <w:b/>
                <w:sz w:val="28"/>
                <w:szCs w:val="28"/>
                <w:lang w:val="ro-RO"/>
              </w:rPr>
              <w:t>:</w:t>
            </w:r>
          </w:p>
          <w:p w:rsidR="003F48BD" w:rsidRPr="00E001A0" w:rsidRDefault="00315EA0" w:rsidP="00E001A0">
            <w:pPr>
              <w:pStyle w:val="a6"/>
              <w:jc w:val="both"/>
              <w:rPr>
                <w:rFonts w:ascii="Times New Roman" w:eastAsiaTheme="majorEastAsia" w:hAnsi="Times New Roman"/>
                <w:sz w:val="28"/>
                <w:szCs w:val="28"/>
                <w:lang w:val="ro-RO" w:eastAsia="en-GB"/>
              </w:rPr>
            </w:pPr>
            <w:r w:rsidRPr="00E001A0">
              <w:rPr>
                <w:rFonts w:ascii="Times New Roman" w:hAnsi="Times New Roman"/>
                <w:b/>
                <w:sz w:val="28"/>
                <w:szCs w:val="28"/>
                <w:lang w:val="ro-RO"/>
              </w:rPr>
              <w:t>1.</w:t>
            </w:r>
            <w:r w:rsidRPr="00E001A0">
              <w:rPr>
                <w:rFonts w:ascii="Times New Roman" w:eastAsiaTheme="majorEastAsia" w:hAnsi="Times New Roman"/>
                <w:sz w:val="28"/>
                <w:szCs w:val="28"/>
                <w:lang w:val="ro-RO" w:eastAsia="en-GB"/>
              </w:rPr>
              <w:t xml:space="preserve"> Articolul 30 și Anexa II la</w:t>
            </w:r>
            <w:r w:rsidRPr="00E001A0">
              <w:rPr>
                <w:rFonts w:ascii="Times New Roman" w:hAnsi="Times New Roman"/>
                <w:sz w:val="28"/>
                <w:szCs w:val="28"/>
                <w:lang w:val="ro-RO"/>
              </w:rPr>
              <w:t xml:space="preserve"> Acordul de Asociere</w:t>
            </w:r>
            <w:r w:rsidRPr="00E001A0">
              <w:rPr>
                <w:rFonts w:ascii="Times New Roman" w:eastAsiaTheme="majorEastAsia" w:hAnsi="Times New Roman"/>
                <w:sz w:val="28"/>
                <w:szCs w:val="28"/>
                <w:lang w:val="ro-RO" w:eastAsia="en-GB"/>
              </w:rPr>
              <w:t xml:space="preserve">  Republica Moldova-Uniunea Europeană, ratificat prin Legea nr.112/2014, </w:t>
            </w:r>
            <w:r w:rsidR="00C44B0E" w:rsidRPr="00E001A0">
              <w:rPr>
                <w:rFonts w:ascii="Times New Roman" w:eastAsiaTheme="majorEastAsia" w:hAnsi="Times New Roman"/>
                <w:sz w:val="28"/>
                <w:szCs w:val="28"/>
                <w:lang w:val="ro-RO" w:eastAsia="en-GB"/>
              </w:rPr>
              <w:t xml:space="preserve">potrivit cărora RM </w:t>
            </w:r>
            <w:r w:rsidR="007227CC" w:rsidRPr="00E001A0">
              <w:rPr>
                <w:rFonts w:ascii="Times New Roman" w:eastAsiaTheme="majorEastAsia" w:hAnsi="Times New Roman"/>
                <w:sz w:val="28"/>
                <w:szCs w:val="28"/>
                <w:lang w:val="ro-RO" w:eastAsia="en-GB"/>
              </w:rPr>
              <w:t>ș</w:t>
            </w:r>
            <w:r w:rsidR="00C44B0E" w:rsidRPr="00E001A0">
              <w:rPr>
                <w:rFonts w:ascii="Times New Roman" w:eastAsiaTheme="majorEastAsia" w:hAnsi="Times New Roman"/>
                <w:sz w:val="28"/>
                <w:szCs w:val="28"/>
                <w:lang w:val="ro-RO" w:eastAsia="en-GB"/>
              </w:rPr>
              <w:t xml:space="preserve">i-a asumat responsabilitatea de </w:t>
            </w:r>
            <w:r w:rsidR="00D970B5" w:rsidRPr="00E001A0">
              <w:rPr>
                <w:rFonts w:ascii="Times New Roman" w:eastAsiaTheme="majorEastAsia" w:hAnsi="Times New Roman"/>
                <w:sz w:val="28"/>
                <w:szCs w:val="28"/>
                <w:lang w:val="ro-RO" w:eastAsia="en-GB"/>
              </w:rPr>
              <w:t xml:space="preserve">armonizare a legislației naționale  </w:t>
            </w:r>
            <w:r w:rsidR="00C44B0E" w:rsidRPr="00E001A0">
              <w:rPr>
                <w:rFonts w:ascii="Times New Roman" w:eastAsiaTheme="majorEastAsia" w:hAnsi="Times New Roman"/>
                <w:sz w:val="28"/>
                <w:szCs w:val="28"/>
                <w:lang w:val="ro-RO" w:eastAsia="en-GB"/>
              </w:rPr>
              <w:t xml:space="preserve">la standardele </w:t>
            </w:r>
            <w:r w:rsidR="00463E37" w:rsidRPr="00E001A0">
              <w:rPr>
                <w:rFonts w:ascii="Times New Roman" w:eastAsiaTheme="majorEastAsia" w:hAnsi="Times New Roman"/>
                <w:sz w:val="28"/>
                <w:szCs w:val="28"/>
                <w:lang w:val="ro-RO" w:eastAsia="en-GB"/>
              </w:rPr>
              <w:t>euro comunitare</w:t>
            </w:r>
            <w:r w:rsidR="003F48BD" w:rsidRPr="00E001A0">
              <w:rPr>
                <w:rFonts w:ascii="Times New Roman" w:eastAsiaTheme="majorEastAsia" w:hAnsi="Times New Roman"/>
                <w:sz w:val="28"/>
                <w:szCs w:val="28"/>
                <w:lang w:val="ro-RO" w:eastAsia="en-GB"/>
              </w:rPr>
              <w:t>,</w:t>
            </w:r>
            <w:r w:rsidR="00C44B0E" w:rsidRPr="00E001A0">
              <w:rPr>
                <w:rFonts w:ascii="Times New Roman" w:eastAsiaTheme="majorEastAsia" w:hAnsi="Times New Roman"/>
                <w:sz w:val="28"/>
                <w:szCs w:val="28"/>
                <w:lang w:val="ro-RO" w:eastAsia="en-GB"/>
              </w:rPr>
              <w:t xml:space="preserve"> inclusiv de transpunere a </w:t>
            </w:r>
            <w:r w:rsidR="00C44B0E" w:rsidRPr="00E001A0">
              <w:rPr>
                <w:rFonts w:ascii="Times New Roman" w:hAnsi="Times New Roman"/>
                <w:b/>
                <w:sz w:val="28"/>
                <w:szCs w:val="28"/>
                <w:lang w:val="ro-RO"/>
              </w:rPr>
              <w:t xml:space="preserve"> Directivei 2007/36/</w:t>
            </w:r>
            <w:r w:rsidR="00C44B0E" w:rsidRPr="00E001A0">
              <w:rPr>
                <w:rFonts w:ascii="Times New Roman" w:hAnsi="Times New Roman"/>
                <w:sz w:val="28"/>
                <w:szCs w:val="28"/>
                <w:lang w:val="ro-RO"/>
              </w:rPr>
              <w:t>CE</w:t>
            </w:r>
            <w:r w:rsidR="00C44B0E" w:rsidRPr="00E001A0">
              <w:rPr>
                <w:rFonts w:ascii="Times New Roman" w:eastAsiaTheme="majorEastAsia" w:hAnsi="Times New Roman"/>
                <w:sz w:val="28"/>
                <w:szCs w:val="28"/>
                <w:lang w:val="ro-RO" w:bidi="ro-RO"/>
              </w:rPr>
              <w:t xml:space="preserve">  </w:t>
            </w:r>
            <w:r w:rsidR="00C44B0E" w:rsidRPr="00E001A0">
              <w:rPr>
                <w:rFonts w:ascii="Times New Roman" w:eastAsiaTheme="majorEastAsia" w:hAnsi="Times New Roman"/>
                <w:sz w:val="28"/>
                <w:szCs w:val="28"/>
                <w:lang w:val="ro-RO" w:eastAsia="en-GB"/>
              </w:rPr>
              <w:t>privind  exercitarea anumitor drepturi ale acționarilor în cadrul societăților comerciale cotate la bursă (Jurnalul oficial al Uniunii Europene L184 din 14 iulie 2007)</w:t>
            </w:r>
            <w:r w:rsidR="003F48BD" w:rsidRPr="00E001A0">
              <w:rPr>
                <w:rFonts w:ascii="Times New Roman" w:eastAsiaTheme="majorEastAsia" w:hAnsi="Times New Roman"/>
                <w:sz w:val="28"/>
                <w:szCs w:val="28"/>
                <w:lang w:val="ro-RO" w:eastAsia="en-GB"/>
              </w:rPr>
              <w:t>;</w:t>
            </w:r>
          </w:p>
          <w:p w:rsidR="00315EA0" w:rsidRPr="00E001A0" w:rsidRDefault="00315EA0" w:rsidP="00E001A0">
            <w:pPr>
              <w:pStyle w:val="ad"/>
              <w:jc w:val="both"/>
              <w:rPr>
                <w:rFonts w:ascii="Times New Roman" w:eastAsiaTheme="majorEastAsia" w:hAnsi="Times New Roman" w:cs="Times New Roman"/>
                <w:bCs/>
                <w:sz w:val="28"/>
                <w:szCs w:val="28"/>
                <w:lang w:val="ro-RO" w:bidi="ro-RO"/>
              </w:rPr>
            </w:pPr>
            <w:r w:rsidRPr="00E001A0">
              <w:rPr>
                <w:rFonts w:ascii="Times New Roman" w:eastAsia="Times New Roman" w:hAnsi="Times New Roman" w:cs="Times New Roman"/>
                <w:b/>
                <w:sz w:val="28"/>
                <w:szCs w:val="28"/>
                <w:lang w:val="ro-RO"/>
              </w:rPr>
              <w:t xml:space="preserve">2. </w:t>
            </w:r>
            <w:r w:rsidRPr="00E001A0">
              <w:rPr>
                <w:rFonts w:ascii="Times New Roman" w:eastAsia="Times New Roman" w:hAnsi="Times New Roman" w:cs="Times New Roman"/>
                <w:sz w:val="28"/>
                <w:szCs w:val="28"/>
                <w:lang w:val="ro-RO"/>
              </w:rPr>
              <w:t>Hotărârea</w:t>
            </w:r>
            <w:r w:rsidRPr="00E001A0">
              <w:rPr>
                <w:rFonts w:ascii="Times New Roman" w:eastAsia="Times New Roman" w:hAnsi="Times New Roman" w:cs="Times New Roman"/>
                <w:b/>
                <w:sz w:val="28"/>
                <w:szCs w:val="28"/>
                <w:lang w:val="ro-RO"/>
              </w:rPr>
              <w:t xml:space="preserve"> </w:t>
            </w:r>
            <w:r w:rsidRPr="00E001A0">
              <w:rPr>
                <w:rFonts w:ascii="Times New Roman" w:eastAsia="Times New Roman" w:hAnsi="Times New Roman" w:cs="Times New Roman"/>
                <w:sz w:val="28"/>
                <w:szCs w:val="28"/>
                <w:lang w:val="ro-RO"/>
              </w:rPr>
              <w:t>Guvernului</w:t>
            </w:r>
            <w:r w:rsidRPr="00E001A0">
              <w:rPr>
                <w:rFonts w:ascii="Times New Roman" w:eastAsia="Times New Roman" w:hAnsi="Times New Roman" w:cs="Times New Roman"/>
                <w:b/>
                <w:sz w:val="28"/>
                <w:szCs w:val="28"/>
                <w:lang w:val="ro-RO"/>
              </w:rPr>
              <w:t xml:space="preserve"> </w:t>
            </w:r>
            <w:r w:rsidRPr="00E001A0">
              <w:rPr>
                <w:rFonts w:ascii="Times New Roman" w:eastAsiaTheme="majorEastAsia" w:hAnsi="Times New Roman" w:cs="Times New Roman"/>
                <w:bCs/>
                <w:sz w:val="28"/>
                <w:szCs w:val="28"/>
                <w:lang w:val="ro-RO" w:bidi="ro-RO"/>
              </w:rPr>
              <w:t>pentru aprobarea Planului Național de acțiuni pentru implementarea Acordului de Asociere Republica Moldova – Uniunea Europeană, nr. 1472/2016,</w:t>
            </w:r>
          </w:p>
          <w:p w:rsidR="009D0280" w:rsidRPr="00E001A0" w:rsidRDefault="00315EA0" w:rsidP="00E001A0">
            <w:pPr>
              <w:pStyle w:val="ad"/>
              <w:jc w:val="both"/>
              <w:rPr>
                <w:rFonts w:ascii="Times New Roman" w:hAnsi="Times New Roman" w:cs="Times New Roman"/>
                <w:sz w:val="28"/>
                <w:szCs w:val="28"/>
                <w:lang w:val="ro-RO"/>
              </w:rPr>
            </w:pPr>
            <w:r w:rsidRPr="00E001A0">
              <w:rPr>
                <w:rFonts w:ascii="Times New Roman" w:eastAsiaTheme="majorEastAsia" w:hAnsi="Times New Roman" w:cs="Times New Roman"/>
                <w:b/>
                <w:bCs/>
                <w:sz w:val="28"/>
                <w:szCs w:val="28"/>
                <w:lang w:val="ro-RO" w:bidi="ro-RO"/>
              </w:rPr>
              <w:t xml:space="preserve">3. </w:t>
            </w:r>
            <w:r w:rsidR="00463E37" w:rsidRPr="00E001A0">
              <w:rPr>
                <w:rFonts w:ascii="Times New Roman" w:eastAsiaTheme="majorEastAsia" w:hAnsi="Times New Roman" w:cs="Times New Roman"/>
                <w:bCs/>
                <w:sz w:val="28"/>
                <w:szCs w:val="28"/>
                <w:lang w:val="ro-RO" w:bidi="ro-RO"/>
              </w:rPr>
              <w:t xml:space="preserve">Legea nr.129/2018 </w:t>
            </w:r>
            <w:r w:rsidRPr="00E001A0">
              <w:rPr>
                <w:rFonts w:ascii="Times New Roman" w:eastAsiaTheme="majorEastAsia" w:hAnsi="Times New Roman" w:cs="Times New Roman"/>
                <w:bCs/>
                <w:sz w:val="28"/>
                <w:szCs w:val="28"/>
                <w:lang w:val="ro-RO" w:bidi="ro-RO"/>
              </w:rPr>
              <w:t>pentru aprobarea Strategiei de dezvoltare a pieței financiare nebancare pe anii 2018-2022 și a planului de acțiun</w:t>
            </w:r>
            <w:r w:rsidR="00463E37" w:rsidRPr="00E001A0">
              <w:rPr>
                <w:rFonts w:ascii="Times New Roman" w:eastAsiaTheme="majorEastAsia" w:hAnsi="Times New Roman" w:cs="Times New Roman"/>
                <w:bCs/>
                <w:sz w:val="28"/>
                <w:szCs w:val="28"/>
                <w:lang w:val="ro-RO" w:bidi="ro-RO"/>
              </w:rPr>
              <w:t>i pentru implementarea acesteia</w:t>
            </w:r>
            <w:r w:rsidRPr="00E001A0">
              <w:rPr>
                <w:rFonts w:ascii="Times New Roman" w:eastAsiaTheme="majorEastAsia" w:hAnsi="Times New Roman" w:cs="Times New Roman"/>
                <w:bCs/>
                <w:sz w:val="28"/>
                <w:szCs w:val="28"/>
                <w:lang w:val="ro-RO" w:bidi="ro-RO"/>
              </w:rPr>
              <w:t>.</w:t>
            </w:r>
          </w:p>
          <w:p w:rsidR="001C790C" w:rsidRPr="00E001A0" w:rsidRDefault="009D0280" w:rsidP="00E001A0">
            <w:pPr>
              <w:pStyle w:val="ad"/>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 xml:space="preserve">Relevant este faptul că, prevederile Legii nr.1134/1997 privind societățile pe acțiuni, luând în calcul și modificările aprobate </w:t>
            </w:r>
            <w:r w:rsidR="002B5CD9" w:rsidRPr="00E001A0">
              <w:rPr>
                <w:rFonts w:ascii="Times New Roman" w:hAnsi="Times New Roman" w:cs="Times New Roman"/>
                <w:sz w:val="28"/>
                <w:szCs w:val="28"/>
                <w:lang w:val="ro-RO"/>
              </w:rPr>
              <w:t xml:space="preserve">prin </w:t>
            </w:r>
            <w:r w:rsidR="00810797" w:rsidRPr="00E001A0">
              <w:rPr>
                <w:rFonts w:ascii="Times New Roman" w:hAnsi="Times New Roman" w:cs="Times New Roman"/>
                <w:sz w:val="28"/>
                <w:szCs w:val="28"/>
                <w:lang w:val="ro-RO"/>
              </w:rPr>
              <w:t>Legea nr.</w:t>
            </w:r>
            <w:r w:rsidRPr="00E001A0">
              <w:rPr>
                <w:rFonts w:ascii="Times New Roman" w:hAnsi="Times New Roman" w:cs="Times New Roman"/>
                <w:sz w:val="28"/>
                <w:szCs w:val="28"/>
                <w:lang w:val="ro-RO"/>
              </w:rPr>
              <w:t xml:space="preserve">18/2020, </w:t>
            </w:r>
            <w:r w:rsidR="002B5CD9" w:rsidRPr="00E001A0">
              <w:rPr>
                <w:rFonts w:ascii="Times New Roman" w:hAnsi="Times New Roman" w:cs="Times New Roman"/>
                <w:sz w:val="28"/>
                <w:szCs w:val="28"/>
                <w:lang w:val="ro-RO"/>
              </w:rPr>
              <w:t xml:space="preserve">puse în aplicare  începând cu </w:t>
            </w:r>
            <w:r w:rsidRPr="00E001A0">
              <w:rPr>
                <w:rFonts w:ascii="Times New Roman" w:hAnsi="Times New Roman" w:cs="Times New Roman"/>
                <w:sz w:val="28"/>
                <w:szCs w:val="28"/>
                <w:lang w:val="ro-RO"/>
              </w:rPr>
              <w:t xml:space="preserve"> 01.01.2021</w:t>
            </w:r>
            <w:r w:rsidR="002B5CD9" w:rsidRPr="00E001A0">
              <w:rPr>
                <w:rFonts w:ascii="Times New Roman" w:hAnsi="Times New Roman" w:cs="Times New Roman"/>
                <w:sz w:val="28"/>
                <w:szCs w:val="28"/>
                <w:lang w:val="ro-RO"/>
              </w:rPr>
              <w:t>,</w:t>
            </w:r>
            <w:r w:rsidR="00675E6D" w:rsidRPr="00E001A0">
              <w:rPr>
                <w:rFonts w:ascii="Times New Roman" w:hAnsi="Times New Roman" w:cs="Times New Roman"/>
                <w:sz w:val="28"/>
                <w:szCs w:val="28"/>
                <w:lang w:val="ro-RO"/>
              </w:rPr>
              <w:t xml:space="preserve"> </w:t>
            </w:r>
            <w:r w:rsidRPr="00E001A0">
              <w:rPr>
                <w:rFonts w:ascii="Times New Roman" w:hAnsi="Times New Roman" w:cs="Times New Roman"/>
                <w:sz w:val="28"/>
                <w:szCs w:val="28"/>
                <w:lang w:val="ro-RO"/>
              </w:rPr>
              <w:t xml:space="preserve"> sunt compatibile cu prevederile Directivei </w:t>
            </w:r>
            <w:r w:rsidRPr="00E001A0">
              <w:rPr>
                <w:rFonts w:ascii="Times New Roman" w:hAnsi="Times New Roman" w:cs="Times New Roman"/>
                <w:i/>
                <w:sz w:val="28"/>
                <w:szCs w:val="28"/>
                <w:lang w:val="ro-RO"/>
              </w:rPr>
              <w:t>nr.2007/36/CE</w:t>
            </w:r>
            <w:r w:rsidR="005B4EAE" w:rsidRPr="00E001A0">
              <w:rPr>
                <w:rFonts w:ascii="Times New Roman" w:hAnsi="Times New Roman" w:cs="Times New Roman"/>
                <w:sz w:val="28"/>
                <w:szCs w:val="28"/>
                <w:lang w:val="ro-RO"/>
              </w:rPr>
              <w:t xml:space="preserve"> </w:t>
            </w:r>
            <w:r w:rsidR="003251DF" w:rsidRPr="00E001A0">
              <w:rPr>
                <w:rFonts w:ascii="Times New Roman" w:hAnsi="Times New Roman" w:cs="Times New Roman"/>
                <w:sz w:val="28"/>
                <w:szCs w:val="28"/>
                <w:lang w:val="ro-RO"/>
              </w:rPr>
              <w:t>în vigoare</w:t>
            </w:r>
            <w:r w:rsidR="005B4EAE" w:rsidRPr="00E001A0">
              <w:rPr>
                <w:rFonts w:ascii="Times New Roman" w:hAnsi="Times New Roman" w:cs="Times New Roman"/>
                <w:sz w:val="28"/>
                <w:szCs w:val="28"/>
                <w:lang w:val="ro-RO"/>
              </w:rPr>
              <w:t xml:space="preserve"> </w:t>
            </w:r>
            <w:r w:rsidR="002B5CD9" w:rsidRPr="00E001A0">
              <w:rPr>
                <w:rFonts w:ascii="Times New Roman" w:hAnsi="Times New Roman" w:cs="Times New Roman"/>
                <w:sz w:val="28"/>
                <w:szCs w:val="28"/>
                <w:lang w:val="ro-RO"/>
              </w:rPr>
              <w:t>la situația din 15 mai 2014</w:t>
            </w:r>
            <w:r w:rsidR="00AD0D41" w:rsidRPr="00E001A0">
              <w:rPr>
                <w:rFonts w:ascii="Times New Roman" w:hAnsi="Times New Roman" w:cs="Times New Roman"/>
                <w:sz w:val="28"/>
                <w:szCs w:val="28"/>
                <w:lang w:val="ro-RO"/>
              </w:rPr>
              <w:t xml:space="preserve"> (</w:t>
            </w:r>
            <w:r w:rsidR="00EB366E" w:rsidRPr="00E001A0">
              <w:rPr>
                <w:rFonts w:ascii="Times New Roman" w:hAnsi="Times New Roman" w:cs="Times New Roman"/>
                <w:sz w:val="28"/>
                <w:szCs w:val="28"/>
                <w:lang w:val="ro-RO"/>
              </w:rPr>
              <w:t xml:space="preserve">astfel precum aceasta a fost </w:t>
            </w:r>
            <w:r w:rsidR="005B4EAE" w:rsidRPr="00E001A0">
              <w:rPr>
                <w:rFonts w:ascii="Times New Roman" w:hAnsi="Times New Roman" w:cs="Times New Roman"/>
                <w:sz w:val="28"/>
                <w:szCs w:val="28"/>
                <w:lang w:val="ro-RO"/>
              </w:rPr>
              <w:t>modific</w:t>
            </w:r>
            <w:r w:rsidR="00EB366E" w:rsidRPr="00E001A0">
              <w:rPr>
                <w:rFonts w:ascii="Times New Roman" w:hAnsi="Times New Roman" w:cs="Times New Roman"/>
                <w:sz w:val="28"/>
                <w:szCs w:val="28"/>
                <w:lang w:val="ro-RO"/>
              </w:rPr>
              <w:t>ată</w:t>
            </w:r>
            <w:r w:rsidR="005B4EAE" w:rsidRPr="00E001A0">
              <w:rPr>
                <w:rFonts w:ascii="Times New Roman" w:hAnsi="Times New Roman" w:cs="Times New Roman"/>
                <w:sz w:val="28"/>
                <w:szCs w:val="28"/>
                <w:lang w:val="ro-RO"/>
              </w:rPr>
              <w:t xml:space="preserve"> p</w:t>
            </w:r>
            <w:r w:rsidR="002B5CD9" w:rsidRPr="00E001A0">
              <w:rPr>
                <w:rFonts w:ascii="Times New Roman" w:hAnsi="Times New Roman" w:cs="Times New Roman"/>
                <w:sz w:val="28"/>
                <w:szCs w:val="28"/>
                <w:lang w:val="ro-RO"/>
              </w:rPr>
              <w:t>rin Directiva 2014/59/UE</w:t>
            </w:r>
            <w:r w:rsidR="00AD0D41" w:rsidRPr="00E001A0">
              <w:rPr>
                <w:rFonts w:ascii="Times New Roman" w:hAnsi="Times New Roman" w:cs="Times New Roman"/>
                <w:sz w:val="28"/>
                <w:szCs w:val="28"/>
                <w:lang w:val="ro-RO"/>
              </w:rPr>
              <w:t>)</w:t>
            </w:r>
            <w:r w:rsidR="00EB366E" w:rsidRPr="00E001A0">
              <w:rPr>
                <w:rFonts w:ascii="Times New Roman" w:hAnsi="Times New Roman" w:cs="Times New Roman"/>
                <w:sz w:val="28"/>
                <w:szCs w:val="28"/>
                <w:lang w:val="ro-RO"/>
              </w:rPr>
              <w:t xml:space="preserve">, rămânând a fi transpuse </w:t>
            </w:r>
            <w:r w:rsidR="00AC75FD" w:rsidRPr="00E001A0">
              <w:rPr>
                <w:rFonts w:ascii="Times New Roman" w:hAnsi="Times New Roman" w:cs="Times New Roman"/>
                <w:sz w:val="28"/>
                <w:szCs w:val="28"/>
                <w:lang w:val="ro-RO"/>
              </w:rPr>
              <w:t xml:space="preserve">în legislația națională </w:t>
            </w:r>
            <w:r w:rsidR="00EB366E" w:rsidRPr="00E001A0">
              <w:rPr>
                <w:rFonts w:ascii="Times New Roman" w:hAnsi="Times New Roman" w:cs="Times New Roman"/>
                <w:sz w:val="28"/>
                <w:szCs w:val="28"/>
                <w:lang w:val="ro-RO"/>
              </w:rPr>
              <w:t xml:space="preserve">doar </w:t>
            </w:r>
            <w:r w:rsidR="00AC75FD" w:rsidRPr="00E001A0">
              <w:rPr>
                <w:rFonts w:ascii="Times New Roman" w:hAnsi="Times New Roman" w:cs="Times New Roman"/>
                <w:sz w:val="28"/>
                <w:szCs w:val="28"/>
                <w:lang w:val="ro-RO"/>
              </w:rPr>
              <w:t>a ultimelor</w:t>
            </w:r>
            <w:r w:rsidR="00EB366E" w:rsidRPr="00E001A0">
              <w:rPr>
                <w:rFonts w:ascii="Times New Roman" w:hAnsi="Times New Roman" w:cs="Times New Roman"/>
                <w:sz w:val="28"/>
                <w:szCs w:val="28"/>
                <w:lang w:val="ro-RO"/>
              </w:rPr>
              <w:t xml:space="preserve"> modificări operate prin </w:t>
            </w:r>
            <w:r w:rsidR="00EB366E" w:rsidRPr="00E001A0">
              <w:rPr>
                <w:rFonts w:ascii="Times New Roman" w:eastAsiaTheme="majorEastAsia" w:hAnsi="Times New Roman" w:cs="Times New Roman"/>
                <w:i/>
                <w:sz w:val="28"/>
                <w:szCs w:val="28"/>
                <w:lang w:val="ro-RO"/>
              </w:rPr>
              <w:t xml:space="preserve"> Directiva  UE nr.2017/828.</w:t>
            </w:r>
            <w:r w:rsidR="00EB366E" w:rsidRPr="00E001A0">
              <w:rPr>
                <w:rFonts w:ascii="Times New Roman" w:hAnsi="Times New Roman" w:cs="Times New Roman"/>
                <w:sz w:val="28"/>
                <w:szCs w:val="28"/>
                <w:lang w:val="ro-RO"/>
              </w:rPr>
              <w:t xml:space="preserve"> </w:t>
            </w:r>
            <w:r w:rsidR="002B5CD9" w:rsidRPr="00E001A0">
              <w:rPr>
                <w:rFonts w:ascii="Times New Roman" w:hAnsi="Times New Roman" w:cs="Times New Roman"/>
                <w:sz w:val="28"/>
                <w:szCs w:val="28"/>
                <w:lang w:val="ro-RO"/>
              </w:rPr>
              <w:t xml:space="preserve">  </w:t>
            </w:r>
          </w:p>
          <w:p w:rsidR="002D2559" w:rsidRPr="00E001A0" w:rsidRDefault="001C790C" w:rsidP="00E001A0">
            <w:pPr>
              <w:pStyle w:val="ad"/>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Respectiv, în  contextul celor expuse, s-a efectuat analiza compatibilității legislației RM cu prevederile Directivei UE nr.2017/828</w:t>
            </w:r>
            <w:r w:rsidR="00B016F1" w:rsidRPr="00E001A0">
              <w:rPr>
                <w:rFonts w:ascii="Times New Roman" w:hAnsi="Times New Roman" w:cs="Times New Roman"/>
                <w:sz w:val="28"/>
                <w:szCs w:val="28"/>
                <w:lang w:val="ro-RO"/>
              </w:rPr>
              <w:t xml:space="preserve">, fiind </w:t>
            </w:r>
            <w:r w:rsidRPr="00E001A0">
              <w:rPr>
                <w:rFonts w:ascii="Times New Roman" w:hAnsi="Times New Roman" w:cs="Times New Roman"/>
                <w:sz w:val="28"/>
                <w:szCs w:val="28"/>
                <w:lang w:val="ro-RO"/>
              </w:rPr>
              <w:t xml:space="preserve"> elabor</w:t>
            </w:r>
            <w:r w:rsidR="00B016F1" w:rsidRPr="00E001A0">
              <w:rPr>
                <w:rFonts w:ascii="Times New Roman" w:hAnsi="Times New Roman" w:cs="Times New Roman"/>
                <w:sz w:val="28"/>
                <w:szCs w:val="28"/>
                <w:lang w:val="ro-RO"/>
              </w:rPr>
              <w:t>at</w:t>
            </w:r>
            <w:r w:rsidRPr="00E001A0">
              <w:rPr>
                <w:rFonts w:ascii="Times New Roman" w:hAnsi="Times New Roman" w:cs="Times New Roman"/>
                <w:sz w:val="28"/>
                <w:szCs w:val="28"/>
                <w:lang w:val="ro-RO"/>
              </w:rPr>
              <w:t xml:space="preserve"> Proiectul de lege, care</w:t>
            </w:r>
            <w:r w:rsidR="00B016F1" w:rsidRPr="00E001A0">
              <w:rPr>
                <w:rFonts w:ascii="Times New Roman" w:hAnsi="Times New Roman" w:cs="Times New Roman"/>
                <w:sz w:val="28"/>
                <w:szCs w:val="28"/>
                <w:lang w:val="ro-RO"/>
              </w:rPr>
              <w:t>, în scop de conformare,</w:t>
            </w:r>
            <w:r w:rsidRPr="00E001A0">
              <w:rPr>
                <w:rFonts w:ascii="Times New Roman" w:hAnsi="Times New Roman" w:cs="Times New Roman"/>
                <w:sz w:val="28"/>
                <w:szCs w:val="28"/>
                <w:lang w:val="ro-RO"/>
              </w:rPr>
              <w:t xml:space="preserve"> cuprinde modificarea Legii nr.1134/1997 privind societățile pe acțiuni și a  Legii </w:t>
            </w:r>
            <w:r w:rsidR="00784928" w:rsidRPr="00E001A0">
              <w:rPr>
                <w:rFonts w:ascii="Times New Roman" w:hAnsi="Times New Roman" w:cs="Times New Roman"/>
                <w:sz w:val="28"/>
                <w:szCs w:val="28"/>
                <w:lang w:val="ro-RO"/>
              </w:rPr>
              <w:t>nr.171/2012</w:t>
            </w:r>
            <w:r w:rsidR="007227CC" w:rsidRPr="00E001A0">
              <w:rPr>
                <w:rFonts w:ascii="Times New Roman" w:hAnsi="Times New Roman" w:cs="Times New Roman"/>
                <w:sz w:val="28"/>
                <w:szCs w:val="28"/>
                <w:lang w:val="ro-RO"/>
              </w:rPr>
              <w:t xml:space="preserve"> privind piața de capital</w:t>
            </w:r>
            <w:r w:rsidR="00E732F2" w:rsidRPr="00E001A0">
              <w:rPr>
                <w:rFonts w:ascii="Times New Roman" w:hAnsi="Times New Roman" w:cs="Times New Roman"/>
                <w:sz w:val="28"/>
                <w:szCs w:val="28"/>
                <w:lang w:val="ro-RO"/>
              </w:rPr>
              <w:t xml:space="preserve">, </w:t>
            </w:r>
            <w:r w:rsidR="00E732F2" w:rsidRPr="00E001A0">
              <w:rPr>
                <w:rFonts w:ascii="Times New Roman" w:hAnsi="Times New Roman" w:cs="Times New Roman"/>
                <w:b/>
                <w:sz w:val="28"/>
                <w:szCs w:val="28"/>
                <w:lang w:val="ro-RO"/>
              </w:rPr>
              <w:t xml:space="preserve">acestea fiind aplicabile </w:t>
            </w:r>
            <w:r w:rsidR="00B016F1" w:rsidRPr="00E001A0">
              <w:rPr>
                <w:rFonts w:ascii="Times New Roman" w:hAnsi="Times New Roman" w:cs="Times New Roman"/>
                <w:b/>
                <w:sz w:val="28"/>
                <w:szCs w:val="28"/>
                <w:lang w:val="ro-RO"/>
              </w:rPr>
              <w:t xml:space="preserve">doar </w:t>
            </w:r>
            <w:r w:rsidR="00E732F2" w:rsidRPr="00E001A0">
              <w:rPr>
                <w:rFonts w:ascii="Times New Roman" w:hAnsi="Times New Roman" w:cs="Times New Roman"/>
                <w:b/>
                <w:sz w:val="28"/>
                <w:szCs w:val="28"/>
                <w:lang w:val="ro-RO"/>
              </w:rPr>
              <w:t>entităților de interes public</w:t>
            </w:r>
            <w:r w:rsidR="00B016F1" w:rsidRPr="00E001A0">
              <w:rPr>
                <w:rFonts w:ascii="Times New Roman" w:hAnsi="Times New Roman" w:cs="Times New Roman"/>
                <w:b/>
                <w:sz w:val="28"/>
                <w:szCs w:val="28"/>
                <w:lang w:val="ro-RO"/>
              </w:rPr>
              <w:t>.</w:t>
            </w:r>
            <w:r w:rsidRPr="00E001A0">
              <w:rPr>
                <w:rFonts w:ascii="Times New Roman" w:hAnsi="Times New Roman" w:cs="Times New Roman"/>
                <w:b/>
                <w:sz w:val="28"/>
                <w:szCs w:val="28"/>
                <w:lang w:val="ro-RO"/>
              </w:rPr>
              <w:t xml:space="preserve"> </w:t>
            </w:r>
            <w:r w:rsidR="00B016F1" w:rsidRPr="00E001A0">
              <w:rPr>
                <w:rFonts w:ascii="Times New Roman" w:hAnsi="Times New Roman" w:cs="Times New Roman"/>
                <w:sz w:val="28"/>
                <w:szCs w:val="28"/>
                <w:lang w:val="ro-RO"/>
              </w:rPr>
              <w:t xml:space="preserve">De asemenea, armonizarea  </w:t>
            </w:r>
            <w:r w:rsidR="006304CF" w:rsidRPr="00E001A0">
              <w:rPr>
                <w:rFonts w:ascii="Times New Roman" w:hAnsi="Times New Roman" w:cs="Times New Roman"/>
                <w:sz w:val="28"/>
                <w:szCs w:val="28"/>
                <w:lang w:val="ro-RO"/>
              </w:rPr>
              <w:t>completă, după punerea î</w:t>
            </w:r>
            <w:r w:rsidR="00B016F1" w:rsidRPr="00E001A0">
              <w:rPr>
                <w:rFonts w:ascii="Times New Roman" w:hAnsi="Times New Roman" w:cs="Times New Roman"/>
                <w:sz w:val="28"/>
                <w:szCs w:val="28"/>
                <w:lang w:val="ro-RO"/>
              </w:rPr>
              <w:t xml:space="preserve">n aplicare a </w:t>
            </w:r>
            <w:r w:rsidR="006304CF" w:rsidRPr="00E001A0">
              <w:rPr>
                <w:rFonts w:ascii="Times New Roman" w:hAnsi="Times New Roman" w:cs="Times New Roman"/>
                <w:sz w:val="28"/>
                <w:szCs w:val="28"/>
                <w:lang w:val="ro-RO"/>
              </w:rPr>
              <w:t xml:space="preserve">Proiectului de </w:t>
            </w:r>
            <w:r w:rsidR="00734872">
              <w:rPr>
                <w:rFonts w:ascii="Times New Roman" w:hAnsi="Times New Roman" w:cs="Times New Roman"/>
                <w:sz w:val="28"/>
                <w:szCs w:val="28"/>
                <w:lang w:val="ro-RO"/>
              </w:rPr>
              <w:t>l</w:t>
            </w:r>
            <w:r w:rsidR="006304CF" w:rsidRPr="00E001A0">
              <w:rPr>
                <w:rFonts w:ascii="Times New Roman" w:hAnsi="Times New Roman" w:cs="Times New Roman"/>
                <w:sz w:val="28"/>
                <w:szCs w:val="28"/>
                <w:lang w:val="ro-RO"/>
              </w:rPr>
              <w:t>ege,</w:t>
            </w:r>
            <w:r w:rsidR="00B016F1" w:rsidRPr="00E001A0">
              <w:rPr>
                <w:rFonts w:ascii="Times New Roman" w:hAnsi="Times New Roman" w:cs="Times New Roman"/>
                <w:sz w:val="28"/>
                <w:szCs w:val="28"/>
                <w:lang w:val="ro-RO"/>
              </w:rPr>
              <w:t xml:space="preserve"> va necesita operarea </w:t>
            </w:r>
            <w:r w:rsidRPr="00E001A0">
              <w:rPr>
                <w:rFonts w:ascii="Times New Roman" w:hAnsi="Times New Roman" w:cs="Times New Roman"/>
                <w:sz w:val="28"/>
                <w:szCs w:val="28"/>
                <w:lang w:val="ro-RO"/>
              </w:rPr>
              <w:t xml:space="preserve">modificărilor în alte acte normative  subordonate acestor legi, în special </w:t>
            </w:r>
            <w:r w:rsidR="006304CF" w:rsidRPr="00E001A0">
              <w:rPr>
                <w:rFonts w:ascii="Times New Roman" w:hAnsi="Times New Roman" w:cs="Times New Roman"/>
                <w:sz w:val="28"/>
                <w:szCs w:val="28"/>
                <w:lang w:val="ro-RO"/>
              </w:rPr>
              <w:t xml:space="preserve">a </w:t>
            </w:r>
            <w:r w:rsidR="00784928" w:rsidRPr="00E001A0">
              <w:rPr>
                <w:rFonts w:ascii="Times New Roman" w:hAnsi="Times New Roman" w:cs="Times New Roman"/>
                <w:sz w:val="28"/>
                <w:szCs w:val="28"/>
                <w:lang w:val="ro-RO"/>
              </w:rPr>
              <w:t>Codul</w:t>
            </w:r>
            <w:r w:rsidR="00675E6D" w:rsidRPr="00E001A0">
              <w:rPr>
                <w:rFonts w:ascii="Times New Roman" w:hAnsi="Times New Roman" w:cs="Times New Roman"/>
                <w:sz w:val="28"/>
                <w:szCs w:val="28"/>
                <w:lang w:val="ro-RO"/>
              </w:rPr>
              <w:t>ui</w:t>
            </w:r>
            <w:r w:rsidR="00784928" w:rsidRPr="00E001A0">
              <w:rPr>
                <w:rFonts w:ascii="Times New Roman" w:hAnsi="Times New Roman" w:cs="Times New Roman"/>
                <w:sz w:val="28"/>
                <w:szCs w:val="28"/>
                <w:lang w:val="ro-RO"/>
              </w:rPr>
              <w:t xml:space="preserve"> de guvernanță corporativă  și </w:t>
            </w:r>
            <w:r w:rsidR="00675E6D" w:rsidRPr="00E001A0">
              <w:rPr>
                <w:rFonts w:ascii="Times New Roman" w:hAnsi="Times New Roman" w:cs="Times New Roman"/>
                <w:sz w:val="28"/>
                <w:szCs w:val="28"/>
                <w:lang w:val="ro-RO"/>
              </w:rPr>
              <w:t xml:space="preserve">a </w:t>
            </w:r>
            <w:r w:rsidRPr="00E001A0">
              <w:rPr>
                <w:rFonts w:ascii="Times New Roman" w:hAnsi="Times New Roman" w:cs="Times New Roman"/>
                <w:sz w:val="28"/>
                <w:szCs w:val="28"/>
                <w:lang w:val="ro-RO"/>
              </w:rPr>
              <w:t>Regulamentul</w:t>
            </w:r>
            <w:r w:rsidR="00675E6D" w:rsidRPr="00E001A0">
              <w:rPr>
                <w:rFonts w:ascii="Times New Roman" w:hAnsi="Times New Roman" w:cs="Times New Roman"/>
                <w:sz w:val="28"/>
                <w:szCs w:val="28"/>
                <w:lang w:val="ro-RO"/>
              </w:rPr>
              <w:t>ui</w:t>
            </w:r>
            <w:r w:rsidRPr="00E001A0">
              <w:rPr>
                <w:rFonts w:ascii="Times New Roman" w:hAnsi="Times New Roman" w:cs="Times New Roman"/>
                <w:sz w:val="28"/>
                <w:szCs w:val="28"/>
                <w:lang w:val="ro-RO"/>
              </w:rPr>
              <w:t xml:space="preserve"> </w:t>
            </w:r>
            <w:r w:rsidR="00132E03" w:rsidRPr="00E001A0">
              <w:rPr>
                <w:rFonts w:ascii="Times New Roman" w:hAnsi="Times New Roman" w:cs="Times New Roman"/>
                <w:sz w:val="28"/>
                <w:szCs w:val="28"/>
                <w:lang w:val="ro-RO"/>
              </w:rPr>
              <w:t xml:space="preserve">cu privire la </w:t>
            </w:r>
            <w:r w:rsidRPr="00E001A0">
              <w:rPr>
                <w:rFonts w:ascii="Times New Roman" w:hAnsi="Times New Roman" w:cs="Times New Roman"/>
                <w:sz w:val="28"/>
                <w:szCs w:val="28"/>
                <w:lang w:val="ro-RO"/>
              </w:rPr>
              <w:t>dezvăluirea informați</w:t>
            </w:r>
            <w:r w:rsidR="00132E03" w:rsidRPr="00E001A0">
              <w:rPr>
                <w:rFonts w:ascii="Times New Roman" w:hAnsi="Times New Roman" w:cs="Times New Roman"/>
                <w:sz w:val="28"/>
                <w:szCs w:val="28"/>
                <w:lang w:val="ro-RO"/>
              </w:rPr>
              <w:t xml:space="preserve">ei de către emitenții de valori mobiliare </w:t>
            </w:r>
            <w:r w:rsidRPr="00E001A0">
              <w:rPr>
                <w:rFonts w:ascii="Times New Roman" w:hAnsi="Times New Roman" w:cs="Times New Roman"/>
                <w:sz w:val="28"/>
                <w:szCs w:val="28"/>
                <w:lang w:val="ro-RO"/>
              </w:rPr>
              <w:t xml:space="preserve">(Hotărârea CNPF nr.7/1 din </w:t>
            </w:r>
            <w:r w:rsidR="00132E03" w:rsidRPr="00E001A0">
              <w:rPr>
                <w:rFonts w:ascii="Times New Roman" w:hAnsi="Times New Roman" w:cs="Times New Roman"/>
                <w:sz w:val="28"/>
                <w:szCs w:val="28"/>
                <w:lang w:val="ro-RO"/>
              </w:rPr>
              <w:t>18.02.2019)</w:t>
            </w:r>
            <w:r w:rsidRPr="00E001A0">
              <w:rPr>
                <w:rFonts w:ascii="Times New Roman" w:hAnsi="Times New Roman" w:cs="Times New Roman"/>
                <w:sz w:val="28"/>
                <w:szCs w:val="28"/>
                <w:lang w:val="ro-RO"/>
              </w:rPr>
              <w:t xml:space="preserve">. </w:t>
            </w:r>
          </w:p>
          <w:p w:rsidR="00463E37" w:rsidRPr="00E001A0" w:rsidRDefault="00463E37" w:rsidP="00150D06">
            <w:pPr>
              <w:pStyle w:val="ad"/>
              <w:jc w:val="both"/>
              <w:rPr>
                <w:rFonts w:ascii="Times New Roman" w:eastAsia="Times New Roman" w:hAnsi="Times New Roman" w:cs="Times New Roman"/>
                <w:sz w:val="28"/>
                <w:szCs w:val="28"/>
                <w:lang w:val="ro-RO"/>
              </w:rPr>
            </w:pPr>
            <w:r w:rsidRPr="00E001A0">
              <w:rPr>
                <w:rFonts w:ascii="Times New Roman" w:eastAsia="Times New Roman" w:hAnsi="Times New Roman" w:cs="Times New Roman"/>
                <w:sz w:val="28"/>
                <w:szCs w:val="28"/>
                <w:lang w:val="ro-RO"/>
              </w:rPr>
              <w:t>Adițional, Proiectul de lege este completat cu o serie de amendamente la Legea nr.1134/1997</w:t>
            </w:r>
            <w:r w:rsidR="00603F62" w:rsidRPr="00E001A0">
              <w:rPr>
                <w:rFonts w:ascii="Times New Roman" w:eastAsia="Times New Roman" w:hAnsi="Times New Roman" w:cs="Times New Roman"/>
                <w:sz w:val="28"/>
                <w:szCs w:val="28"/>
                <w:lang w:val="ro-RO"/>
              </w:rPr>
              <w:t xml:space="preserve"> și altă legislație conexă</w:t>
            </w:r>
            <w:r w:rsidRPr="00E001A0">
              <w:rPr>
                <w:rFonts w:ascii="Times New Roman" w:eastAsia="Times New Roman" w:hAnsi="Times New Roman" w:cs="Times New Roman"/>
                <w:sz w:val="28"/>
                <w:szCs w:val="28"/>
                <w:lang w:val="ro-RO"/>
              </w:rPr>
              <w:t xml:space="preserve">, care au ca </w:t>
            </w:r>
            <w:r w:rsidRPr="00E001A0">
              <w:rPr>
                <w:rFonts w:ascii="Times New Roman" w:eastAsia="Times New Roman" w:hAnsi="Times New Roman" w:cs="Times New Roman"/>
                <w:color w:val="000000" w:themeColor="text1"/>
                <w:sz w:val="28"/>
                <w:szCs w:val="28"/>
                <w:lang w:val="ro-RO"/>
              </w:rPr>
              <w:t xml:space="preserve">scop eliminarea carențelor, ambiguităților și lacunelor legislative apărute </w:t>
            </w:r>
            <w:r w:rsidR="00603F62" w:rsidRPr="00E001A0">
              <w:rPr>
                <w:rFonts w:ascii="Times New Roman" w:eastAsia="Times New Roman" w:hAnsi="Times New Roman" w:cs="Times New Roman"/>
                <w:color w:val="000000" w:themeColor="text1"/>
                <w:sz w:val="28"/>
                <w:szCs w:val="28"/>
                <w:lang w:val="ro-RO"/>
              </w:rPr>
              <w:t>la aplicarea</w:t>
            </w:r>
            <w:r w:rsidRPr="00E001A0">
              <w:rPr>
                <w:rFonts w:ascii="Times New Roman" w:eastAsia="Times New Roman" w:hAnsi="Times New Roman" w:cs="Times New Roman"/>
                <w:color w:val="000000" w:themeColor="text1"/>
                <w:sz w:val="28"/>
                <w:szCs w:val="28"/>
                <w:lang w:val="ro-RO"/>
              </w:rPr>
              <w:t xml:space="preserve"> în practică</w:t>
            </w:r>
            <w:r w:rsidR="00603F62" w:rsidRPr="00E001A0">
              <w:rPr>
                <w:rFonts w:ascii="Times New Roman" w:eastAsia="Times New Roman" w:hAnsi="Times New Roman" w:cs="Times New Roman"/>
                <w:color w:val="000000" w:themeColor="text1"/>
                <w:sz w:val="28"/>
                <w:szCs w:val="28"/>
                <w:lang w:val="ro-RO"/>
              </w:rPr>
              <w:t xml:space="preserve"> Legii nr.1134/1997</w:t>
            </w:r>
            <w:r w:rsidRPr="00E001A0">
              <w:rPr>
                <w:rFonts w:ascii="Times New Roman" w:eastAsia="Times New Roman" w:hAnsi="Times New Roman" w:cs="Times New Roman"/>
                <w:color w:val="000000" w:themeColor="text1"/>
                <w:sz w:val="28"/>
                <w:szCs w:val="28"/>
                <w:lang w:val="ro-RO"/>
              </w:rPr>
              <w:t xml:space="preserve">.  </w:t>
            </w:r>
            <w:r w:rsidRPr="00E001A0">
              <w:rPr>
                <w:rFonts w:ascii="Times New Roman" w:eastAsia="Times New Roman" w:hAnsi="Times New Roman" w:cs="Times New Roman"/>
                <w:sz w:val="28"/>
                <w:szCs w:val="28"/>
                <w:lang w:val="ro-RO"/>
              </w:rPr>
              <w:t xml:space="preserve"> </w:t>
            </w:r>
          </w:p>
        </w:tc>
      </w:tr>
      <w:tr w:rsidR="00EC4C76" w:rsidRPr="00796D30" w:rsidTr="007D4C53">
        <w:tc>
          <w:tcPr>
            <w:tcW w:w="9776" w:type="dxa"/>
            <w:shd w:val="clear" w:color="auto" w:fill="BFBFBF"/>
          </w:tcPr>
          <w:p w:rsidR="00EC4C76" w:rsidRPr="00EC4C76" w:rsidRDefault="00E7754B" w:rsidP="00E7754B">
            <w:pPr>
              <w:spacing w:after="0" w:line="240" w:lineRule="auto"/>
              <w:rPr>
                <w:rFonts w:ascii="Times New Roman" w:hAnsi="Times New Roman"/>
                <w:b/>
                <w:sz w:val="28"/>
                <w:szCs w:val="28"/>
                <w:lang w:val="en-US"/>
              </w:rPr>
            </w:pPr>
            <w:r>
              <w:rPr>
                <w:rFonts w:ascii="Times New Roman" w:hAnsi="Times New Roman"/>
                <w:b/>
                <w:sz w:val="28"/>
                <w:szCs w:val="28"/>
                <w:lang w:val="en-US"/>
              </w:rPr>
              <w:t>3.</w:t>
            </w:r>
            <w:r w:rsidR="00EC4C76" w:rsidRPr="00EC4C76">
              <w:rPr>
                <w:rFonts w:ascii="Times New Roman" w:hAnsi="Times New Roman"/>
                <w:b/>
                <w:sz w:val="28"/>
                <w:szCs w:val="28"/>
                <w:lang w:val="en-US"/>
              </w:rPr>
              <w:t>Descrierea gradului de compatibilitate pentru proiectele care au ca scop armonizarea legislaţiei</w:t>
            </w:r>
          </w:p>
        </w:tc>
      </w:tr>
      <w:tr w:rsidR="00EC4C76" w:rsidRPr="00796D30" w:rsidTr="00EC4C76">
        <w:tc>
          <w:tcPr>
            <w:tcW w:w="9776" w:type="dxa"/>
            <w:shd w:val="clear" w:color="auto" w:fill="auto"/>
          </w:tcPr>
          <w:p w:rsidR="00EC4C76" w:rsidRPr="00E001A0" w:rsidRDefault="00EC4C76" w:rsidP="00EC4C76">
            <w:pPr>
              <w:pStyle w:val="aa"/>
              <w:shd w:val="clear" w:color="auto" w:fill="FFFFFF"/>
              <w:ind w:firstLine="0"/>
              <w:rPr>
                <w:sz w:val="28"/>
                <w:szCs w:val="28"/>
                <w:lang w:val="ro-RO"/>
              </w:rPr>
            </w:pPr>
            <w:r w:rsidRPr="00E001A0">
              <w:rPr>
                <w:sz w:val="28"/>
                <w:szCs w:val="28"/>
                <w:lang w:val="ro-RO"/>
              </w:rPr>
              <w:t xml:space="preserve">Proiectul de lege are drept scop </w:t>
            </w:r>
            <w:r>
              <w:rPr>
                <w:sz w:val="28"/>
                <w:szCs w:val="28"/>
                <w:lang w:val="ro-RO"/>
              </w:rPr>
              <w:t>inclusiv armonizarea</w:t>
            </w:r>
            <w:r w:rsidRPr="00E001A0">
              <w:rPr>
                <w:sz w:val="28"/>
                <w:szCs w:val="28"/>
                <w:lang w:val="ro-RO"/>
              </w:rPr>
              <w:t xml:space="preserve"> legislației sectoriale aplicate pe piața de capital  cu prevederile Directivei UE nr.2017/828, prin operarea modifică</w:t>
            </w:r>
            <w:r w:rsidR="003E1438">
              <w:rPr>
                <w:sz w:val="28"/>
                <w:szCs w:val="28"/>
                <w:lang w:val="ro-RO"/>
              </w:rPr>
              <w:t>rilor în  Legea nr.1134/1997 și</w:t>
            </w:r>
            <w:r w:rsidRPr="00E001A0">
              <w:rPr>
                <w:sz w:val="28"/>
                <w:szCs w:val="28"/>
                <w:lang w:val="ro-RO"/>
              </w:rPr>
              <w:t xml:space="preserve"> Legea nr.171/2012, ce vizează cele mai esențiale </w:t>
            </w:r>
            <w:r w:rsidRPr="00E001A0">
              <w:rPr>
                <w:sz w:val="28"/>
                <w:szCs w:val="28"/>
                <w:lang w:val="ro-RO"/>
              </w:rPr>
              <w:lastRenderedPageBreak/>
              <w:t>reglementări statuate în  Directiva UE nr.2017/828 și care nu se regăsesc în legislația națională, în special:</w:t>
            </w:r>
          </w:p>
          <w:p w:rsidR="00EC4C76" w:rsidRDefault="00EC4C76" w:rsidP="00EC4C76">
            <w:pPr>
              <w:pStyle w:val="aa"/>
              <w:numPr>
                <w:ilvl w:val="0"/>
                <w:numId w:val="16"/>
              </w:numPr>
              <w:shd w:val="clear" w:color="auto" w:fill="FFFFFF"/>
              <w:tabs>
                <w:tab w:val="left" w:pos="390"/>
                <w:tab w:val="left" w:pos="1159"/>
                <w:tab w:val="left" w:pos="1206"/>
                <w:tab w:val="left" w:pos="1658"/>
              </w:tabs>
              <w:ind w:left="0" w:firstLine="22"/>
              <w:rPr>
                <w:sz w:val="28"/>
                <w:szCs w:val="28"/>
                <w:lang w:val="ro-RO"/>
              </w:rPr>
            </w:pPr>
            <w:r w:rsidRPr="00E001A0">
              <w:rPr>
                <w:sz w:val="28"/>
                <w:szCs w:val="28"/>
                <w:lang w:val="ro-RO"/>
              </w:rPr>
              <w:t>instituirea  obligației societății de a elabora o politică de remunerare a  conducătorilor  săi și competența exclusivă a  adunării generale a acționarilor (AGA) de a aproba această politică, de rând cu obligația  de a prezenta  anual către AGA un  raport privind   remunerarea persoanelor cu funcții de răspundere ale societății, cât și asigurării dezvăluirii politicii/raportului de remunerare;</w:t>
            </w:r>
          </w:p>
          <w:p w:rsidR="00EC4C76" w:rsidRPr="00EC4C76" w:rsidRDefault="00EC4C76" w:rsidP="00EC4C76">
            <w:pPr>
              <w:pStyle w:val="aa"/>
              <w:numPr>
                <w:ilvl w:val="0"/>
                <w:numId w:val="16"/>
              </w:numPr>
              <w:shd w:val="clear" w:color="auto" w:fill="FFFFFF"/>
              <w:tabs>
                <w:tab w:val="left" w:pos="390"/>
                <w:tab w:val="left" w:pos="1159"/>
                <w:tab w:val="left" w:pos="1206"/>
                <w:tab w:val="left" w:pos="1658"/>
              </w:tabs>
              <w:ind w:left="0" w:firstLine="22"/>
              <w:rPr>
                <w:sz w:val="28"/>
                <w:szCs w:val="28"/>
                <w:lang w:val="ro-RO"/>
              </w:rPr>
            </w:pPr>
            <w:r w:rsidRPr="00EC4C76">
              <w:rPr>
                <w:sz w:val="28"/>
                <w:szCs w:val="28"/>
                <w:lang w:val="ro-RO"/>
              </w:rPr>
              <w:t>instituirea obligației societății de a confirma acționarilor despre recepționarea votului  exprimat prin mijloace electronice, cit și  a obligației de a confirma, la cerere, a faptului contabilizării și înregistrării votului acționarului în procesul-verbal  al  rezultatului  votului.</w:t>
            </w:r>
          </w:p>
          <w:p w:rsidR="00EC4C76" w:rsidRPr="000A7314" w:rsidRDefault="00EC4C76" w:rsidP="00655064">
            <w:pPr>
              <w:pStyle w:val="aa"/>
              <w:shd w:val="clear" w:color="auto" w:fill="FFFFFF"/>
              <w:ind w:firstLine="0"/>
              <w:rPr>
                <w:sz w:val="28"/>
                <w:szCs w:val="28"/>
                <w:lang w:val="ro-RO"/>
              </w:rPr>
            </w:pPr>
            <w:r>
              <w:rPr>
                <w:sz w:val="28"/>
                <w:szCs w:val="28"/>
                <w:lang w:val="ro-RO"/>
              </w:rPr>
              <w:t>Proiectul de lege transpune parțial</w:t>
            </w:r>
            <w:r w:rsidRPr="00E001A0">
              <w:rPr>
                <w:sz w:val="28"/>
                <w:szCs w:val="28"/>
                <w:lang w:val="ro-RO"/>
              </w:rPr>
              <w:t xml:space="preserve"> prevederile Directivei UE nr.2017/828</w:t>
            </w:r>
            <w:r>
              <w:rPr>
                <w:sz w:val="28"/>
                <w:szCs w:val="28"/>
                <w:lang w:val="ro-RO"/>
              </w:rPr>
              <w:t>, argumentarea fiind reflectată în Tabelul de concordanță întocmit la prezenta directivă.</w:t>
            </w:r>
          </w:p>
        </w:tc>
      </w:tr>
      <w:tr w:rsidR="00EC4C76" w:rsidRPr="00796D30" w:rsidTr="007D4C53">
        <w:tc>
          <w:tcPr>
            <w:tcW w:w="9776" w:type="dxa"/>
            <w:shd w:val="clear" w:color="auto" w:fill="BFBFBF"/>
          </w:tcPr>
          <w:p w:rsidR="00EC4C76" w:rsidRPr="00E001A0" w:rsidRDefault="00E7754B" w:rsidP="00E7754B">
            <w:pPr>
              <w:spacing w:after="0" w:line="240" w:lineRule="auto"/>
              <w:rPr>
                <w:rFonts w:ascii="Times New Roman" w:hAnsi="Times New Roman"/>
                <w:b/>
                <w:sz w:val="28"/>
                <w:szCs w:val="28"/>
                <w:lang w:val="ro-RO"/>
              </w:rPr>
            </w:pPr>
            <w:r>
              <w:rPr>
                <w:rFonts w:ascii="Times New Roman" w:hAnsi="Times New Roman"/>
                <w:b/>
                <w:sz w:val="28"/>
                <w:szCs w:val="28"/>
                <w:lang w:val="ro-RO"/>
              </w:rPr>
              <w:lastRenderedPageBreak/>
              <w:t>4.</w:t>
            </w:r>
            <w:r w:rsidR="00EC4C76" w:rsidRPr="00E001A0">
              <w:rPr>
                <w:rFonts w:ascii="Times New Roman" w:hAnsi="Times New Roman"/>
                <w:b/>
                <w:sz w:val="28"/>
                <w:szCs w:val="28"/>
                <w:lang w:val="ro-RO"/>
              </w:rPr>
              <w:t>Principalele prevederi ale actului și evidențierea elementelor noi</w:t>
            </w:r>
          </w:p>
        </w:tc>
      </w:tr>
      <w:tr w:rsidR="00EC4C76" w:rsidRPr="00796D30" w:rsidTr="007D4C53">
        <w:tc>
          <w:tcPr>
            <w:tcW w:w="9776" w:type="dxa"/>
          </w:tcPr>
          <w:p w:rsidR="00EC4C76" w:rsidRPr="00E001A0" w:rsidRDefault="00EC4C76" w:rsidP="00EC4C76">
            <w:pPr>
              <w:pStyle w:val="aa"/>
              <w:shd w:val="clear" w:color="auto" w:fill="FFFFFF"/>
              <w:tabs>
                <w:tab w:val="left" w:pos="589"/>
              </w:tabs>
              <w:ind w:firstLine="0"/>
              <w:rPr>
                <w:sz w:val="28"/>
                <w:szCs w:val="28"/>
                <w:lang w:val="ro-RO"/>
              </w:rPr>
            </w:pPr>
            <w:r w:rsidRPr="00E001A0">
              <w:rPr>
                <w:b/>
                <w:sz w:val="28"/>
                <w:szCs w:val="28"/>
                <w:lang w:val="en-US"/>
              </w:rPr>
              <w:t>I.</w:t>
            </w:r>
            <w:r w:rsidRPr="00E001A0">
              <w:rPr>
                <w:sz w:val="28"/>
                <w:szCs w:val="28"/>
                <w:lang w:val="en-US"/>
              </w:rPr>
              <w:t xml:space="preserve"> </w:t>
            </w:r>
            <w:r w:rsidRPr="00E001A0">
              <w:rPr>
                <w:sz w:val="28"/>
                <w:szCs w:val="28"/>
                <w:lang w:val="ro-RO"/>
              </w:rPr>
              <w:t xml:space="preserve">Amendamentele incluse în </w:t>
            </w:r>
            <w:r w:rsidR="00734872">
              <w:rPr>
                <w:sz w:val="28"/>
                <w:szCs w:val="28"/>
                <w:lang w:val="ro-RO"/>
              </w:rPr>
              <w:t>p</w:t>
            </w:r>
            <w:r w:rsidRPr="00E001A0">
              <w:rPr>
                <w:sz w:val="28"/>
                <w:szCs w:val="28"/>
                <w:lang w:val="ro-RO"/>
              </w:rPr>
              <w:t xml:space="preserve">roiectul de lege, ce vizează conformarea cu </w:t>
            </w:r>
            <w:r w:rsidRPr="00E001A0">
              <w:rPr>
                <w:rFonts w:eastAsiaTheme="majorEastAsia"/>
                <w:i/>
                <w:sz w:val="28"/>
                <w:szCs w:val="28"/>
                <w:lang w:val="ro-RO"/>
              </w:rPr>
              <w:t xml:space="preserve"> Directiva  UE nr.2017/828</w:t>
            </w:r>
            <w:r w:rsidRPr="00E001A0">
              <w:rPr>
                <w:sz w:val="28"/>
                <w:szCs w:val="28"/>
                <w:lang w:val="ro-RO"/>
              </w:rPr>
              <w:t>, aplicabile entităților de interes public, sunt următoarele:</w:t>
            </w:r>
          </w:p>
          <w:p w:rsidR="00EC4C76" w:rsidRPr="00E001A0" w:rsidRDefault="00EC4C76" w:rsidP="00EC4C76">
            <w:pPr>
              <w:pStyle w:val="ad"/>
              <w:numPr>
                <w:ilvl w:val="0"/>
                <w:numId w:val="30"/>
              </w:numPr>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Modificarea  Legii nr.1134/1997,  în special:</w:t>
            </w:r>
          </w:p>
          <w:p w:rsidR="00EC4C76" w:rsidRPr="00E001A0" w:rsidRDefault="00EC4C76" w:rsidP="00EC4C76">
            <w:pPr>
              <w:pStyle w:val="ad"/>
              <w:tabs>
                <w:tab w:val="left" w:pos="22"/>
                <w:tab w:val="left" w:pos="447"/>
              </w:tabs>
              <w:ind w:left="22"/>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 xml:space="preserve">1) Ajustarea în </w:t>
            </w:r>
            <w:r w:rsidRPr="00E001A0">
              <w:rPr>
                <w:rFonts w:ascii="Times New Roman" w:eastAsia="Times New Roman" w:hAnsi="Times New Roman" w:cs="Times New Roman"/>
                <w:sz w:val="28"/>
                <w:szCs w:val="28"/>
                <w:lang w:val="ro-RO"/>
              </w:rPr>
              <w:t>preambulul Legii nr.1134/1997 a clauzei de armonizare în contextul  transpunerii în legislația  RM a modificărilor operate prin Directiva UE nr. 2017/828.</w:t>
            </w:r>
          </w:p>
          <w:p w:rsidR="00EC4C76" w:rsidRPr="00E001A0" w:rsidRDefault="00EC4C76" w:rsidP="00EC4C76">
            <w:pPr>
              <w:pStyle w:val="ad"/>
              <w:numPr>
                <w:ilvl w:val="0"/>
                <w:numId w:val="31"/>
              </w:numPr>
              <w:tabs>
                <w:tab w:val="left" w:pos="22"/>
                <w:tab w:val="left" w:pos="447"/>
              </w:tabs>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Modificarea următoarelor articole ale Legii nr.1134/1997:</w:t>
            </w:r>
          </w:p>
          <w:p w:rsidR="00EC4C76" w:rsidRPr="00E001A0" w:rsidRDefault="00EC4C76" w:rsidP="00EC4C76">
            <w:pPr>
              <w:pStyle w:val="ad"/>
              <w:numPr>
                <w:ilvl w:val="0"/>
                <w:numId w:val="24"/>
              </w:numPr>
              <w:tabs>
                <w:tab w:val="left" w:pos="22"/>
                <w:tab w:val="left" w:pos="420"/>
              </w:tabs>
              <w:ind w:left="22" w:firstLine="0"/>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Art.48, cu referire la completarea  atribuțiilor exclusive ale adunării generale a acționarilor cu chestiunile privind aprobarea  politicii și a raportului anual de remunerare  a persoanelor cu funcții de răspundere ale societății,</w:t>
            </w:r>
          </w:p>
          <w:p w:rsidR="00EC4C76" w:rsidRPr="00E001A0" w:rsidRDefault="00EC4C76" w:rsidP="00EC4C76">
            <w:pPr>
              <w:pStyle w:val="ad"/>
              <w:numPr>
                <w:ilvl w:val="0"/>
                <w:numId w:val="24"/>
              </w:numPr>
              <w:tabs>
                <w:tab w:val="left" w:pos="22"/>
                <w:tab w:val="left" w:pos="420"/>
              </w:tabs>
              <w:ind w:left="22" w:firstLine="0"/>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 xml:space="preserve">Art.62, prin care se instituie cerințe privind obligativitatea </w:t>
            </w:r>
            <w:r w:rsidRPr="00E001A0">
              <w:rPr>
                <w:rFonts w:ascii="Times New Roman" w:eastAsia="Times New Roman" w:hAnsi="Times New Roman" w:cs="Times New Roman"/>
                <w:sz w:val="28"/>
                <w:szCs w:val="28"/>
                <w:lang w:val="ro-RO"/>
              </w:rPr>
              <w:t xml:space="preserve"> societății</w:t>
            </w:r>
            <w:r w:rsidRPr="00E001A0">
              <w:rPr>
                <w:rFonts w:ascii="Times New Roman" w:hAnsi="Times New Roman" w:cs="Times New Roman"/>
                <w:sz w:val="28"/>
                <w:szCs w:val="28"/>
                <w:lang w:val="ro-RO"/>
              </w:rPr>
              <w:t xml:space="preserve"> de a  expedia </w:t>
            </w:r>
            <w:r w:rsidRPr="00E001A0">
              <w:rPr>
                <w:rFonts w:ascii="Times New Roman" w:eastAsia="Times New Roman" w:hAnsi="Times New Roman" w:cs="Times New Roman"/>
                <w:sz w:val="28"/>
                <w:szCs w:val="28"/>
                <w:lang w:val="ro-RO"/>
              </w:rPr>
              <w:t>către acționar sau reprezentantul legal al acestuia a confirmărilor privind recepționarea votului</w:t>
            </w:r>
            <w:r w:rsidRPr="00E001A0">
              <w:rPr>
                <w:rFonts w:ascii="Times New Roman" w:eastAsiaTheme="majorEastAsia" w:hAnsi="Times New Roman" w:cs="Times New Roman"/>
                <w:sz w:val="28"/>
                <w:szCs w:val="28"/>
                <w:lang w:val="ro-RO"/>
              </w:rPr>
              <w:t xml:space="preserve"> exprimat prin  mijloace electronice</w:t>
            </w:r>
            <w:r w:rsidRPr="00E001A0">
              <w:rPr>
                <w:rFonts w:ascii="Times New Roman" w:eastAsia="Times New Roman" w:hAnsi="Times New Roman" w:cs="Times New Roman"/>
                <w:sz w:val="28"/>
                <w:szCs w:val="28"/>
                <w:lang w:val="ro-RO"/>
              </w:rPr>
              <w:t>, precum și de a confirma, la cererea lor,</w:t>
            </w:r>
            <w:r w:rsidRPr="00E001A0">
              <w:rPr>
                <w:rFonts w:ascii="Times New Roman" w:eastAsiaTheme="majorEastAsia" w:hAnsi="Times New Roman" w:cs="Times New Roman"/>
                <w:sz w:val="28"/>
                <w:szCs w:val="28"/>
                <w:lang w:val="ro-RO"/>
              </w:rPr>
              <w:t xml:space="preserve"> a </w:t>
            </w:r>
            <w:r w:rsidRPr="00E001A0">
              <w:rPr>
                <w:rFonts w:ascii="Times New Roman" w:eastAsia="Times New Roman" w:hAnsi="Times New Roman" w:cs="Times New Roman"/>
                <w:sz w:val="28"/>
                <w:szCs w:val="28"/>
                <w:lang w:val="ro-RO"/>
              </w:rPr>
              <w:t>faptului contabilizării și înregistrării votului în procesul-verbal  a  rezultatului  votului</w:t>
            </w:r>
            <w:r w:rsidRPr="00E001A0">
              <w:rPr>
                <w:rFonts w:ascii="Times New Roman" w:eastAsiaTheme="majorEastAsia" w:hAnsi="Times New Roman" w:cs="Times New Roman"/>
                <w:sz w:val="28"/>
                <w:szCs w:val="28"/>
                <w:lang w:val="ro-RO"/>
              </w:rPr>
              <w:t>;</w:t>
            </w:r>
          </w:p>
          <w:p w:rsidR="00EC4C76" w:rsidRPr="00E001A0" w:rsidRDefault="00EC4C76" w:rsidP="00EC4C76">
            <w:pPr>
              <w:pStyle w:val="ad"/>
              <w:numPr>
                <w:ilvl w:val="0"/>
                <w:numId w:val="24"/>
              </w:numPr>
              <w:tabs>
                <w:tab w:val="left" w:pos="22"/>
                <w:tab w:val="left" w:pos="420"/>
              </w:tabs>
              <w:ind w:left="22" w:firstLine="0"/>
              <w:jc w:val="both"/>
              <w:rPr>
                <w:rFonts w:ascii="Times New Roman" w:hAnsi="Times New Roman" w:cs="Times New Roman"/>
                <w:sz w:val="28"/>
                <w:szCs w:val="28"/>
                <w:lang w:val="ro-RO"/>
              </w:rPr>
            </w:pPr>
            <w:r w:rsidRPr="00E001A0">
              <w:rPr>
                <w:rFonts w:ascii="Times New Roman" w:eastAsiaTheme="majorEastAsia" w:hAnsi="Times New Roman" w:cs="Times New Roman"/>
                <w:sz w:val="28"/>
                <w:szCs w:val="28"/>
                <w:lang w:val="ro-RO"/>
              </w:rPr>
              <w:t xml:space="preserve">Art.91, care se referă la </w:t>
            </w:r>
            <w:r w:rsidRPr="00E001A0">
              <w:rPr>
                <w:rFonts w:ascii="Times New Roman" w:hAnsi="Times New Roman" w:cs="Times New Roman"/>
                <w:sz w:val="28"/>
                <w:szCs w:val="28"/>
                <w:lang w:val="ro-RO"/>
              </w:rPr>
              <w:t>suplimentarea listei documentelor societății, obligatorii pentru eliberare, la cerere, către acționari, cu politica și raportul anual de remunerare a persoanelor cu funcții de răspundere ale societății.</w:t>
            </w:r>
          </w:p>
          <w:p w:rsidR="00EC4C76" w:rsidRPr="00E001A0" w:rsidRDefault="00EC4C76" w:rsidP="00EC4C76">
            <w:pPr>
              <w:pStyle w:val="ad"/>
              <w:numPr>
                <w:ilvl w:val="0"/>
                <w:numId w:val="30"/>
              </w:numPr>
              <w:tabs>
                <w:tab w:val="left" w:pos="22"/>
                <w:tab w:val="left" w:pos="420"/>
              </w:tabs>
              <w:ind w:left="22" w:firstLine="338"/>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 xml:space="preserve">Modificarea art.120 din Legea nr.171/2012, prin includerea  în raportul anual al entității de interes public a compartimentelor noi – politica de remunerare a persoanelor cu funcții de răspundere și raportul anual de remunerare, care va asigura accesibilitatea și transparența subiectelor vizate.  </w:t>
            </w:r>
          </w:p>
          <w:p w:rsidR="00EC4C76" w:rsidRPr="00E001A0" w:rsidRDefault="00EC4C76" w:rsidP="00EC4C76">
            <w:pPr>
              <w:pStyle w:val="ad"/>
              <w:numPr>
                <w:ilvl w:val="0"/>
                <w:numId w:val="30"/>
              </w:numPr>
              <w:tabs>
                <w:tab w:val="left" w:pos="22"/>
                <w:tab w:val="left" w:pos="420"/>
              </w:tabs>
              <w:ind w:left="22" w:firstLine="338"/>
              <w:jc w:val="both"/>
              <w:rPr>
                <w:rFonts w:ascii="Times New Roman" w:hAnsi="Times New Roman" w:cs="Times New Roman"/>
                <w:sz w:val="28"/>
                <w:szCs w:val="28"/>
                <w:lang w:val="ro-RO"/>
              </w:rPr>
            </w:pPr>
            <w:r w:rsidRPr="00E001A0">
              <w:rPr>
                <w:rFonts w:ascii="Times New Roman" w:hAnsi="Times New Roman" w:cs="Times New Roman"/>
                <w:sz w:val="28"/>
                <w:szCs w:val="28"/>
                <w:lang w:val="ro-RO"/>
              </w:rPr>
              <w:t>Completarea   art.36 din Legea nr.202/2017 privind activitatea băncilor, în vederea exceptării băncilor de la principiile statuate în Directiva UE nr.2017/828 privind organul competent ce aprobă politica de remunerare a persoanelor cu funcții de răspundere și raportul de  remunerare.</w:t>
            </w:r>
          </w:p>
          <w:p w:rsidR="00EC4C76" w:rsidRPr="00E001A0" w:rsidRDefault="00EC4C76" w:rsidP="00EC4C76">
            <w:pPr>
              <w:pStyle w:val="ad"/>
              <w:tabs>
                <w:tab w:val="left" w:pos="306"/>
                <w:tab w:val="left" w:pos="375"/>
              </w:tabs>
              <w:jc w:val="both"/>
              <w:rPr>
                <w:rFonts w:ascii="Times New Roman" w:eastAsia="Times New Roman" w:hAnsi="Times New Roman" w:cs="Times New Roman"/>
                <w:color w:val="000000" w:themeColor="text1"/>
                <w:sz w:val="28"/>
                <w:szCs w:val="28"/>
                <w:lang w:val="ro-RO"/>
              </w:rPr>
            </w:pPr>
            <w:r w:rsidRPr="00E001A0">
              <w:rPr>
                <w:rFonts w:ascii="Times New Roman" w:eastAsia="Times New Roman" w:hAnsi="Times New Roman" w:cs="Times New Roman"/>
                <w:b/>
                <w:color w:val="000000" w:themeColor="text1"/>
                <w:sz w:val="28"/>
                <w:szCs w:val="28"/>
                <w:lang w:val="ro-RO"/>
              </w:rPr>
              <w:t>II.</w:t>
            </w:r>
            <w:r w:rsidRPr="00E001A0">
              <w:rPr>
                <w:rFonts w:ascii="Times New Roman" w:eastAsia="Times New Roman" w:hAnsi="Times New Roman" w:cs="Times New Roman"/>
                <w:color w:val="000000" w:themeColor="text1"/>
                <w:sz w:val="28"/>
                <w:szCs w:val="28"/>
                <w:lang w:val="ro-RO"/>
              </w:rPr>
              <w:t xml:space="preserve"> Principalele propuneri din Proiectul de lege, mai cu seamă de</w:t>
            </w:r>
            <w:r w:rsidRPr="00E001A0">
              <w:rPr>
                <w:rFonts w:ascii="Times New Roman" w:eastAsia="Times New Roman" w:hAnsi="Times New Roman" w:cs="Times New Roman"/>
                <w:color w:val="0070C0"/>
                <w:sz w:val="28"/>
                <w:szCs w:val="28"/>
                <w:lang w:val="ro-RO"/>
              </w:rPr>
              <w:t xml:space="preserve"> </w:t>
            </w:r>
            <w:r w:rsidRPr="00E001A0">
              <w:rPr>
                <w:rFonts w:ascii="Times New Roman" w:eastAsia="Times New Roman" w:hAnsi="Times New Roman" w:cs="Times New Roman"/>
                <w:sz w:val="28"/>
                <w:szCs w:val="28"/>
                <w:lang w:val="ro-RO"/>
              </w:rPr>
              <w:t>îmbunătățire</w:t>
            </w:r>
            <w:r w:rsidRPr="00E001A0">
              <w:rPr>
                <w:rFonts w:ascii="Times New Roman" w:eastAsia="Times New Roman" w:hAnsi="Times New Roman" w:cs="Times New Roman"/>
                <w:color w:val="0070C0"/>
                <w:sz w:val="28"/>
                <w:szCs w:val="28"/>
                <w:lang w:val="ro-RO"/>
              </w:rPr>
              <w:t xml:space="preserve"> </w:t>
            </w:r>
            <w:r w:rsidRPr="00E001A0">
              <w:rPr>
                <w:rFonts w:ascii="Times New Roman" w:eastAsia="Times New Roman" w:hAnsi="Times New Roman" w:cs="Times New Roman"/>
                <w:color w:val="000000" w:themeColor="text1"/>
                <w:sz w:val="28"/>
                <w:szCs w:val="28"/>
                <w:lang w:val="ro-RO"/>
              </w:rPr>
              <w:t>a cadrului regulator în materia societăților pe acțiuni se referă la:</w:t>
            </w:r>
          </w:p>
          <w:p w:rsidR="00EC4C76" w:rsidRPr="00E001A0" w:rsidRDefault="00EC4C76" w:rsidP="00B77638">
            <w:pPr>
              <w:pStyle w:val="ad"/>
              <w:numPr>
                <w:ilvl w:val="0"/>
                <w:numId w:val="33"/>
              </w:numPr>
              <w:tabs>
                <w:tab w:val="left" w:pos="306"/>
                <w:tab w:val="left" w:pos="375"/>
              </w:tabs>
              <w:ind w:hanging="1080"/>
              <w:jc w:val="both"/>
              <w:rPr>
                <w:rFonts w:ascii="Times New Roman" w:eastAsia="Times New Roman" w:hAnsi="Times New Roman" w:cs="Times New Roman"/>
                <w:color w:val="000000" w:themeColor="text1"/>
                <w:sz w:val="28"/>
                <w:szCs w:val="28"/>
                <w:lang w:val="ro-RO"/>
              </w:rPr>
            </w:pPr>
            <w:r w:rsidRPr="00E001A0">
              <w:rPr>
                <w:rFonts w:ascii="Times New Roman" w:eastAsia="Times New Roman" w:hAnsi="Times New Roman" w:cs="Times New Roman"/>
                <w:color w:val="000000" w:themeColor="text1"/>
                <w:sz w:val="28"/>
                <w:szCs w:val="28"/>
                <w:lang w:val="ro-RO"/>
              </w:rPr>
              <w:t>Amendarea Legii nr.1134/1997:</w:t>
            </w:r>
          </w:p>
          <w:p w:rsidR="00EC4C76" w:rsidRDefault="00EC4C76" w:rsidP="00796D30">
            <w:pPr>
              <w:pStyle w:val="ad"/>
              <w:numPr>
                <w:ilvl w:val="0"/>
                <w:numId w:val="24"/>
              </w:numPr>
              <w:tabs>
                <w:tab w:val="left" w:pos="164"/>
              </w:tabs>
              <w:ind w:left="0" w:firstLine="0"/>
              <w:jc w:val="both"/>
              <w:rPr>
                <w:rFonts w:ascii="Times New Roman" w:eastAsia="Times New Roman" w:hAnsi="Times New Roman" w:cs="Times New Roman"/>
                <w:color w:val="000000" w:themeColor="text1"/>
                <w:sz w:val="28"/>
                <w:szCs w:val="28"/>
                <w:lang w:val="ro-RO"/>
              </w:rPr>
            </w:pPr>
            <w:r w:rsidRPr="00E001A0">
              <w:rPr>
                <w:rFonts w:ascii="Times New Roman" w:eastAsia="Times New Roman" w:hAnsi="Times New Roman" w:cs="Times New Roman"/>
                <w:color w:val="000000" w:themeColor="text1"/>
                <w:sz w:val="28"/>
                <w:szCs w:val="28"/>
                <w:lang w:val="ro-RO"/>
              </w:rPr>
              <w:t>art.12 alin.(7) lit.b), unde se introduc norme de certitudine juridică privind</w:t>
            </w:r>
            <w:r w:rsidR="00D02056">
              <w:rPr>
                <w:rFonts w:ascii="Times New Roman" w:eastAsia="Times New Roman" w:hAnsi="Times New Roman" w:cs="Times New Roman"/>
                <w:color w:val="000000" w:themeColor="text1"/>
                <w:sz w:val="28"/>
                <w:szCs w:val="28"/>
                <w:lang w:val="ro-RO"/>
              </w:rPr>
              <w:t xml:space="preserve"> </w:t>
            </w:r>
            <w:r w:rsidRPr="00E001A0">
              <w:rPr>
                <w:rFonts w:ascii="Times New Roman" w:eastAsia="Times New Roman" w:hAnsi="Times New Roman" w:cs="Times New Roman"/>
                <w:color w:val="000000" w:themeColor="text1"/>
                <w:sz w:val="28"/>
                <w:szCs w:val="28"/>
                <w:lang w:val="ro-RO"/>
              </w:rPr>
              <w:t xml:space="preserve">modalitatea de circulație a valorilor mobiliare </w:t>
            </w:r>
            <w:r w:rsidR="00734872">
              <w:rPr>
                <w:rFonts w:ascii="Times New Roman" w:eastAsia="Times New Roman" w:hAnsi="Times New Roman" w:cs="Times New Roman"/>
                <w:color w:val="000000" w:themeColor="text1"/>
                <w:sz w:val="28"/>
                <w:szCs w:val="28"/>
                <w:lang w:val="ro-RO"/>
              </w:rPr>
              <w:t>î</w:t>
            </w:r>
            <w:r w:rsidR="00734872" w:rsidRPr="00E001A0">
              <w:rPr>
                <w:rFonts w:ascii="Times New Roman" w:eastAsia="Times New Roman" w:hAnsi="Times New Roman" w:cs="Times New Roman"/>
                <w:color w:val="000000" w:themeColor="text1"/>
                <w:sz w:val="28"/>
                <w:szCs w:val="28"/>
                <w:lang w:val="ro-RO"/>
              </w:rPr>
              <w:t xml:space="preserve">n </w:t>
            </w:r>
            <w:r w:rsidRPr="00E001A0">
              <w:rPr>
                <w:rFonts w:ascii="Times New Roman" w:eastAsia="Times New Roman" w:hAnsi="Times New Roman" w:cs="Times New Roman"/>
                <w:color w:val="000000" w:themeColor="text1"/>
                <w:sz w:val="28"/>
                <w:szCs w:val="28"/>
                <w:lang w:val="ro-RO"/>
              </w:rPr>
              <w:t xml:space="preserve">afara pieței reglementate și </w:t>
            </w:r>
            <w:r w:rsidR="00D02056" w:rsidRPr="00D02056">
              <w:rPr>
                <w:rFonts w:ascii="Times New Roman" w:eastAsia="Times New Roman" w:hAnsi="Times New Roman" w:cs="Times New Roman"/>
                <w:color w:val="000000" w:themeColor="text1"/>
                <w:sz w:val="28"/>
                <w:szCs w:val="28"/>
                <w:lang w:val="ro-RO"/>
              </w:rPr>
              <w:t>sistem</w:t>
            </w:r>
            <w:r w:rsidR="00D02056">
              <w:rPr>
                <w:rFonts w:ascii="Times New Roman" w:eastAsia="Times New Roman" w:hAnsi="Times New Roman" w:cs="Times New Roman"/>
                <w:color w:val="000000" w:themeColor="text1"/>
                <w:sz w:val="28"/>
                <w:szCs w:val="28"/>
                <w:lang w:val="ro-RO"/>
              </w:rPr>
              <w:t>ului</w:t>
            </w:r>
            <w:r w:rsidR="00D02056" w:rsidRPr="00D02056">
              <w:rPr>
                <w:rFonts w:ascii="Times New Roman" w:eastAsia="Times New Roman" w:hAnsi="Times New Roman" w:cs="Times New Roman"/>
                <w:color w:val="000000" w:themeColor="text1"/>
                <w:sz w:val="28"/>
                <w:szCs w:val="28"/>
                <w:lang w:val="ro-RO"/>
              </w:rPr>
              <w:t xml:space="preserve"> multilateral de tranzacţionare </w:t>
            </w:r>
            <w:r w:rsidR="00D02056">
              <w:rPr>
                <w:rFonts w:ascii="Times New Roman" w:eastAsia="Times New Roman" w:hAnsi="Times New Roman" w:cs="Times New Roman"/>
                <w:color w:val="000000" w:themeColor="text1"/>
                <w:sz w:val="28"/>
                <w:szCs w:val="28"/>
                <w:lang w:val="ro-RO"/>
              </w:rPr>
              <w:t>(</w:t>
            </w:r>
            <w:r w:rsidRPr="00E001A0">
              <w:rPr>
                <w:rFonts w:ascii="Times New Roman" w:eastAsia="Times New Roman" w:hAnsi="Times New Roman" w:cs="Times New Roman"/>
                <w:color w:val="000000" w:themeColor="text1"/>
                <w:sz w:val="28"/>
                <w:szCs w:val="28"/>
                <w:lang w:val="ro-RO"/>
              </w:rPr>
              <w:t>MTF</w:t>
            </w:r>
            <w:r w:rsidR="00D02056">
              <w:rPr>
                <w:rFonts w:ascii="Times New Roman" w:eastAsia="Times New Roman" w:hAnsi="Times New Roman" w:cs="Times New Roman"/>
                <w:color w:val="000000" w:themeColor="text1"/>
                <w:sz w:val="28"/>
                <w:szCs w:val="28"/>
                <w:lang w:val="ro-RO"/>
              </w:rPr>
              <w:t>)</w:t>
            </w:r>
            <w:r w:rsidRPr="00E001A0">
              <w:rPr>
                <w:rFonts w:ascii="Times New Roman" w:eastAsia="Times New Roman" w:hAnsi="Times New Roman" w:cs="Times New Roman"/>
                <w:color w:val="000000" w:themeColor="text1"/>
                <w:sz w:val="28"/>
                <w:szCs w:val="28"/>
                <w:lang w:val="ro-RO"/>
              </w:rPr>
              <w:t>,</w:t>
            </w:r>
          </w:p>
          <w:p w:rsidR="00822D60" w:rsidRDefault="00822D60" w:rsidP="00EC4C76">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xml:space="preserve">art.23 alin.(2) lit.b), </w:t>
            </w:r>
            <w:r w:rsidR="00401C43">
              <w:rPr>
                <w:rFonts w:ascii="Times New Roman" w:eastAsia="Times New Roman" w:hAnsi="Times New Roman" w:cs="Times New Roman"/>
                <w:color w:val="000000" w:themeColor="text1"/>
                <w:sz w:val="28"/>
                <w:szCs w:val="28"/>
                <w:lang w:val="ro-RO"/>
              </w:rPr>
              <w:t xml:space="preserve">art.88, </w:t>
            </w:r>
            <w:r>
              <w:rPr>
                <w:rFonts w:ascii="Times New Roman" w:eastAsia="Times New Roman" w:hAnsi="Times New Roman" w:cs="Times New Roman"/>
                <w:color w:val="000000" w:themeColor="text1"/>
                <w:sz w:val="28"/>
                <w:szCs w:val="28"/>
                <w:lang w:val="ro-RO"/>
              </w:rPr>
              <w:t>având la bază uniformizarea terminologiei potrivit Legii nr.287/2017,</w:t>
            </w:r>
          </w:p>
          <w:p w:rsidR="005D0A2D" w:rsidRPr="005D0A2D" w:rsidRDefault="00822D60" w:rsidP="005D0A2D">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xml:space="preserve">art.40, completat în vederea </w:t>
            </w:r>
            <w:r w:rsidR="005D0A2D">
              <w:rPr>
                <w:rFonts w:ascii="Times New Roman" w:eastAsia="Times New Roman" w:hAnsi="Times New Roman" w:cs="Times New Roman"/>
                <w:color w:val="000000" w:themeColor="text1"/>
                <w:sz w:val="28"/>
                <w:szCs w:val="28"/>
                <w:lang w:val="ro-RO"/>
              </w:rPr>
              <w:t>responsabilizării  emitenților în procesul de modificare a capitalului social,</w:t>
            </w:r>
            <w:r w:rsidR="00E70962">
              <w:rPr>
                <w:rFonts w:ascii="Times New Roman" w:eastAsia="Times New Roman" w:hAnsi="Times New Roman" w:cs="Times New Roman"/>
                <w:color w:val="000000" w:themeColor="text1"/>
                <w:sz w:val="28"/>
                <w:szCs w:val="28"/>
                <w:lang w:val="ro-RO"/>
              </w:rPr>
              <w:t xml:space="preserve"> or</w:t>
            </w:r>
            <w:r w:rsidR="00FF363C">
              <w:rPr>
                <w:rFonts w:ascii="Times New Roman" w:eastAsia="Times New Roman" w:hAnsi="Times New Roman" w:cs="Times New Roman"/>
                <w:color w:val="000000" w:themeColor="text1"/>
                <w:sz w:val="28"/>
                <w:szCs w:val="28"/>
                <w:lang w:val="ro-RO"/>
              </w:rPr>
              <w:t>,</w:t>
            </w:r>
            <w:r w:rsidR="00E70962">
              <w:rPr>
                <w:rFonts w:ascii="Times New Roman" w:eastAsia="Times New Roman" w:hAnsi="Times New Roman" w:cs="Times New Roman"/>
                <w:color w:val="000000" w:themeColor="text1"/>
                <w:sz w:val="28"/>
                <w:szCs w:val="28"/>
                <w:lang w:val="ro-RO"/>
              </w:rPr>
              <w:t xml:space="preserve"> nefinalizarea unei etape de emisie induce erori la indicarea </w:t>
            </w:r>
            <w:r w:rsidR="00E70962">
              <w:rPr>
                <w:rFonts w:ascii="Times New Roman" w:eastAsia="Times New Roman" w:hAnsi="Times New Roman" w:cs="Times New Roman"/>
                <w:color w:val="000000" w:themeColor="text1"/>
                <w:sz w:val="28"/>
                <w:szCs w:val="28"/>
                <w:lang w:val="ro-RO"/>
              </w:rPr>
              <w:lastRenderedPageBreak/>
              <w:t>datelor în hotărârea de emisie ulterioară, fiind în disonanță cu datele înscrise în REVM,</w:t>
            </w:r>
          </w:p>
          <w:p w:rsidR="00EC4C76" w:rsidRDefault="00EC4C76" w:rsidP="00EC4C76">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sidRPr="00E001A0">
              <w:rPr>
                <w:rFonts w:ascii="Times New Roman" w:eastAsia="Times New Roman" w:hAnsi="Times New Roman" w:cs="Times New Roman"/>
                <w:color w:val="000000" w:themeColor="text1"/>
                <w:sz w:val="28"/>
                <w:szCs w:val="28"/>
                <w:lang w:val="ro-RO"/>
              </w:rPr>
              <w:t>art.49 alin.(5),</w:t>
            </w:r>
            <w:r w:rsidR="004C060A">
              <w:rPr>
                <w:rFonts w:ascii="Times New Roman" w:eastAsia="Times New Roman" w:hAnsi="Times New Roman" w:cs="Times New Roman"/>
                <w:color w:val="000000" w:themeColor="text1"/>
                <w:sz w:val="28"/>
                <w:szCs w:val="28"/>
                <w:lang w:val="ro-RO"/>
              </w:rPr>
              <w:t xml:space="preserve"> art.50, modificat în sensul oferiri previzibilității</w:t>
            </w:r>
            <w:r w:rsidR="004C060A" w:rsidRPr="00E001A0">
              <w:rPr>
                <w:rFonts w:ascii="Times New Roman" w:eastAsia="Times New Roman" w:hAnsi="Times New Roman" w:cs="Times New Roman"/>
                <w:color w:val="000000" w:themeColor="text1"/>
                <w:sz w:val="28"/>
                <w:szCs w:val="28"/>
                <w:lang w:val="ro-RO"/>
              </w:rPr>
              <w:t xml:space="preserve"> </w:t>
            </w:r>
            <w:r w:rsidR="004C060A">
              <w:rPr>
                <w:rFonts w:ascii="Times New Roman" w:eastAsia="Times New Roman" w:hAnsi="Times New Roman" w:cs="Times New Roman"/>
                <w:color w:val="000000" w:themeColor="text1"/>
                <w:sz w:val="28"/>
                <w:szCs w:val="28"/>
                <w:lang w:val="ro-RO"/>
              </w:rPr>
              <w:t>în materie de termene aplicabile</w:t>
            </w:r>
            <w:r w:rsidRPr="00E001A0">
              <w:rPr>
                <w:rFonts w:ascii="Times New Roman" w:eastAsia="Times New Roman" w:hAnsi="Times New Roman" w:cs="Times New Roman"/>
                <w:color w:val="000000" w:themeColor="text1"/>
                <w:sz w:val="28"/>
                <w:szCs w:val="28"/>
                <w:lang w:val="ro-RO"/>
              </w:rPr>
              <w:t xml:space="preserve"> în anumite situații juridice expres prevăzute de lege,</w:t>
            </w:r>
          </w:p>
          <w:p w:rsidR="004C060A" w:rsidRDefault="004C060A" w:rsidP="004C060A">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art.51, art.68, modificat în sensul oferirii previzibilității</w:t>
            </w:r>
            <w:r w:rsidRPr="00E001A0">
              <w:rPr>
                <w:rFonts w:ascii="Times New Roman" w:eastAsia="Times New Roman" w:hAnsi="Times New Roman" w:cs="Times New Roman"/>
                <w:color w:val="000000" w:themeColor="text1"/>
                <w:sz w:val="28"/>
                <w:szCs w:val="28"/>
                <w:lang w:val="ro-RO"/>
              </w:rPr>
              <w:t xml:space="preserve"> </w:t>
            </w:r>
            <w:r>
              <w:rPr>
                <w:rFonts w:ascii="Times New Roman" w:eastAsia="Times New Roman" w:hAnsi="Times New Roman" w:cs="Times New Roman"/>
                <w:color w:val="000000" w:themeColor="text1"/>
                <w:sz w:val="28"/>
                <w:szCs w:val="28"/>
                <w:lang w:val="ro-RO"/>
              </w:rPr>
              <w:t xml:space="preserve">în materie de rolul organului executiv în procesul de convocare a AGA pentru </w:t>
            </w:r>
            <w:r w:rsidRPr="00E001A0">
              <w:rPr>
                <w:rFonts w:ascii="Times New Roman" w:eastAsia="Times New Roman" w:hAnsi="Times New Roman" w:cs="Times New Roman"/>
                <w:color w:val="000000" w:themeColor="text1"/>
                <w:sz w:val="28"/>
                <w:szCs w:val="28"/>
                <w:lang w:val="ro-RO"/>
              </w:rPr>
              <w:t>anumite situații juridice expres prevăzute de lege,</w:t>
            </w:r>
          </w:p>
          <w:p w:rsidR="005D0A2D" w:rsidRPr="004C060A" w:rsidRDefault="004C060A" w:rsidP="004C060A">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xml:space="preserve"> </w:t>
            </w:r>
            <w:r w:rsidR="005D0A2D" w:rsidRPr="004C060A">
              <w:rPr>
                <w:rFonts w:ascii="Times New Roman" w:eastAsia="Times New Roman" w:hAnsi="Times New Roman" w:cs="Times New Roman"/>
                <w:color w:val="000000" w:themeColor="text1"/>
                <w:sz w:val="28"/>
                <w:szCs w:val="28"/>
                <w:lang w:val="ro-RO"/>
              </w:rPr>
              <w:t xml:space="preserve">art.52 alin.(4), completat în vederea extinderii situațiilor </w:t>
            </w:r>
            <w:r w:rsidR="00752B89" w:rsidRPr="004C060A">
              <w:rPr>
                <w:rFonts w:ascii="Times New Roman" w:eastAsia="Times New Roman" w:hAnsi="Times New Roman" w:cs="Times New Roman"/>
                <w:color w:val="000000" w:themeColor="text1"/>
                <w:sz w:val="28"/>
                <w:szCs w:val="28"/>
                <w:lang w:val="ro-RO"/>
              </w:rPr>
              <w:t>relevante create în practică după eliberarea listei acționarilor și necesită a fi legiferate,</w:t>
            </w:r>
          </w:p>
          <w:p w:rsidR="00752B89" w:rsidRDefault="00752B89" w:rsidP="00EC4C76">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xml:space="preserve">art.57 alin.(7), revăzut în sensul oferirii soluției de alternativă emitenților care au intenția de a majora capitalul social, dar care nu au destul cvorum pentru a aproba astfel de decizie, </w:t>
            </w:r>
            <w:r w:rsidR="00E70962">
              <w:rPr>
                <w:rFonts w:ascii="Times New Roman" w:eastAsia="Times New Roman" w:hAnsi="Times New Roman" w:cs="Times New Roman"/>
                <w:color w:val="000000" w:themeColor="text1"/>
                <w:sz w:val="28"/>
                <w:szCs w:val="28"/>
                <w:lang w:val="ro-RO"/>
              </w:rPr>
              <w:t>totodată</w:t>
            </w:r>
            <w:r w:rsidR="00BB178C">
              <w:rPr>
                <w:rFonts w:ascii="Times New Roman" w:eastAsia="Times New Roman" w:hAnsi="Times New Roman" w:cs="Times New Roman"/>
                <w:color w:val="000000" w:themeColor="text1"/>
                <w:sz w:val="28"/>
                <w:szCs w:val="28"/>
                <w:lang w:val="ro-RO"/>
              </w:rPr>
              <w:t>,</w:t>
            </w:r>
            <w:r w:rsidR="00E70962">
              <w:rPr>
                <w:rFonts w:ascii="Times New Roman" w:eastAsia="Times New Roman" w:hAnsi="Times New Roman" w:cs="Times New Roman"/>
                <w:color w:val="000000" w:themeColor="text1"/>
                <w:sz w:val="28"/>
                <w:szCs w:val="28"/>
                <w:lang w:val="ro-RO"/>
              </w:rPr>
              <w:t xml:space="preserve"> ținându-se cont de faptul că majorarea capitalului social din contul capitalului propriu nu influențează cota deținută de acționari în capitalul social, aceasta rămânând intactă,</w:t>
            </w:r>
          </w:p>
          <w:p w:rsidR="00EA7CE8" w:rsidRDefault="007107B7" w:rsidP="000C4BEA">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sidRPr="00EA7CE8">
              <w:rPr>
                <w:rFonts w:ascii="Times New Roman" w:eastAsia="Times New Roman" w:hAnsi="Times New Roman" w:cs="Times New Roman"/>
                <w:color w:val="000000" w:themeColor="text1"/>
                <w:sz w:val="28"/>
                <w:szCs w:val="28"/>
                <w:lang w:val="ro-RO"/>
              </w:rPr>
              <w:t xml:space="preserve">art.67 alin.(2), modificat pentru a reda o certitudine mai clară în ceea ce privește </w:t>
            </w:r>
            <w:r w:rsidR="00F402C1" w:rsidRPr="00EA7CE8">
              <w:rPr>
                <w:rFonts w:ascii="Times New Roman" w:eastAsia="Times New Roman" w:hAnsi="Times New Roman" w:cs="Times New Roman"/>
                <w:color w:val="000000" w:themeColor="text1"/>
                <w:sz w:val="28"/>
                <w:szCs w:val="28"/>
                <w:lang w:val="ro-RO"/>
              </w:rPr>
              <w:t>desfășurare</w:t>
            </w:r>
            <w:r w:rsidRPr="00EA7CE8">
              <w:rPr>
                <w:rFonts w:ascii="Times New Roman" w:eastAsia="Times New Roman" w:hAnsi="Times New Roman" w:cs="Times New Roman"/>
                <w:color w:val="000000" w:themeColor="text1"/>
                <w:sz w:val="28"/>
                <w:szCs w:val="28"/>
                <w:lang w:val="ro-RO"/>
              </w:rPr>
              <w:t xml:space="preserve">a </w:t>
            </w:r>
            <w:r w:rsidR="00F402C1" w:rsidRPr="00EA7CE8">
              <w:rPr>
                <w:rFonts w:ascii="Times New Roman" w:eastAsia="Times New Roman" w:hAnsi="Times New Roman" w:cs="Times New Roman"/>
                <w:color w:val="000000" w:themeColor="text1"/>
                <w:sz w:val="28"/>
                <w:szCs w:val="28"/>
                <w:lang w:val="ro-RO"/>
              </w:rPr>
              <w:t xml:space="preserve">ședințelor consiliului societății </w:t>
            </w:r>
            <w:r w:rsidRPr="00EA7CE8">
              <w:rPr>
                <w:rFonts w:ascii="Times New Roman" w:eastAsia="Times New Roman" w:hAnsi="Times New Roman" w:cs="Times New Roman"/>
                <w:color w:val="000000" w:themeColor="text1"/>
                <w:sz w:val="28"/>
                <w:szCs w:val="28"/>
                <w:lang w:val="ro-RO"/>
              </w:rPr>
              <w:t>prin mijloace electronice</w:t>
            </w:r>
            <w:r w:rsidR="00EA7CE8" w:rsidRPr="00EA7CE8">
              <w:rPr>
                <w:rFonts w:ascii="Times New Roman" w:eastAsia="Times New Roman" w:hAnsi="Times New Roman" w:cs="Times New Roman"/>
                <w:color w:val="000000" w:themeColor="text1"/>
                <w:sz w:val="28"/>
                <w:szCs w:val="28"/>
                <w:lang w:val="ro-RO"/>
              </w:rPr>
              <w:t xml:space="preserve"> (similar desfășurării </w:t>
            </w:r>
            <w:r w:rsidRPr="00EA7CE8">
              <w:rPr>
                <w:rFonts w:ascii="Times New Roman" w:eastAsia="Times New Roman" w:hAnsi="Times New Roman" w:cs="Times New Roman"/>
                <w:color w:val="000000" w:themeColor="text1"/>
                <w:sz w:val="28"/>
                <w:szCs w:val="28"/>
                <w:lang w:val="ro-RO"/>
              </w:rPr>
              <w:t>AGA</w:t>
            </w:r>
            <w:r w:rsidR="00EA7CE8" w:rsidRPr="00EA7CE8">
              <w:rPr>
                <w:rFonts w:ascii="Times New Roman" w:eastAsia="Times New Roman" w:hAnsi="Times New Roman" w:cs="Times New Roman"/>
                <w:color w:val="000000" w:themeColor="text1"/>
                <w:sz w:val="28"/>
                <w:szCs w:val="28"/>
                <w:lang w:val="ro-RO"/>
              </w:rPr>
              <w:t>)</w:t>
            </w:r>
            <w:r w:rsidR="00F402C1" w:rsidRPr="00EA7CE8">
              <w:rPr>
                <w:rFonts w:ascii="Times New Roman" w:eastAsia="Times New Roman" w:hAnsi="Times New Roman" w:cs="Times New Roman"/>
                <w:color w:val="000000" w:themeColor="text1"/>
                <w:sz w:val="28"/>
                <w:szCs w:val="28"/>
                <w:lang w:val="ro-RO"/>
              </w:rPr>
              <w:t>,</w:t>
            </w:r>
            <w:r w:rsidR="00EA7CE8">
              <w:rPr>
                <w:rFonts w:ascii="Times New Roman" w:eastAsia="Times New Roman" w:hAnsi="Times New Roman" w:cs="Times New Roman"/>
                <w:color w:val="000000" w:themeColor="text1"/>
                <w:sz w:val="28"/>
                <w:szCs w:val="28"/>
                <w:lang w:val="ro-RO"/>
              </w:rPr>
              <w:t xml:space="preserve"> cu indicarea expresă a normelor ce urmează a fi utilizate,</w:t>
            </w:r>
          </w:p>
          <w:p w:rsidR="00401C43" w:rsidRPr="00EA7CE8" w:rsidRDefault="00EC4C76" w:rsidP="000C4BEA">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sidRPr="00EA7CE8">
              <w:rPr>
                <w:rFonts w:ascii="Times New Roman" w:eastAsia="Times New Roman" w:hAnsi="Times New Roman" w:cs="Times New Roman"/>
                <w:color w:val="000000" w:themeColor="text1"/>
                <w:sz w:val="28"/>
                <w:szCs w:val="28"/>
                <w:lang w:val="ro-RO"/>
              </w:rPr>
              <w:t xml:space="preserve">art.77, completat cu </w:t>
            </w:r>
            <w:r w:rsidR="00F402C1" w:rsidRPr="00EA7CE8">
              <w:rPr>
                <w:rFonts w:ascii="Times New Roman" w:eastAsia="Times New Roman" w:hAnsi="Times New Roman" w:cs="Times New Roman"/>
                <w:color w:val="000000" w:themeColor="text1"/>
                <w:sz w:val="28"/>
                <w:szCs w:val="28"/>
                <w:lang w:val="ro-RO"/>
              </w:rPr>
              <w:t xml:space="preserve">mai multă certitudine la nivel de cazuri de achiziționare, preț de achiziționare, </w:t>
            </w:r>
            <w:r w:rsidR="00401C43" w:rsidRPr="00EA7CE8">
              <w:rPr>
                <w:rFonts w:ascii="Times New Roman" w:eastAsia="Times New Roman" w:hAnsi="Times New Roman" w:cs="Times New Roman"/>
                <w:color w:val="000000" w:themeColor="text1"/>
                <w:sz w:val="28"/>
                <w:szCs w:val="28"/>
                <w:lang w:val="ro-RO"/>
              </w:rPr>
              <w:t>data producerii evenimentul</w:t>
            </w:r>
            <w:r w:rsidR="00E70962" w:rsidRPr="00EA7CE8">
              <w:rPr>
                <w:rFonts w:ascii="Times New Roman" w:eastAsia="Times New Roman" w:hAnsi="Times New Roman" w:cs="Times New Roman"/>
                <w:color w:val="000000" w:themeColor="text1"/>
                <w:sz w:val="28"/>
                <w:szCs w:val="28"/>
                <w:lang w:val="ro-RO"/>
              </w:rPr>
              <w:t>ui care condiționează</w:t>
            </w:r>
            <w:r w:rsidR="00401C43" w:rsidRPr="00EA7CE8">
              <w:rPr>
                <w:rFonts w:ascii="Times New Roman" w:eastAsia="Times New Roman" w:hAnsi="Times New Roman" w:cs="Times New Roman"/>
                <w:color w:val="000000" w:themeColor="text1"/>
                <w:sz w:val="28"/>
                <w:szCs w:val="28"/>
                <w:lang w:val="ro-RO"/>
              </w:rPr>
              <w:t xml:space="preserve"> achiziționarea,</w:t>
            </w:r>
          </w:p>
          <w:p w:rsidR="00EC4C76" w:rsidRPr="00E001A0" w:rsidRDefault="00EC4C76" w:rsidP="00EC4C76">
            <w:pPr>
              <w:pStyle w:val="ad"/>
              <w:numPr>
                <w:ilvl w:val="0"/>
                <w:numId w:val="24"/>
              </w:numPr>
              <w:tabs>
                <w:tab w:val="left" w:pos="164"/>
              </w:tabs>
              <w:ind w:left="0" w:firstLine="22"/>
              <w:jc w:val="both"/>
              <w:rPr>
                <w:rFonts w:ascii="Times New Roman" w:eastAsia="Times New Roman" w:hAnsi="Times New Roman" w:cs="Times New Roman"/>
                <w:color w:val="000000" w:themeColor="text1"/>
                <w:sz w:val="28"/>
                <w:szCs w:val="28"/>
                <w:lang w:val="ro-RO"/>
              </w:rPr>
            </w:pPr>
            <w:r w:rsidRPr="00E001A0">
              <w:rPr>
                <w:rFonts w:ascii="Times New Roman" w:eastAsia="Times New Roman" w:hAnsi="Times New Roman" w:cs="Times New Roman"/>
                <w:color w:val="000000" w:themeColor="text1"/>
                <w:sz w:val="28"/>
                <w:szCs w:val="28"/>
                <w:lang w:val="ro-RO"/>
              </w:rPr>
              <w:t xml:space="preserve">art.84, modificat în vederea uniformizării terminologiei de </w:t>
            </w:r>
            <w:r w:rsidRPr="00E001A0">
              <w:rPr>
                <w:rFonts w:ascii="Times New Roman" w:eastAsia="Times New Roman" w:hAnsi="Times New Roman" w:cs="Times New Roman"/>
                <w:i/>
                <w:color w:val="000000" w:themeColor="text1"/>
                <w:sz w:val="28"/>
                <w:szCs w:val="28"/>
                <w:lang w:val="ro-RO"/>
              </w:rPr>
              <w:t>achiziționare</w:t>
            </w:r>
            <w:r w:rsidRPr="00E001A0">
              <w:rPr>
                <w:rFonts w:ascii="Times New Roman" w:eastAsia="Times New Roman" w:hAnsi="Times New Roman" w:cs="Times New Roman"/>
                <w:color w:val="000000" w:themeColor="text1"/>
                <w:sz w:val="28"/>
                <w:szCs w:val="28"/>
                <w:lang w:val="ro-RO"/>
              </w:rPr>
              <w:t xml:space="preserve"> a valorilor mobiliare ale societății, </w:t>
            </w:r>
          </w:p>
          <w:p w:rsidR="00EC4C76" w:rsidRPr="0067403E" w:rsidRDefault="00EC4C76" w:rsidP="00EC4C76">
            <w:pPr>
              <w:pStyle w:val="ad"/>
              <w:numPr>
                <w:ilvl w:val="0"/>
                <w:numId w:val="24"/>
              </w:numPr>
              <w:tabs>
                <w:tab w:val="left" w:pos="164"/>
              </w:tabs>
              <w:ind w:left="0" w:firstLine="22"/>
              <w:jc w:val="both"/>
              <w:rPr>
                <w:rFonts w:ascii="Times New Roman" w:eastAsia="Times New Roman" w:hAnsi="Times New Roman" w:cs="Times New Roman"/>
                <w:sz w:val="28"/>
                <w:szCs w:val="28"/>
                <w:lang w:val="ro-RO"/>
              </w:rPr>
            </w:pPr>
            <w:r w:rsidRPr="00E001A0">
              <w:rPr>
                <w:rFonts w:ascii="Times New Roman" w:eastAsia="Times New Roman" w:hAnsi="Times New Roman" w:cs="Times New Roman"/>
                <w:color w:val="000000" w:themeColor="text1"/>
                <w:sz w:val="28"/>
                <w:szCs w:val="28"/>
                <w:lang w:val="ro-RO"/>
              </w:rPr>
              <w:t>art.91, modificat cu scopul de a ridica nivelul de transparență al soc</w:t>
            </w:r>
            <w:r w:rsidR="00E70962">
              <w:rPr>
                <w:rFonts w:ascii="Times New Roman" w:eastAsia="Times New Roman" w:hAnsi="Times New Roman" w:cs="Times New Roman"/>
                <w:color w:val="000000" w:themeColor="text1"/>
                <w:sz w:val="28"/>
                <w:szCs w:val="28"/>
                <w:lang w:val="ro-RO"/>
              </w:rPr>
              <w:t>ietății în raport cu acționarii și eliminării incertitudinilor în aplicare,</w:t>
            </w:r>
          </w:p>
          <w:p w:rsidR="0067403E" w:rsidRPr="00E001A0" w:rsidRDefault="0067403E" w:rsidP="00EC4C76">
            <w:pPr>
              <w:pStyle w:val="ad"/>
              <w:numPr>
                <w:ilvl w:val="0"/>
                <w:numId w:val="24"/>
              </w:numPr>
              <w:tabs>
                <w:tab w:val="left" w:pos="164"/>
              </w:tabs>
              <w:ind w:left="0" w:firstLine="22"/>
              <w:jc w:val="both"/>
              <w:rPr>
                <w:rFonts w:ascii="Times New Roman" w:eastAsia="Times New Roman" w:hAnsi="Times New Roman" w:cs="Times New Roman"/>
                <w:sz w:val="28"/>
                <w:szCs w:val="28"/>
                <w:lang w:val="ro-RO"/>
              </w:rPr>
            </w:pPr>
            <w:r>
              <w:rPr>
                <w:rFonts w:ascii="Times New Roman" w:eastAsia="Times New Roman" w:hAnsi="Times New Roman" w:cs="Times New Roman"/>
                <w:color w:val="000000" w:themeColor="text1"/>
                <w:sz w:val="28"/>
                <w:szCs w:val="28"/>
                <w:lang w:val="ro-RO"/>
              </w:rPr>
              <w:t xml:space="preserve">art.92, modificat pentru a reda o certitudine mai clară </w:t>
            </w:r>
            <w:r w:rsidR="00E70962">
              <w:rPr>
                <w:rFonts w:ascii="Times New Roman" w:eastAsia="Times New Roman" w:hAnsi="Times New Roman" w:cs="Times New Roman"/>
                <w:color w:val="000000" w:themeColor="text1"/>
                <w:sz w:val="28"/>
                <w:szCs w:val="28"/>
                <w:lang w:val="ro-RO"/>
              </w:rPr>
              <w:t xml:space="preserve">și exclude eroarea în expunere </w:t>
            </w:r>
            <w:r>
              <w:rPr>
                <w:rFonts w:ascii="Times New Roman" w:eastAsia="Times New Roman" w:hAnsi="Times New Roman" w:cs="Times New Roman"/>
                <w:color w:val="000000" w:themeColor="text1"/>
                <w:sz w:val="28"/>
                <w:szCs w:val="28"/>
                <w:lang w:val="ro-RO"/>
              </w:rPr>
              <w:t>în raport cu actele care trebuie depuse de emitenți la înregistrarea de stat a reorganizării.</w:t>
            </w:r>
          </w:p>
          <w:p w:rsidR="00B77638" w:rsidRPr="00B77638" w:rsidRDefault="00C56102" w:rsidP="00B77638">
            <w:pPr>
              <w:pStyle w:val="ad"/>
              <w:tabs>
                <w:tab w:val="left" w:pos="306"/>
                <w:tab w:val="left" w:pos="375"/>
              </w:tabs>
              <w:ind w:left="22"/>
              <w:jc w:val="both"/>
              <w:rPr>
                <w:rFonts w:ascii="Times New Roman" w:eastAsia="Times New Roman" w:hAnsi="Times New Roman" w:cs="Times New Roman"/>
                <w:color w:val="000000" w:themeColor="text1"/>
                <w:sz w:val="28"/>
                <w:szCs w:val="28"/>
                <w:lang w:val="ro-RO"/>
              </w:rPr>
            </w:pPr>
            <w:r>
              <w:rPr>
                <w:rFonts w:ascii="Times New Roman" w:hAnsi="Times New Roman" w:cs="Times New Roman"/>
                <w:b/>
                <w:sz w:val="28"/>
                <w:szCs w:val="28"/>
                <w:lang w:val="ro-RO"/>
              </w:rPr>
              <w:t>III</w:t>
            </w:r>
            <w:r w:rsidR="00B77638" w:rsidRPr="00B77638">
              <w:rPr>
                <w:rFonts w:ascii="Times New Roman" w:hAnsi="Times New Roman" w:cs="Times New Roman"/>
                <w:b/>
                <w:sz w:val="28"/>
                <w:szCs w:val="28"/>
                <w:lang w:val="ro-RO"/>
              </w:rPr>
              <w:t>.</w:t>
            </w:r>
            <w:r w:rsidR="00B77638" w:rsidRPr="00B77638">
              <w:rPr>
                <w:rFonts w:ascii="Times New Roman" w:hAnsi="Times New Roman" w:cs="Times New Roman"/>
                <w:sz w:val="28"/>
                <w:szCs w:val="28"/>
                <w:lang w:val="ro-RO"/>
              </w:rPr>
              <w:t xml:space="preserve"> De rând cu cele susmenționate,  Proiectul de lege conține inclusiv o n</w:t>
            </w:r>
            <w:r w:rsidR="00B77638">
              <w:rPr>
                <w:rFonts w:ascii="Times New Roman" w:hAnsi="Times New Roman" w:cs="Times New Roman"/>
                <w:sz w:val="28"/>
                <w:szCs w:val="28"/>
                <w:lang w:val="ro-RO"/>
              </w:rPr>
              <w:t>ormă de ajustare la prevederile</w:t>
            </w:r>
            <w:r w:rsidR="00B77638" w:rsidRPr="00B77638">
              <w:rPr>
                <w:rFonts w:ascii="Times New Roman" w:hAnsi="Times New Roman" w:cs="Times New Roman"/>
                <w:sz w:val="28"/>
                <w:szCs w:val="28"/>
                <w:lang w:val="ro-RO"/>
              </w:rPr>
              <w:t xml:space="preserve"> art.2 alin.(2) din Directiva UE nr.2017/1132 (Directivă transpusă în legislația națională, mai cu seamă în Legea nr.1134/1997) și anume includerea în denumirea societăților pe acțiuni care au ca obiect de activitate investițiile colective în valori mobiliare, a descrierii distinctive – </w:t>
            </w:r>
            <w:r w:rsidR="00B77638" w:rsidRPr="00B77638">
              <w:rPr>
                <w:rFonts w:ascii="Times New Roman" w:hAnsi="Times New Roman" w:cs="Times New Roman"/>
                <w:i/>
                <w:sz w:val="28"/>
                <w:szCs w:val="28"/>
                <w:lang w:val="ro-RO"/>
              </w:rPr>
              <w:t>companie investițională</w:t>
            </w:r>
            <w:r w:rsidR="00B77638" w:rsidRPr="00B77638">
              <w:rPr>
                <w:rFonts w:ascii="Times New Roman" w:hAnsi="Times New Roman" w:cs="Times New Roman"/>
                <w:sz w:val="28"/>
                <w:szCs w:val="28"/>
                <w:lang w:val="ro-RO"/>
              </w:rPr>
              <w:t>. Propunerea dată a fost incorporată ca amendament la Legea nr.171/2012 privind piața de capital, care reglementează activitatea pe piața de capital a acestor companii investiționale, care nu sunt altceva decât organisme de plasament colectiv în valori mobiliare constituite cu personalitate juridică.</w:t>
            </w:r>
          </w:p>
        </w:tc>
      </w:tr>
      <w:tr w:rsidR="00EC4C76" w:rsidRPr="001E3274" w:rsidTr="007D4C53">
        <w:tc>
          <w:tcPr>
            <w:tcW w:w="9776" w:type="dxa"/>
            <w:shd w:val="clear" w:color="auto" w:fill="BFBFBF"/>
          </w:tcPr>
          <w:p w:rsidR="00EC4C76" w:rsidRPr="00E001A0" w:rsidRDefault="00E7754B" w:rsidP="00E7754B">
            <w:pPr>
              <w:spacing w:after="0" w:line="240" w:lineRule="auto"/>
              <w:rPr>
                <w:rFonts w:ascii="Times New Roman" w:hAnsi="Times New Roman"/>
                <w:b/>
                <w:sz w:val="28"/>
                <w:szCs w:val="28"/>
                <w:lang w:val="ro-RO"/>
              </w:rPr>
            </w:pPr>
            <w:r>
              <w:rPr>
                <w:rFonts w:ascii="Times New Roman" w:hAnsi="Times New Roman"/>
                <w:b/>
                <w:sz w:val="28"/>
                <w:szCs w:val="28"/>
                <w:lang w:val="ro-RO"/>
              </w:rPr>
              <w:lastRenderedPageBreak/>
              <w:t>5.</w:t>
            </w:r>
            <w:r w:rsidR="00EC4C76" w:rsidRPr="00E001A0">
              <w:rPr>
                <w:rFonts w:ascii="Times New Roman" w:hAnsi="Times New Roman"/>
                <w:b/>
                <w:sz w:val="28"/>
                <w:szCs w:val="28"/>
                <w:lang w:val="ro-RO"/>
              </w:rPr>
              <w:t>Fundamentarea economico - financiară</w:t>
            </w:r>
          </w:p>
        </w:tc>
      </w:tr>
      <w:tr w:rsidR="00EC4C76" w:rsidRPr="00796D30" w:rsidTr="007D4C53">
        <w:tc>
          <w:tcPr>
            <w:tcW w:w="9776" w:type="dxa"/>
          </w:tcPr>
          <w:p w:rsidR="00EC4C76" w:rsidRPr="00B07663" w:rsidRDefault="00EC4C76" w:rsidP="00B07663">
            <w:pPr>
              <w:spacing w:after="0" w:line="240" w:lineRule="auto"/>
              <w:jc w:val="both"/>
              <w:rPr>
                <w:rFonts w:ascii="Times New Roman" w:hAnsi="Times New Roman"/>
                <w:sz w:val="28"/>
                <w:szCs w:val="28"/>
                <w:lang w:val="ro-RO"/>
              </w:rPr>
            </w:pPr>
            <w:r w:rsidRPr="00B07663">
              <w:rPr>
                <w:rFonts w:ascii="Times New Roman" w:hAnsi="Times New Roman"/>
                <w:sz w:val="28"/>
                <w:szCs w:val="28"/>
                <w:lang w:val="ro-RO"/>
              </w:rPr>
              <w:t xml:space="preserve">Implementarea Proiectului de lege nu implică cheltuieli financiare și alocarea de mijloace financiare suplimentare de la buget.  </w:t>
            </w:r>
          </w:p>
        </w:tc>
      </w:tr>
      <w:tr w:rsidR="00EC4C76" w:rsidRPr="00796D30" w:rsidTr="007D4C53">
        <w:tc>
          <w:tcPr>
            <w:tcW w:w="9776" w:type="dxa"/>
            <w:shd w:val="clear" w:color="auto" w:fill="BFBFBF"/>
          </w:tcPr>
          <w:p w:rsidR="00EC4C76" w:rsidRPr="00B07663" w:rsidRDefault="00E7754B" w:rsidP="00E7754B">
            <w:pPr>
              <w:spacing w:after="0" w:line="240" w:lineRule="auto"/>
              <w:rPr>
                <w:rFonts w:ascii="Times New Roman" w:hAnsi="Times New Roman"/>
                <w:b/>
                <w:sz w:val="28"/>
                <w:szCs w:val="28"/>
                <w:lang w:val="ro-RO"/>
              </w:rPr>
            </w:pPr>
            <w:r>
              <w:rPr>
                <w:rFonts w:ascii="Times New Roman" w:hAnsi="Times New Roman"/>
                <w:b/>
                <w:sz w:val="28"/>
                <w:szCs w:val="28"/>
                <w:lang w:val="en-US"/>
              </w:rPr>
              <w:t>6</w:t>
            </w:r>
            <w:r>
              <w:rPr>
                <w:rFonts w:ascii="Times New Roman" w:hAnsi="Times New Roman"/>
                <w:b/>
                <w:sz w:val="28"/>
                <w:szCs w:val="28"/>
                <w:lang w:val="ro-RO"/>
              </w:rPr>
              <w:t>.</w:t>
            </w:r>
            <w:r w:rsidR="00EC4C76" w:rsidRPr="00B07663">
              <w:rPr>
                <w:rFonts w:ascii="Times New Roman" w:hAnsi="Times New Roman"/>
                <w:b/>
                <w:sz w:val="28"/>
                <w:szCs w:val="28"/>
                <w:lang w:val="ro-RO"/>
              </w:rPr>
              <w:t>Modul de încorporare a actului în cadrul normativ în vigoare</w:t>
            </w:r>
          </w:p>
        </w:tc>
      </w:tr>
      <w:tr w:rsidR="00EC4C76" w:rsidRPr="00796D30" w:rsidTr="007D4C53">
        <w:trPr>
          <w:trHeight w:val="989"/>
        </w:trPr>
        <w:tc>
          <w:tcPr>
            <w:tcW w:w="9776" w:type="dxa"/>
            <w:shd w:val="clear" w:color="auto" w:fill="FFFFFF"/>
          </w:tcPr>
          <w:p w:rsidR="00EC4C76" w:rsidRPr="00E001A0" w:rsidRDefault="00EC4C76" w:rsidP="00EC4C76">
            <w:pPr>
              <w:spacing w:after="0" w:line="240" w:lineRule="auto"/>
              <w:jc w:val="both"/>
              <w:rPr>
                <w:rFonts w:ascii="Times New Roman" w:hAnsi="Times New Roman"/>
                <w:sz w:val="28"/>
                <w:szCs w:val="28"/>
                <w:lang w:val="ro-RO"/>
              </w:rPr>
            </w:pPr>
            <w:r w:rsidRPr="00E001A0">
              <w:rPr>
                <w:rFonts w:ascii="Times New Roman" w:hAnsi="Times New Roman"/>
                <w:sz w:val="28"/>
                <w:szCs w:val="28"/>
                <w:lang w:val="ro-RO"/>
              </w:rPr>
              <w:t xml:space="preserve">Proiectul de lege urmează a fi corelat cu prevederile actelor normative în vigoare, care se află în conexiune, și nu afectează concepția generală ori caracterul unitar al cadrului normativ în vigoare. </w:t>
            </w:r>
          </w:p>
        </w:tc>
      </w:tr>
      <w:tr w:rsidR="00EC4C76" w:rsidRPr="00796D30" w:rsidTr="007D4C53">
        <w:trPr>
          <w:trHeight w:val="37"/>
        </w:trPr>
        <w:tc>
          <w:tcPr>
            <w:tcW w:w="9776" w:type="dxa"/>
            <w:shd w:val="clear" w:color="auto" w:fill="BFBFBF" w:themeFill="background1" w:themeFillShade="BF"/>
          </w:tcPr>
          <w:p w:rsidR="00EC4C76" w:rsidRPr="00E001A0" w:rsidRDefault="00E7754B" w:rsidP="00E7754B">
            <w:pPr>
              <w:tabs>
                <w:tab w:val="left" w:pos="884"/>
                <w:tab w:val="left" w:pos="1196"/>
              </w:tabs>
              <w:spacing w:after="0" w:line="240" w:lineRule="auto"/>
              <w:rPr>
                <w:rFonts w:ascii="Times New Roman" w:hAnsi="Times New Roman"/>
                <w:b/>
                <w:sz w:val="28"/>
                <w:szCs w:val="28"/>
                <w:lang w:val="ro-RO"/>
              </w:rPr>
            </w:pPr>
            <w:r>
              <w:rPr>
                <w:rFonts w:ascii="Times New Roman" w:hAnsi="Times New Roman"/>
                <w:b/>
                <w:sz w:val="28"/>
                <w:szCs w:val="28"/>
                <w:lang w:val="ro-RO"/>
              </w:rPr>
              <w:t>7.</w:t>
            </w:r>
            <w:r w:rsidR="00EC4C76" w:rsidRPr="00E001A0">
              <w:rPr>
                <w:rFonts w:ascii="Times New Roman" w:hAnsi="Times New Roman"/>
                <w:b/>
                <w:sz w:val="28"/>
                <w:szCs w:val="28"/>
                <w:lang w:val="ro-RO"/>
              </w:rPr>
              <w:t>Avizarea și consultarea publică a proiectului</w:t>
            </w:r>
          </w:p>
        </w:tc>
      </w:tr>
      <w:tr w:rsidR="00EC4C76" w:rsidRPr="00796D30" w:rsidTr="007D4C53">
        <w:trPr>
          <w:trHeight w:val="619"/>
        </w:trPr>
        <w:tc>
          <w:tcPr>
            <w:tcW w:w="9776" w:type="dxa"/>
            <w:shd w:val="clear" w:color="auto" w:fill="FFFFFF"/>
          </w:tcPr>
          <w:p w:rsidR="00671849" w:rsidRPr="00671849" w:rsidRDefault="00671849" w:rsidP="00671849">
            <w:pPr>
              <w:tabs>
                <w:tab w:val="left" w:pos="884"/>
                <w:tab w:val="left" w:pos="1196"/>
              </w:tabs>
              <w:spacing w:after="0" w:line="240" w:lineRule="auto"/>
              <w:jc w:val="both"/>
              <w:rPr>
                <w:rFonts w:ascii="Times New Roman" w:hAnsi="Times New Roman"/>
                <w:sz w:val="28"/>
                <w:szCs w:val="28"/>
                <w:lang w:val="ro-RO"/>
              </w:rPr>
            </w:pPr>
            <w:r w:rsidRPr="00671849">
              <w:rPr>
                <w:rFonts w:ascii="Times New Roman" w:hAnsi="Times New Roman"/>
                <w:sz w:val="28"/>
                <w:szCs w:val="28"/>
                <w:lang w:val="ro-RO"/>
              </w:rPr>
              <w:t>Potrivit Legii nr. 239/2008 privind transparența în procesul decizional, proiectul de lege a fost plasat pe pagina web oficială a CNPF și a Ministerului Finanțelor.</w:t>
            </w:r>
          </w:p>
          <w:p w:rsidR="00EC4C76" w:rsidRPr="00E001A0" w:rsidRDefault="00671849" w:rsidP="00671849">
            <w:pPr>
              <w:tabs>
                <w:tab w:val="left" w:pos="884"/>
                <w:tab w:val="left" w:pos="1196"/>
              </w:tabs>
              <w:spacing w:after="0" w:line="240" w:lineRule="auto"/>
              <w:jc w:val="both"/>
              <w:rPr>
                <w:rFonts w:ascii="Times New Roman" w:hAnsi="Times New Roman"/>
                <w:b/>
                <w:sz w:val="28"/>
                <w:szCs w:val="28"/>
                <w:lang w:val="ro-RO"/>
              </w:rPr>
            </w:pPr>
            <w:r w:rsidRPr="00671849">
              <w:rPr>
                <w:rFonts w:ascii="Times New Roman" w:hAnsi="Times New Roman"/>
                <w:sz w:val="28"/>
                <w:szCs w:val="28"/>
                <w:lang w:val="ro-RO"/>
              </w:rPr>
              <w:t>Totodată, în conformitate cu art. 32 alin. (1)-(3) din Legea nr. 100/2017 cu privire la actele normative, proiectul de lege va fi transmis spre avizare autorităților și instituțiilor interesate și va fi supus consultărilor publice.</w:t>
            </w:r>
          </w:p>
        </w:tc>
      </w:tr>
      <w:tr w:rsidR="00EC4C76" w:rsidRPr="001E3274" w:rsidTr="007D4C53">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cPr>
          <w:p w:rsidR="00EC4C76" w:rsidRPr="00E001A0" w:rsidRDefault="00E7754B" w:rsidP="00E7754B">
            <w:pPr>
              <w:tabs>
                <w:tab w:val="left" w:pos="884"/>
                <w:tab w:val="left" w:pos="1196"/>
              </w:tabs>
              <w:spacing w:after="0" w:line="240" w:lineRule="auto"/>
              <w:rPr>
                <w:rFonts w:ascii="Times New Roman" w:hAnsi="Times New Roman"/>
                <w:b/>
                <w:sz w:val="28"/>
                <w:szCs w:val="28"/>
                <w:lang w:val="ro-RO"/>
              </w:rPr>
            </w:pPr>
            <w:r>
              <w:rPr>
                <w:rFonts w:ascii="Times New Roman" w:hAnsi="Times New Roman"/>
                <w:b/>
                <w:sz w:val="28"/>
                <w:szCs w:val="28"/>
                <w:lang w:val="ro-RO"/>
              </w:rPr>
              <w:lastRenderedPageBreak/>
              <w:t>8.</w:t>
            </w:r>
            <w:r w:rsidR="00EC4C76" w:rsidRPr="00E001A0">
              <w:rPr>
                <w:rFonts w:ascii="Times New Roman" w:hAnsi="Times New Roman"/>
                <w:b/>
                <w:sz w:val="28"/>
                <w:szCs w:val="28"/>
                <w:lang w:val="ro-RO"/>
              </w:rPr>
              <w:t>Constatările expertizei anticorupție</w:t>
            </w:r>
          </w:p>
        </w:tc>
      </w:tr>
      <w:tr w:rsidR="00EC4C76" w:rsidRPr="00796D30" w:rsidTr="007D4C53">
        <w:trPr>
          <w:trHeight w:val="270"/>
        </w:trPr>
        <w:tc>
          <w:tcPr>
            <w:tcW w:w="9776" w:type="dxa"/>
            <w:tcBorders>
              <w:top w:val="single" w:sz="2" w:space="0" w:color="000000"/>
              <w:left w:val="single" w:sz="2" w:space="0" w:color="000000"/>
              <w:bottom w:val="single" w:sz="2" w:space="0" w:color="000000"/>
              <w:right w:val="single" w:sz="2" w:space="0" w:color="000000"/>
            </w:tcBorders>
          </w:tcPr>
          <w:p w:rsidR="00EC4C76" w:rsidRPr="00E001A0" w:rsidRDefault="00EC4C76" w:rsidP="00EC4C76">
            <w:pPr>
              <w:spacing w:after="0" w:line="240" w:lineRule="auto"/>
              <w:jc w:val="both"/>
              <w:rPr>
                <w:rFonts w:ascii="Times New Roman" w:hAnsi="Times New Roman"/>
                <w:sz w:val="28"/>
                <w:szCs w:val="28"/>
                <w:lang w:val="ro-RO"/>
              </w:rPr>
            </w:pPr>
            <w:r w:rsidRPr="00E001A0">
              <w:rPr>
                <w:rFonts w:ascii="Times New Roman" w:hAnsi="Times New Roman"/>
                <w:sz w:val="28"/>
                <w:szCs w:val="28"/>
                <w:lang w:val="ro-RO"/>
              </w:rPr>
              <w:t xml:space="preserve">Potrivit art.34 alin.(1) și art.35 din Legea nr.100/2017, proiectul de lege va fi </w:t>
            </w:r>
            <w:r w:rsidR="00671849" w:rsidRPr="00796D30">
              <w:rPr>
                <w:lang w:val="en-US"/>
              </w:rPr>
              <w:t xml:space="preserve"> </w:t>
            </w:r>
            <w:r w:rsidR="00671849" w:rsidRPr="00671849">
              <w:rPr>
                <w:rFonts w:ascii="Times New Roman" w:hAnsi="Times New Roman"/>
                <w:sz w:val="28"/>
                <w:szCs w:val="28"/>
                <w:lang w:val="ro-RO"/>
              </w:rPr>
              <w:t>remis Centrului Naţional Anticorupţie pentru a fi supus expertizei anticorupție.</w:t>
            </w:r>
          </w:p>
        </w:tc>
      </w:tr>
      <w:tr w:rsidR="00EC4C76" w:rsidRPr="001E3274" w:rsidTr="007D4C53">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cPr>
          <w:p w:rsidR="00EC4C76" w:rsidRPr="00E001A0" w:rsidRDefault="00E7754B" w:rsidP="00E7754B">
            <w:pPr>
              <w:spacing w:after="0" w:line="240" w:lineRule="auto"/>
              <w:rPr>
                <w:rFonts w:ascii="Times New Roman" w:hAnsi="Times New Roman"/>
                <w:b/>
                <w:bCs/>
                <w:sz w:val="28"/>
                <w:szCs w:val="28"/>
                <w:lang w:val="ro-RO"/>
              </w:rPr>
            </w:pPr>
            <w:r>
              <w:rPr>
                <w:rFonts w:ascii="Times New Roman" w:hAnsi="Times New Roman"/>
                <w:b/>
                <w:bCs/>
                <w:sz w:val="28"/>
                <w:szCs w:val="28"/>
                <w:lang w:val="ro-RO"/>
              </w:rPr>
              <w:t>9.</w:t>
            </w:r>
            <w:r w:rsidR="00EC4C76" w:rsidRPr="00E001A0">
              <w:rPr>
                <w:rFonts w:ascii="Times New Roman" w:hAnsi="Times New Roman"/>
                <w:b/>
                <w:bCs/>
                <w:sz w:val="28"/>
                <w:szCs w:val="28"/>
                <w:lang w:val="ro-RO"/>
              </w:rPr>
              <w:t>Constatările expertizei de compatibilitate</w:t>
            </w:r>
          </w:p>
        </w:tc>
      </w:tr>
      <w:tr w:rsidR="00EC4C76" w:rsidRPr="00796D30" w:rsidTr="007D4C53">
        <w:trPr>
          <w:trHeight w:val="270"/>
        </w:trPr>
        <w:tc>
          <w:tcPr>
            <w:tcW w:w="9776" w:type="dxa"/>
            <w:tcBorders>
              <w:top w:val="single" w:sz="2" w:space="0" w:color="000000"/>
              <w:left w:val="single" w:sz="2" w:space="0" w:color="000000"/>
              <w:bottom w:val="single" w:sz="2" w:space="0" w:color="000000"/>
              <w:right w:val="single" w:sz="2" w:space="0" w:color="000000"/>
            </w:tcBorders>
          </w:tcPr>
          <w:p w:rsidR="00EC4C76" w:rsidRPr="00E001A0" w:rsidRDefault="00EC4C76" w:rsidP="00EC4C76">
            <w:pPr>
              <w:pStyle w:val="aa"/>
              <w:ind w:firstLine="0"/>
              <w:rPr>
                <w:sz w:val="28"/>
                <w:szCs w:val="28"/>
                <w:lang w:val="ro-RO"/>
              </w:rPr>
            </w:pPr>
            <w:r w:rsidRPr="00E001A0">
              <w:rPr>
                <w:sz w:val="28"/>
                <w:szCs w:val="28"/>
                <w:lang w:val="ro-RO"/>
              </w:rPr>
              <w:t>Proiectul de lege însoțit de Tabela de concordanță (întocmită conform Anexei nr.3 din Hotărârea Guvernului nr. 1171/2018), va fi expediat Centrului de armonizare a legislației în vederea efectuării expertizei de compatibilitate cu legislația Uniunii Europene, conform prevederilor art.34 alin.(1) și art.36 din Legea nr.100/2017.</w:t>
            </w:r>
          </w:p>
        </w:tc>
      </w:tr>
      <w:tr w:rsidR="00EC4C76" w:rsidRPr="003F495F" w:rsidTr="007D4C53">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C4C76" w:rsidRPr="00E001A0" w:rsidRDefault="00E7754B" w:rsidP="00E7754B">
            <w:pPr>
              <w:pStyle w:val="aa"/>
              <w:ind w:firstLine="0"/>
              <w:rPr>
                <w:sz w:val="28"/>
                <w:szCs w:val="28"/>
                <w:lang w:val="ro-RO"/>
              </w:rPr>
            </w:pPr>
            <w:r>
              <w:rPr>
                <w:b/>
                <w:sz w:val="28"/>
                <w:szCs w:val="28"/>
                <w:lang w:val="ro-RO"/>
              </w:rPr>
              <w:t>10.</w:t>
            </w:r>
            <w:r w:rsidR="00EC4C76" w:rsidRPr="00E001A0">
              <w:rPr>
                <w:b/>
                <w:sz w:val="28"/>
                <w:szCs w:val="28"/>
                <w:lang w:val="ro-RO"/>
              </w:rPr>
              <w:t>Constatările expertizei juridice</w:t>
            </w:r>
          </w:p>
        </w:tc>
      </w:tr>
      <w:tr w:rsidR="00EC4C76" w:rsidRPr="00796D30" w:rsidTr="007D4C53">
        <w:trPr>
          <w:trHeight w:val="270"/>
        </w:trPr>
        <w:tc>
          <w:tcPr>
            <w:tcW w:w="9776" w:type="dxa"/>
            <w:tcBorders>
              <w:top w:val="single" w:sz="2" w:space="0" w:color="000000"/>
              <w:left w:val="single" w:sz="2" w:space="0" w:color="000000"/>
              <w:bottom w:val="single" w:sz="2" w:space="0" w:color="000000"/>
              <w:right w:val="single" w:sz="2" w:space="0" w:color="000000"/>
            </w:tcBorders>
          </w:tcPr>
          <w:p w:rsidR="00EC4C76" w:rsidRPr="00E001A0" w:rsidRDefault="00671849" w:rsidP="00EC4C76">
            <w:pPr>
              <w:pStyle w:val="aa"/>
              <w:ind w:firstLine="0"/>
              <w:rPr>
                <w:sz w:val="28"/>
                <w:szCs w:val="28"/>
                <w:lang w:val="ro-RO"/>
              </w:rPr>
            </w:pPr>
            <w:r w:rsidRPr="00671849">
              <w:rPr>
                <w:sz w:val="28"/>
                <w:szCs w:val="28"/>
                <w:lang w:val="ro-RO"/>
              </w:rPr>
              <w:t>Potrivit art. 34 alin. (1) și art. 37 din Legea nr. 100/2017 cu privire la actele normative, proiectul de lege va fi remis Ministerului Justiției pentru a fi supus expertizei juridice.</w:t>
            </w:r>
          </w:p>
        </w:tc>
      </w:tr>
      <w:tr w:rsidR="00B07663" w:rsidRPr="00B07663" w:rsidTr="00B07663">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B07663" w:rsidRPr="00BD703F" w:rsidRDefault="00E7754B" w:rsidP="00E7754B">
            <w:pPr>
              <w:pStyle w:val="ad"/>
              <w:widowControl w:val="0"/>
              <w:ind w:right="34"/>
              <w:rPr>
                <w:rFonts w:ascii="Times New Roman" w:hAnsi="Times New Roman"/>
                <w:sz w:val="28"/>
                <w:szCs w:val="28"/>
                <w:lang w:val="ro-RO" w:eastAsia="ru-RU"/>
              </w:rPr>
            </w:pPr>
            <w:r>
              <w:rPr>
                <w:rFonts w:ascii="Times New Roman" w:hAnsi="Times New Roman"/>
                <w:b/>
                <w:bCs/>
                <w:sz w:val="28"/>
                <w:szCs w:val="28"/>
                <w:lang w:val="en-GB" w:eastAsia="ru-RU"/>
              </w:rPr>
              <w:t>11.</w:t>
            </w:r>
            <w:r w:rsidR="00B07663" w:rsidRPr="00BD703F">
              <w:rPr>
                <w:rFonts w:ascii="Times New Roman" w:hAnsi="Times New Roman"/>
                <w:b/>
                <w:bCs/>
                <w:sz w:val="28"/>
                <w:szCs w:val="28"/>
                <w:lang w:val="en-GB" w:eastAsia="ru-RU"/>
              </w:rPr>
              <w:t>Constatările altor expertize</w:t>
            </w:r>
          </w:p>
        </w:tc>
      </w:tr>
      <w:tr w:rsidR="00B07663" w:rsidRPr="00796D30" w:rsidTr="007D4C53">
        <w:trPr>
          <w:trHeight w:val="270"/>
        </w:trPr>
        <w:tc>
          <w:tcPr>
            <w:tcW w:w="9776" w:type="dxa"/>
            <w:tcBorders>
              <w:top w:val="single" w:sz="2" w:space="0" w:color="000000"/>
              <w:left w:val="single" w:sz="2" w:space="0" w:color="000000"/>
              <w:bottom w:val="single" w:sz="2" w:space="0" w:color="000000"/>
              <w:right w:val="single" w:sz="2" w:space="0" w:color="000000"/>
            </w:tcBorders>
          </w:tcPr>
          <w:p w:rsidR="00B07663" w:rsidRPr="00E001A0" w:rsidRDefault="00B07663" w:rsidP="00B07663">
            <w:pPr>
              <w:pStyle w:val="aa"/>
              <w:ind w:firstLine="0"/>
              <w:rPr>
                <w:sz w:val="28"/>
                <w:szCs w:val="28"/>
                <w:lang w:val="ro-RO"/>
              </w:rPr>
            </w:pPr>
            <w:r w:rsidRPr="00BD703F">
              <w:rPr>
                <w:bCs/>
                <w:sz w:val="28"/>
                <w:szCs w:val="26"/>
                <w:lang w:val="ro-MD"/>
              </w:rPr>
              <w:t>Conform art. 1 din Legea nr. 235/2006 cu privire la principiile de bază de reglementare a activității de întreprinzător, proiectele de acte normative din sectorul financiar bancar și nebancar sunt exceptate de la efectuarea analizei impactului de reglementare asupra activității de întreprinzător.</w:t>
            </w:r>
          </w:p>
        </w:tc>
      </w:tr>
    </w:tbl>
    <w:p w:rsidR="00C56102" w:rsidRPr="00B07663" w:rsidRDefault="00C56102" w:rsidP="007D4C53">
      <w:pPr>
        <w:pStyle w:val="ad"/>
        <w:tabs>
          <w:tab w:val="left" w:pos="284"/>
        </w:tabs>
        <w:jc w:val="both"/>
        <w:rPr>
          <w:rFonts w:ascii="Times New Roman" w:hAnsi="Times New Roman"/>
          <w:b/>
          <w:lang w:val="ro-MD"/>
        </w:rPr>
      </w:pPr>
    </w:p>
    <w:p w:rsidR="00C454C1" w:rsidRDefault="00C454C1" w:rsidP="00C454C1">
      <w:pPr>
        <w:spacing w:after="0" w:line="240" w:lineRule="auto"/>
        <w:ind w:right="-1"/>
        <w:jc w:val="right"/>
        <w:rPr>
          <w:rFonts w:ascii="Times New Roman" w:hAnsi="Times New Roman"/>
          <w:b/>
          <w:sz w:val="28"/>
          <w:szCs w:val="28"/>
          <w:lang w:val="ro-RO"/>
        </w:rPr>
      </w:pPr>
    </w:p>
    <w:p w:rsidR="00671849" w:rsidRPr="00671849" w:rsidRDefault="00796D30" w:rsidP="00796D30">
      <w:pPr>
        <w:spacing w:after="0"/>
        <w:jc w:val="center"/>
        <w:rPr>
          <w:rFonts w:ascii="Times New Roman" w:hAnsi="Times New Roman"/>
          <w:sz w:val="28"/>
          <w:szCs w:val="28"/>
          <w:lang w:val="ro-RO"/>
        </w:rPr>
      </w:pPr>
      <w:r>
        <w:rPr>
          <w:rFonts w:ascii="Times New Roman" w:hAnsi="Times New Roman"/>
          <w:b/>
          <w:sz w:val="28"/>
          <w:szCs w:val="28"/>
          <w:lang w:val="ro-RO"/>
        </w:rPr>
        <w:t xml:space="preserve">Secretar general al ministerului </w:t>
      </w:r>
      <w:r>
        <w:rPr>
          <w:rFonts w:ascii="Times New Roman" w:hAnsi="Times New Roman"/>
          <w:b/>
          <w:sz w:val="28"/>
          <w:szCs w:val="28"/>
          <w:lang w:val="ro-RO"/>
        </w:rPr>
        <w:tab/>
      </w:r>
      <w:r>
        <w:rPr>
          <w:rFonts w:ascii="Times New Roman" w:hAnsi="Times New Roman"/>
          <w:b/>
          <w:sz w:val="28"/>
          <w:szCs w:val="28"/>
          <w:lang w:val="ro-RO"/>
        </w:rPr>
        <w:tab/>
        <w:t xml:space="preserve">               </w:t>
      </w:r>
      <w:r>
        <w:rPr>
          <w:rFonts w:ascii="Times New Roman" w:hAnsi="Times New Roman"/>
          <w:b/>
          <w:sz w:val="28"/>
          <w:szCs w:val="28"/>
          <w:lang w:val="ro-RO"/>
        </w:rPr>
        <w:tab/>
        <w:t xml:space="preserve">   </w:t>
      </w:r>
      <w:bookmarkStart w:id="0" w:name="_GoBack"/>
      <w:bookmarkEnd w:id="0"/>
      <w:r>
        <w:rPr>
          <w:rFonts w:ascii="Times New Roman" w:hAnsi="Times New Roman"/>
          <w:b/>
          <w:sz w:val="28"/>
          <w:szCs w:val="28"/>
          <w:lang w:val="ro-RO"/>
        </w:rPr>
        <w:t>Dina Roșca</w:t>
      </w:r>
    </w:p>
    <w:p w:rsidR="00C454C1" w:rsidRPr="00822D60" w:rsidRDefault="00C454C1" w:rsidP="00796D30">
      <w:pPr>
        <w:pStyle w:val="ad"/>
        <w:tabs>
          <w:tab w:val="left" w:pos="284"/>
        </w:tabs>
        <w:jc w:val="center"/>
        <w:rPr>
          <w:rFonts w:ascii="Times New Roman" w:hAnsi="Times New Roman"/>
          <w:b/>
          <w:lang w:val="ro-RO"/>
        </w:rPr>
      </w:pPr>
    </w:p>
    <w:sectPr w:rsidR="00C454C1" w:rsidRPr="00822D60" w:rsidSect="00C454C1">
      <w:pgSz w:w="11906" w:h="16838" w:code="9"/>
      <w:pgMar w:top="709" w:right="849"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2F" w:rsidRDefault="004B692F" w:rsidP="000769AB">
      <w:pPr>
        <w:spacing w:after="0" w:line="240" w:lineRule="auto"/>
      </w:pPr>
      <w:r>
        <w:separator/>
      </w:r>
    </w:p>
  </w:endnote>
  <w:endnote w:type="continuationSeparator" w:id="0">
    <w:p w:rsidR="004B692F" w:rsidRDefault="004B692F" w:rsidP="0007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2F" w:rsidRDefault="004B692F" w:rsidP="000769AB">
      <w:pPr>
        <w:spacing w:after="0" w:line="240" w:lineRule="auto"/>
      </w:pPr>
      <w:r>
        <w:separator/>
      </w:r>
    </w:p>
  </w:footnote>
  <w:footnote w:type="continuationSeparator" w:id="0">
    <w:p w:rsidR="004B692F" w:rsidRDefault="004B692F" w:rsidP="00076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3DC"/>
    <w:multiLevelType w:val="hybridMultilevel"/>
    <w:tmpl w:val="74C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4130"/>
    <w:multiLevelType w:val="hybridMultilevel"/>
    <w:tmpl w:val="EEE446E6"/>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D18E4"/>
    <w:multiLevelType w:val="hybridMultilevel"/>
    <w:tmpl w:val="3F0C353C"/>
    <w:lvl w:ilvl="0" w:tplc="91C47CDA">
      <w:start w:val="1"/>
      <w:numFmt w:val="decimal"/>
      <w:lvlText w:val="%1)"/>
      <w:lvlJc w:val="left"/>
      <w:pPr>
        <w:ind w:left="382" w:hanging="360"/>
      </w:pPr>
      <w:rPr>
        <w:rFonts w:eastAsia="Times New Roman"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3" w15:restartNumberingAfterBreak="0">
    <w:nsid w:val="09D15806"/>
    <w:multiLevelType w:val="hybridMultilevel"/>
    <w:tmpl w:val="1C98517A"/>
    <w:lvl w:ilvl="0" w:tplc="270086F0">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D3868"/>
    <w:multiLevelType w:val="hybridMultilevel"/>
    <w:tmpl w:val="09F09F02"/>
    <w:lvl w:ilvl="0" w:tplc="7B10A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73E17"/>
    <w:multiLevelType w:val="hybridMultilevel"/>
    <w:tmpl w:val="8014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51476"/>
    <w:multiLevelType w:val="hybridMultilevel"/>
    <w:tmpl w:val="2696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D59DD"/>
    <w:multiLevelType w:val="hybridMultilevel"/>
    <w:tmpl w:val="1436AE30"/>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73E51"/>
    <w:multiLevelType w:val="hybridMultilevel"/>
    <w:tmpl w:val="83BE96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45562"/>
    <w:multiLevelType w:val="hybridMultilevel"/>
    <w:tmpl w:val="AB4E76F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17A82B99"/>
    <w:multiLevelType w:val="multilevel"/>
    <w:tmpl w:val="AB42A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F4477A"/>
    <w:multiLevelType w:val="hybridMultilevel"/>
    <w:tmpl w:val="0CDE13BE"/>
    <w:lvl w:ilvl="0" w:tplc="75E2CB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D1247"/>
    <w:multiLevelType w:val="hybridMultilevel"/>
    <w:tmpl w:val="68225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762C2"/>
    <w:multiLevelType w:val="hybridMultilevel"/>
    <w:tmpl w:val="F726F774"/>
    <w:lvl w:ilvl="0" w:tplc="B6C64D12">
      <w:start w:val="3"/>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4" w15:restartNumberingAfterBreak="0">
    <w:nsid w:val="2B355BEF"/>
    <w:multiLevelType w:val="hybridMultilevel"/>
    <w:tmpl w:val="E2742D08"/>
    <w:lvl w:ilvl="0" w:tplc="DB9A2170">
      <w:start w:val="3"/>
      <w:numFmt w:val="upperRoman"/>
      <w:lvlText w:val="%1."/>
      <w:lvlJc w:val="left"/>
      <w:pPr>
        <w:ind w:left="1102" w:hanging="72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5" w15:restartNumberingAfterBreak="0">
    <w:nsid w:val="2D100CB4"/>
    <w:multiLevelType w:val="hybridMultilevel"/>
    <w:tmpl w:val="FAD6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47DA9"/>
    <w:multiLevelType w:val="hybridMultilevel"/>
    <w:tmpl w:val="05F4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53505"/>
    <w:multiLevelType w:val="hybridMultilevel"/>
    <w:tmpl w:val="41D61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D56D9"/>
    <w:multiLevelType w:val="hybridMultilevel"/>
    <w:tmpl w:val="3BBABFE0"/>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9" w15:restartNumberingAfterBreak="0">
    <w:nsid w:val="355B1995"/>
    <w:multiLevelType w:val="hybridMultilevel"/>
    <w:tmpl w:val="35E62996"/>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0" w15:restartNumberingAfterBreak="0">
    <w:nsid w:val="414D5DD9"/>
    <w:multiLevelType w:val="hybridMultilevel"/>
    <w:tmpl w:val="13921A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6335124"/>
    <w:multiLevelType w:val="multilevel"/>
    <w:tmpl w:val="40D6D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3D4F25"/>
    <w:multiLevelType w:val="hybridMultilevel"/>
    <w:tmpl w:val="4E904D4E"/>
    <w:lvl w:ilvl="0" w:tplc="8A8804AA">
      <w:start w:val="2"/>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3" w15:restartNumberingAfterBreak="0">
    <w:nsid w:val="48260C67"/>
    <w:multiLevelType w:val="hybridMultilevel"/>
    <w:tmpl w:val="AB2E9A68"/>
    <w:lvl w:ilvl="0" w:tplc="04090015">
      <w:start w:val="1"/>
      <w:numFmt w:val="upperLetter"/>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A394299"/>
    <w:multiLevelType w:val="hybridMultilevel"/>
    <w:tmpl w:val="627EF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8D37D6"/>
    <w:multiLevelType w:val="hybridMultilevel"/>
    <w:tmpl w:val="B0A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25555"/>
    <w:multiLevelType w:val="hybridMultilevel"/>
    <w:tmpl w:val="DC508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536C9F"/>
    <w:multiLevelType w:val="hybridMultilevel"/>
    <w:tmpl w:val="4E80F656"/>
    <w:lvl w:ilvl="0" w:tplc="B50E660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4F7332"/>
    <w:multiLevelType w:val="hybridMultilevel"/>
    <w:tmpl w:val="2E0A8522"/>
    <w:lvl w:ilvl="0" w:tplc="D3E0F2A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00B1E"/>
    <w:multiLevelType w:val="hybridMultilevel"/>
    <w:tmpl w:val="4D9A9220"/>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30" w15:restartNumberingAfterBreak="0">
    <w:nsid w:val="5FB3231E"/>
    <w:multiLevelType w:val="hybridMultilevel"/>
    <w:tmpl w:val="DDE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415C1"/>
    <w:multiLevelType w:val="hybridMultilevel"/>
    <w:tmpl w:val="881AB39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75AD42F3"/>
    <w:multiLevelType w:val="hybridMultilevel"/>
    <w:tmpl w:val="57607542"/>
    <w:lvl w:ilvl="0" w:tplc="D0DAE098">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27"/>
  </w:num>
  <w:num w:numId="4">
    <w:abstractNumId w:val="15"/>
  </w:num>
  <w:num w:numId="5">
    <w:abstractNumId w:val="31"/>
  </w:num>
  <w:num w:numId="6">
    <w:abstractNumId w:val="10"/>
  </w:num>
  <w:num w:numId="7">
    <w:abstractNumId w:val="21"/>
  </w:num>
  <w:num w:numId="8">
    <w:abstractNumId w:val="6"/>
  </w:num>
  <w:num w:numId="9">
    <w:abstractNumId w:val="5"/>
  </w:num>
  <w:num w:numId="10">
    <w:abstractNumId w:val="28"/>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3"/>
  </w:num>
  <w:num w:numId="16">
    <w:abstractNumId w:val="11"/>
  </w:num>
  <w:num w:numId="17">
    <w:abstractNumId w:val="4"/>
  </w:num>
  <w:num w:numId="18">
    <w:abstractNumId w:val="24"/>
  </w:num>
  <w:num w:numId="19">
    <w:abstractNumId w:val="26"/>
  </w:num>
  <w:num w:numId="20">
    <w:abstractNumId w:val="23"/>
  </w:num>
  <w:num w:numId="21">
    <w:abstractNumId w:val="25"/>
  </w:num>
  <w:num w:numId="22">
    <w:abstractNumId w:val="30"/>
  </w:num>
  <w:num w:numId="23">
    <w:abstractNumId w:val="29"/>
  </w:num>
  <w:num w:numId="24">
    <w:abstractNumId w:val="13"/>
  </w:num>
  <w:num w:numId="25">
    <w:abstractNumId w:val="12"/>
  </w:num>
  <w:num w:numId="26">
    <w:abstractNumId w:val="2"/>
  </w:num>
  <w:num w:numId="27">
    <w:abstractNumId w:val="9"/>
  </w:num>
  <w:num w:numId="28">
    <w:abstractNumId w:val="32"/>
  </w:num>
  <w:num w:numId="29">
    <w:abstractNumId w:val="19"/>
  </w:num>
  <w:num w:numId="30">
    <w:abstractNumId w:val="16"/>
  </w:num>
  <w:num w:numId="31">
    <w:abstractNumId w:val="22"/>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6A"/>
    <w:rsid w:val="000004B3"/>
    <w:rsid w:val="000028EC"/>
    <w:rsid w:val="00012A35"/>
    <w:rsid w:val="00016769"/>
    <w:rsid w:val="00026471"/>
    <w:rsid w:val="00050325"/>
    <w:rsid w:val="00050560"/>
    <w:rsid w:val="00053DDC"/>
    <w:rsid w:val="000569AB"/>
    <w:rsid w:val="0006071C"/>
    <w:rsid w:val="00062F95"/>
    <w:rsid w:val="0006712E"/>
    <w:rsid w:val="000720B3"/>
    <w:rsid w:val="00073430"/>
    <w:rsid w:val="000769AB"/>
    <w:rsid w:val="00081A7C"/>
    <w:rsid w:val="00086882"/>
    <w:rsid w:val="00087C38"/>
    <w:rsid w:val="00087FB8"/>
    <w:rsid w:val="00091ABE"/>
    <w:rsid w:val="000A3019"/>
    <w:rsid w:val="000A5909"/>
    <w:rsid w:val="000A7314"/>
    <w:rsid w:val="000A7FD6"/>
    <w:rsid w:val="000B5252"/>
    <w:rsid w:val="000B5299"/>
    <w:rsid w:val="000C0A7B"/>
    <w:rsid w:val="000D0C83"/>
    <w:rsid w:val="000E01FC"/>
    <w:rsid w:val="000F4196"/>
    <w:rsid w:val="00105007"/>
    <w:rsid w:val="001056F0"/>
    <w:rsid w:val="00110D2A"/>
    <w:rsid w:val="00111943"/>
    <w:rsid w:val="001218D7"/>
    <w:rsid w:val="00132E03"/>
    <w:rsid w:val="001350C2"/>
    <w:rsid w:val="00135576"/>
    <w:rsid w:val="00135E31"/>
    <w:rsid w:val="00137A77"/>
    <w:rsid w:val="00146B93"/>
    <w:rsid w:val="00147C10"/>
    <w:rsid w:val="00150D06"/>
    <w:rsid w:val="0015608A"/>
    <w:rsid w:val="0016197E"/>
    <w:rsid w:val="00162E13"/>
    <w:rsid w:val="00170A87"/>
    <w:rsid w:val="00171C6E"/>
    <w:rsid w:val="0017399B"/>
    <w:rsid w:val="00183AA2"/>
    <w:rsid w:val="001849CF"/>
    <w:rsid w:val="00186657"/>
    <w:rsid w:val="0019022C"/>
    <w:rsid w:val="0019040B"/>
    <w:rsid w:val="001920E6"/>
    <w:rsid w:val="001A5224"/>
    <w:rsid w:val="001B3603"/>
    <w:rsid w:val="001C1251"/>
    <w:rsid w:val="001C5135"/>
    <w:rsid w:val="001C790C"/>
    <w:rsid w:val="001D3F3C"/>
    <w:rsid w:val="001D6FE2"/>
    <w:rsid w:val="001D738D"/>
    <w:rsid w:val="001D75FC"/>
    <w:rsid w:val="001E3274"/>
    <w:rsid w:val="001E4407"/>
    <w:rsid w:val="001F3A8B"/>
    <w:rsid w:val="001F5F99"/>
    <w:rsid w:val="00205C0D"/>
    <w:rsid w:val="00211A55"/>
    <w:rsid w:val="00215790"/>
    <w:rsid w:val="002203DD"/>
    <w:rsid w:val="00221450"/>
    <w:rsid w:val="002247E2"/>
    <w:rsid w:val="00230F34"/>
    <w:rsid w:val="00230FA5"/>
    <w:rsid w:val="00241304"/>
    <w:rsid w:val="00243F90"/>
    <w:rsid w:val="0025358B"/>
    <w:rsid w:val="002614DD"/>
    <w:rsid w:val="00261635"/>
    <w:rsid w:val="00270EDB"/>
    <w:rsid w:val="002774DB"/>
    <w:rsid w:val="00277624"/>
    <w:rsid w:val="00280075"/>
    <w:rsid w:val="002806A9"/>
    <w:rsid w:val="002854DB"/>
    <w:rsid w:val="002934AE"/>
    <w:rsid w:val="002942D9"/>
    <w:rsid w:val="0029434D"/>
    <w:rsid w:val="0029526F"/>
    <w:rsid w:val="002A615F"/>
    <w:rsid w:val="002B1231"/>
    <w:rsid w:val="002B3149"/>
    <w:rsid w:val="002B3293"/>
    <w:rsid w:val="002B5CD9"/>
    <w:rsid w:val="002C0AA4"/>
    <w:rsid w:val="002D016E"/>
    <w:rsid w:val="002D2559"/>
    <w:rsid w:val="002D4F28"/>
    <w:rsid w:val="002E1035"/>
    <w:rsid w:val="002F44E6"/>
    <w:rsid w:val="002F6685"/>
    <w:rsid w:val="00302C50"/>
    <w:rsid w:val="00302D12"/>
    <w:rsid w:val="00302D4E"/>
    <w:rsid w:val="00304C6D"/>
    <w:rsid w:val="00310F43"/>
    <w:rsid w:val="00312A6D"/>
    <w:rsid w:val="00315EA0"/>
    <w:rsid w:val="00320155"/>
    <w:rsid w:val="003241F3"/>
    <w:rsid w:val="003251DF"/>
    <w:rsid w:val="00325527"/>
    <w:rsid w:val="00327C61"/>
    <w:rsid w:val="00330C19"/>
    <w:rsid w:val="00332A5D"/>
    <w:rsid w:val="0033301D"/>
    <w:rsid w:val="00334FD0"/>
    <w:rsid w:val="003372D4"/>
    <w:rsid w:val="00343AF6"/>
    <w:rsid w:val="00344424"/>
    <w:rsid w:val="0034562E"/>
    <w:rsid w:val="003464B3"/>
    <w:rsid w:val="00360DD7"/>
    <w:rsid w:val="00362FA8"/>
    <w:rsid w:val="00367850"/>
    <w:rsid w:val="00372D24"/>
    <w:rsid w:val="00380EEF"/>
    <w:rsid w:val="003816AF"/>
    <w:rsid w:val="00382A87"/>
    <w:rsid w:val="00387609"/>
    <w:rsid w:val="00387976"/>
    <w:rsid w:val="0039471F"/>
    <w:rsid w:val="00394B3A"/>
    <w:rsid w:val="00395F26"/>
    <w:rsid w:val="003A2D45"/>
    <w:rsid w:val="003A3B28"/>
    <w:rsid w:val="003A7FD1"/>
    <w:rsid w:val="003B70E9"/>
    <w:rsid w:val="003C02D6"/>
    <w:rsid w:val="003C4277"/>
    <w:rsid w:val="003C495A"/>
    <w:rsid w:val="003C5804"/>
    <w:rsid w:val="003C59DE"/>
    <w:rsid w:val="003D1990"/>
    <w:rsid w:val="003E141F"/>
    <w:rsid w:val="003E1438"/>
    <w:rsid w:val="003E160F"/>
    <w:rsid w:val="003E2658"/>
    <w:rsid w:val="003E2A8A"/>
    <w:rsid w:val="003E5349"/>
    <w:rsid w:val="003E75AD"/>
    <w:rsid w:val="003F0863"/>
    <w:rsid w:val="003F48BD"/>
    <w:rsid w:val="003F495F"/>
    <w:rsid w:val="003F7AF2"/>
    <w:rsid w:val="00401C43"/>
    <w:rsid w:val="00410152"/>
    <w:rsid w:val="00414AE1"/>
    <w:rsid w:val="00420347"/>
    <w:rsid w:val="00441A8D"/>
    <w:rsid w:val="00442210"/>
    <w:rsid w:val="00453147"/>
    <w:rsid w:val="00456F99"/>
    <w:rsid w:val="004573CF"/>
    <w:rsid w:val="00463E37"/>
    <w:rsid w:val="00465BA1"/>
    <w:rsid w:val="00465C2D"/>
    <w:rsid w:val="00466C46"/>
    <w:rsid w:val="004703C7"/>
    <w:rsid w:val="004730B4"/>
    <w:rsid w:val="004763F8"/>
    <w:rsid w:val="0048216A"/>
    <w:rsid w:val="00483D01"/>
    <w:rsid w:val="00484E31"/>
    <w:rsid w:val="00486A94"/>
    <w:rsid w:val="004A6036"/>
    <w:rsid w:val="004B5EF3"/>
    <w:rsid w:val="004B692F"/>
    <w:rsid w:val="004C060A"/>
    <w:rsid w:val="004C1057"/>
    <w:rsid w:val="004C4254"/>
    <w:rsid w:val="004C637C"/>
    <w:rsid w:val="004E18BB"/>
    <w:rsid w:val="004E1952"/>
    <w:rsid w:val="004E6AA8"/>
    <w:rsid w:val="004F5E1A"/>
    <w:rsid w:val="004F666A"/>
    <w:rsid w:val="005116BF"/>
    <w:rsid w:val="005221BB"/>
    <w:rsid w:val="00526DCA"/>
    <w:rsid w:val="0053315A"/>
    <w:rsid w:val="00535F8E"/>
    <w:rsid w:val="005377AD"/>
    <w:rsid w:val="00541851"/>
    <w:rsid w:val="00546655"/>
    <w:rsid w:val="00553D71"/>
    <w:rsid w:val="005550A3"/>
    <w:rsid w:val="00556539"/>
    <w:rsid w:val="00556A7A"/>
    <w:rsid w:val="00556FB2"/>
    <w:rsid w:val="00573455"/>
    <w:rsid w:val="005806CD"/>
    <w:rsid w:val="00583BD8"/>
    <w:rsid w:val="00585A85"/>
    <w:rsid w:val="005908F4"/>
    <w:rsid w:val="0059168A"/>
    <w:rsid w:val="005A3456"/>
    <w:rsid w:val="005A4158"/>
    <w:rsid w:val="005A5B2A"/>
    <w:rsid w:val="005A5C80"/>
    <w:rsid w:val="005B0D0A"/>
    <w:rsid w:val="005B269C"/>
    <w:rsid w:val="005B3486"/>
    <w:rsid w:val="005B4EAE"/>
    <w:rsid w:val="005C04E5"/>
    <w:rsid w:val="005C32BB"/>
    <w:rsid w:val="005C6114"/>
    <w:rsid w:val="005D0A2D"/>
    <w:rsid w:val="005E3652"/>
    <w:rsid w:val="005E43A9"/>
    <w:rsid w:val="005E5E1C"/>
    <w:rsid w:val="005F2D73"/>
    <w:rsid w:val="005F2F02"/>
    <w:rsid w:val="00601FE4"/>
    <w:rsid w:val="00603F62"/>
    <w:rsid w:val="00604C0B"/>
    <w:rsid w:val="00605208"/>
    <w:rsid w:val="006068FD"/>
    <w:rsid w:val="006121DD"/>
    <w:rsid w:val="00613683"/>
    <w:rsid w:val="006144AB"/>
    <w:rsid w:val="006177CC"/>
    <w:rsid w:val="006304CF"/>
    <w:rsid w:val="0063572B"/>
    <w:rsid w:val="00636A2A"/>
    <w:rsid w:val="006430DD"/>
    <w:rsid w:val="00644B83"/>
    <w:rsid w:val="00655064"/>
    <w:rsid w:val="006551A9"/>
    <w:rsid w:val="0066019F"/>
    <w:rsid w:val="006625A5"/>
    <w:rsid w:val="00666104"/>
    <w:rsid w:val="00670C95"/>
    <w:rsid w:val="00671849"/>
    <w:rsid w:val="00672CB9"/>
    <w:rsid w:val="0067403E"/>
    <w:rsid w:val="00675E6D"/>
    <w:rsid w:val="00681274"/>
    <w:rsid w:val="006848C9"/>
    <w:rsid w:val="00694DB8"/>
    <w:rsid w:val="006960F1"/>
    <w:rsid w:val="006A06A1"/>
    <w:rsid w:val="006A0B40"/>
    <w:rsid w:val="006A699D"/>
    <w:rsid w:val="006A7266"/>
    <w:rsid w:val="006A762A"/>
    <w:rsid w:val="006C0C10"/>
    <w:rsid w:val="006C0F05"/>
    <w:rsid w:val="006C2C0E"/>
    <w:rsid w:val="006D503D"/>
    <w:rsid w:val="006E14E2"/>
    <w:rsid w:val="006E7974"/>
    <w:rsid w:val="006E7FC3"/>
    <w:rsid w:val="006F11B0"/>
    <w:rsid w:val="006F4D34"/>
    <w:rsid w:val="006F5545"/>
    <w:rsid w:val="0070420C"/>
    <w:rsid w:val="007107B7"/>
    <w:rsid w:val="0071245F"/>
    <w:rsid w:val="0071439E"/>
    <w:rsid w:val="00716318"/>
    <w:rsid w:val="00720903"/>
    <w:rsid w:val="00721441"/>
    <w:rsid w:val="007227CC"/>
    <w:rsid w:val="00734872"/>
    <w:rsid w:val="00740DB5"/>
    <w:rsid w:val="00744AC3"/>
    <w:rsid w:val="00752B89"/>
    <w:rsid w:val="00754CED"/>
    <w:rsid w:val="00776E6D"/>
    <w:rsid w:val="007831FD"/>
    <w:rsid w:val="00783245"/>
    <w:rsid w:val="00784928"/>
    <w:rsid w:val="007849DD"/>
    <w:rsid w:val="00793C13"/>
    <w:rsid w:val="0079626A"/>
    <w:rsid w:val="00796ACC"/>
    <w:rsid w:val="00796D30"/>
    <w:rsid w:val="00796F92"/>
    <w:rsid w:val="007A5804"/>
    <w:rsid w:val="007B0C93"/>
    <w:rsid w:val="007B2797"/>
    <w:rsid w:val="007C035D"/>
    <w:rsid w:val="007C0BE6"/>
    <w:rsid w:val="007C0C98"/>
    <w:rsid w:val="007C28BF"/>
    <w:rsid w:val="007D2DA0"/>
    <w:rsid w:val="007D4C53"/>
    <w:rsid w:val="007D5ADB"/>
    <w:rsid w:val="007D7C06"/>
    <w:rsid w:val="007E69EA"/>
    <w:rsid w:val="007E7BEB"/>
    <w:rsid w:val="007F1328"/>
    <w:rsid w:val="007F1337"/>
    <w:rsid w:val="007F2057"/>
    <w:rsid w:val="00800994"/>
    <w:rsid w:val="00802006"/>
    <w:rsid w:val="00804D06"/>
    <w:rsid w:val="00804D7D"/>
    <w:rsid w:val="0080613B"/>
    <w:rsid w:val="00807F46"/>
    <w:rsid w:val="00810797"/>
    <w:rsid w:val="008123A5"/>
    <w:rsid w:val="00817098"/>
    <w:rsid w:val="008178D5"/>
    <w:rsid w:val="0082106D"/>
    <w:rsid w:val="00822D60"/>
    <w:rsid w:val="00827467"/>
    <w:rsid w:val="00843713"/>
    <w:rsid w:val="008437D5"/>
    <w:rsid w:val="00850B4E"/>
    <w:rsid w:val="0085777C"/>
    <w:rsid w:val="008661A2"/>
    <w:rsid w:val="00867D1F"/>
    <w:rsid w:val="0087118A"/>
    <w:rsid w:val="008715A3"/>
    <w:rsid w:val="0088107F"/>
    <w:rsid w:val="008854C0"/>
    <w:rsid w:val="00885604"/>
    <w:rsid w:val="00891FB8"/>
    <w:rsid w:val="0089388A"/>
    <w:rsid w:val="008950A4"/>
    <w:rsid w:val="008955AD"/>
    <w:rsid w:val="008A5A93"/>
    <w:rsid w:val="008A6156"/>
    <w:rsid w:val="008B0398"/>
    <w:rsid w:val="008B03DA"/>
    <w:rsid w:val="008B11C0"/>
    <w:rsid w:val="008B3B58"/>
    <w:rsid w:val="008B7AD6"/>
    <w:rsid w:val="008C22E1"/>
    <w:rsid w:val="008C27ED"/>
    <w:rsid w:val="008E3AB0"/>
    <w:rsid w:val="008E5A49"/>
    <w:rsid w:val="008E647F"/>
    <w:rsid w:val="008F727E"/>
    <w:rsid w:val="00903A94"/>
    <w:rsid w:val="00903C24"/>
    <w:rsid w:val="00904709"/>
    <w:rsid w:val="009057F1"/>
    <w:rsid w:val="0090712A"/>
    <w:rsid w:val="009071AC"/>
    <w:rsid w:val="0091233A"/>
    <w:rsid w:val="0091646C"/>
    <w:rsid w:val="009170A0"/>
    <w:rsid w:val="00926865"/>
    <w:rsid w:val="009313EC"/>
    <w:rsid w:val="00931447"/>
    <w:rsid w:val="0093237E"/>
    <w:rsid w:val="00933663"/>
    <w:rsid w:val="00934010"/>
    <w:rsid w:val="0093521D"/>
    <w:rsid w:val="009428E0"/>
    <w:rsid w:val="0095174D"/>
    <w:rsid w:val="0095560A"/>
    <w:rsid w:val="009637AB"/>
    <w:rsid w:val="009643B4"/>
    <w:rsid w:val="0098070B"/>
    <w:rsid w:val="009901C3"/>
    <w:rsid w:val="0099267A"/>
    <w:rsid w:val="009A37D1"/>
    <w:rsid w:val="009B5431"/>
    <w:rsid w:val="009C38B6"/>
    <w:rsid w:val="009D0280"/>
    <w:rsid w:val="009D4F25"/>
    <w:rsid w:val="009D5479"/>
    <w:rsid w:val="009E7C0B"/>
    <w:rsid w:val="009F5434"/>
    <w:rsid w:val="009F6AA9"/>
    <w:rsid w:val="00A0376B"/>
    <w:rsid w:val="00A11037"/>
    <w:rsid w:val="00A11E57"/>
    <w:rsid w:val="00A12776"/>
    <w:rsid w:val="00A207AC"/>
    <w:rsid w:val="00A27AA6"/>
    <w:rsid w:val="00A3313D"/>
    <w:rsid w:val="00A404B3"/>
    <w:rsid w:val="00A60C15"/>
    <w:rsid w:val="00A62FD5"/>
    <w:rsid w:val="00A7180F"/>
    <w:rsid w:val="00A72B2B"/>
    <w:rsid w:val="00A72E47"/>
    <w:rsid w:val="00AA1D9E"/>
    <w:rsid w:val="00AA2DED"/>
    <w:rsid w:val="00AB5860"/>
    <w:rsid w:val="00AC0882"/>
    <w:rsid w:val="00AC36E7"/>
    <w:rsid w:val="00AC3830"/>
    <w:rsid w:val="00AC75FD"/>
    <w:rsid w:val="00AD0D41"/>
    <w:rsid w:val="00AD17E0"/>
    <w:rsid w:val="00AD2A01"/>
    <w:rsid w:val="00AD3821"/>
    <w:rsid w:val="00AE1007"/>
    <w:rsid w:val="00AE1A65"/>
    <w:rsid w:val="00AE2D56"/>
    <w:rsid w:val="00AF0700"/>
    <w:rsid w:val="00AF0BC3"/>
    <w:rsid w:val="00AF4CA5"/>
    <w:rsid w:val="00B016F1"/>
    <w:rsid w:val="00B06603"/>
    <w:rsid w:val="00B0689C"/>
    <w:rsid w:val="00B07663"/>
    <w:rsid w:val="00B12FC4"/>
    <w:rsid w:val="00B22D4D"/>
    <w:rsid w:val="00B24B33"/>
    <w:rsid w:val="00B358EC"/>
    <w:rsid w:val="00B45F89"/>
    <w:rsid w:val="00B52575"/>
    <w:rsid w:val="00B56F73"/>
    <w:rsid w:val="00B57D25"/>
    <w:rsid w:val="00B77638"/>
    <w:rsid w:val="00B81A0F"/>
    <w:rsid w:val="00B82CDE"/>
    <w:rsid w:val="00B84017"/>
    <w:rsid w:val="00B8627F"/>
    <w:rsid w:val="00B94EF6"/>
    <w:rsid w:val="00B96406"/>
    <w:rsid w:val="00BA3DDA"/>
    <w:rsid w:val="00BA4740"/>
    <w:rsid w:val="00BB178C"/>
    <w:rsid w:val="00BB1831"/>
    <w:rsid w:val="00BC14D7"/>
    <w:rsid w:val="00BC206E"/>
    <w:rsid w:val="00BC2E2D"/>
    <w:rsid w:val="00BD01A9"/>
    <w:rsid w:val="00BD17EB"/>
    <w:rsid w:val="00BD6F99"/>
    <w:rsid w:val="00BD7D90"/>
    <w:rsid w:val="00BF6F3D"/>
    <w:rsid w:val="00BF7955"/>
    <w:rsid w:val="00C01151"/>
    <w:rsid w:val="00C01D6F"/>
    <w:rsid w:val="00C02DC5"/>
    <w:rsid w:val="00C123AB"/>
    <w:rsid w:val="00C20A0D"/>
    <w:rsid w:val="00C236DD"/>
    <w:rsid w:val="00C24677"/>
    <w:rsid w:val="00C33132"/>
    <w:rsid w:val="00C44B0E"/>
    <w:rsid w:val="00C454C1"/>
    <w:rsid w:val="00C46D29"/>
    <w:rsid w:val="00C4756B"/>
    <w:rsid w:val="00C56102"/>
    <w:rsid w:val="00C729E8"/>
    <w:rsid w:val="00C74279"/>
    <w:rsid w:val="00C80F4A"/>
    <w:rsid w:val="00C92999"/>
    <w:rsid w:val="00CA3890"/>
    <w:rsid w:val="00CD62FE"/>
    <w:rsid w:val="00CE4694"/>
    <w:rsid w:val="00CE61C9"/>
    <w:rsid w:val="00CF1954"/>
    <w:rsid w:val="00CF48A0"/>
    <w:rsid w:val="00D00B91"/>
    <w:rsid w:val="00D02056"/>
    <w:rsid w:val="00D10371"/>
    <w:rsid w:val="00D20D7B"/>
    <w:rsid w:val="00D240DE"/>
    <w:rsid w:val="00D26ADA"/>
    <w:rsid w:val="00D27F77"/>
    <w:rsid w:val="00D301EF"/>
    <w:rsid w:val="00D31FF0"/>
    <w:rsid w:val="00D36CB4"/>
    <w:rsid w:val="00D41D10"/>
    <w:rsid w:val="00D454DA"/>
    <w:rsid w:val="00D508B2"/>
    <w:rsid w:val="00D512F9"/>
    <w:rsid w:val="00D53D72"/>
    <w:rsid w:val="00D57781"/>
    <w:rsid w:val="00D63FD1"/>
    <w:rsid w:val="00D7475E"/>
    <w:rsid w:val="00D835D1"/>
    <w:rsid w:val="00D87C17"/>
    <w:rsid w:val="00D918B4"/>
    <w:rsid w:val="00D93E7F"/>
    <w:rsid w:val="00D957F0"/>
    <w:rsid w:val="00D970B5"/>
    <w:rsid w:val="00DA2B2B"/>
    <w:rsid w:val="00DB5275"/>
    <w:rsid w:val="00DB62CB"/>
    <w:rsid w:val="00DC0FD9"/>
    <w:rsid w:val="00DC57C2"/>
    <w:rsid w:val="00DD5461"/>
    <w:rsid w:val="00DD6CC1"/>
    <w:rsid w:val="00DE0265"/>
    <w:rsid w:val="00DE3C7D"/>
    <w:rsid w:val="00DE5FD7"/>
    <w:rsid w:val="00DE62E0"/>
    <w:rsid w:val="00DE77CD"/>
    <w:rsid w:val="00DF0637"/>
    <w:rsid w:val="00E001A0"/>
    <w:rsid w:val="00E0151A"/>
    <w:rsid w:val="00E041D4"/>
    <w:rsid w:val="00E13FCD"/>
    <w:rsid w:val="00E221E0"/>
    <w:rsid w:val="00E252F7"/>
    <w:rsid w:val="00E3276D"/>
    <w:rsid w:val="00E36F80"/>
    <w:rsid w:val="00E43804"/>
    <w:rsid w:val="00E47045"/>
    <w:rsid w:val="00E47698"/>
    <w:rsid w:val="00E53277"/>
    <w:rsid w:val="00E56BCC"/>
    <w:rsid w:val="00E6149A"/>
    <w:rsid w:val="00E65127"/>
    <w:rsid w:val="00E65E31"/>
    <w:rsid w:val="00E7090E"/>
    <w:rsid w:val="00E70962"/>
    <w:rsid w:val="00E732F2"/>
    <w:rsid w:val="00E7754B"/>
    <w:rsid w:val="00E812BC"/>
    <w:rsid w:val="00E84B0C"/>
    <w:rsid w:val="00E945B0"/>
    <w:rsid w:val="00E9721C"/>
    <w:rsid w:val="00EA4A62"/>
    <w:rsid w:val="00EA7CE8"/>
    <w:rsid w:val="00EB06A8"/>
    <w:rsid w:val="00EB366E"/>
    <w:rsid w:val="00EC082F"/>
    <w:rsid w:val="00EC4C76"/>
    <w:rsid w:val="00EC61FE"/>
    <w:rsid w:val="00EC6802"/>
    <w:rsid w:val="00EE2659"/>
    <w:rsid w:val="00EE3AF3"/>
    <w:rsid w:val="00EE47DC"/>
    <w:rsid w:val="00EF0882"/>
    <w:rsid w:val="00F04290"/>
    <w:rsid w:val="00F05564"/>
    <w:rsid w:val="00F05736"/>
    <w:rsid w:val="00F079E1"/>
    <w:rsid w:val="00F20F3F"/>
    <w:rsid w:val="00F253F0"/>
    <w:rsid w:val="00F27948"/>
    <w:rsid w:val="00F33363"/>
    <w:rsid w:val="00F34E27"/>
    <w:rsid w:val="00F36910"/>
    <w:rsid w:val="00F36E0C"/>
    <w:rsid w:val="00F402C1"/>
    <w:rsid w:val="00F46AEC"/>
    <w:rsid w:val="00F47A6B"/>
    <w:rsid w:val="00F51095"/>
    <w:rsid w:val="00F61CBB"/>
    <w:rsid w:val="00F75419"/>
    <w:rsid w:val="00F77820"/>
    <w:rsid w:val="00F81694"/>
    <w:rsid w:val="00F8306A"/>
    <w:rsid w:val="00F83B29"/>
    <w:rsid w:val="00F84C99"/>
    <w:rsid w:val="00F85704"/>
    <w:rsid w:val="00F87E08"/>
    <w:rsid w:val="00F90EC1"/>
    <w:rsid w:val="00F96ADF"/>
    <w:rsid w:val="00FA0360"/>
    <w:rsid w:val="00FA6A5A"/>
    <w:rsid w:val="00FA7F4A"/>
    <w:rsid w:val="00FB00FF"/>
    <w:rsid w:val="00FB3235"/>
    <w:rsid w:val="00FB6FCE"/>
    <w:rsid w:val="00FB7A0D"/>
    <w:rsid w:val="00FC039E"/>
    <w:rsid w:val="00FC2EEA"/>
    <w:rsid w:val="00FC770B"/>
    <w:rsid w:val="00FD354C"/>
    <w:rsid w:val="00FD650D"/>
    <w:rsid w:val="00FD6570"/>
    <w:rsid w:val="00FE033C"/>
    <w:rsid w:val="00FE1141"/>
    <w:rsid w:val="00FF2BF4"/>
    <w:rsid w:val="00FF363C"/>
    <w:rsid w:val="00FF6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9586"/>
  <w15:docId w15:val="{75C7F67A-44C5-41F5-9581-D3C428FC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06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AE1"/>
    <w:pPr>
      <w:autoSpaceDE w:val="0"/>
      <w:autoSpaceDN w:val="0"/>
      <w:adjustRightInd w:val="0"/>
    </w:pPr>
    <w:rPr>
      <w:rFonts w:ascii="Times New Roman" w:hAnsi="Times New Roman"/>
      <w:color w:val="000000"/>
      <w:sz w:val="24"/>
      <w:szCs w:val="24"/>
      <w:lang w:val="en-US" w:eastAsia="en-US"/>
    </w:rPr>
  </w:style>
  <w:style w:type="paragraph" w:styleId="a4">
    <w:name w:val="Balloon Text"/>
    <w:basedOn w:val="a"/>
    <w:link w:val="a5"/>
    <w:uiPriority w:val="99"/>
    <w:semiHidden/>
    <w:unhideWhenUsed/>
    <w:rsid w:val="003E2A8A"/>
    <w:pPr>
      <w:spacing w:after="0" w:line="240" w:lineRule="auto"/>
    </w:pPr>
    <w:rPr>
      <w:rFonts w:ascii="Segoe UI" w:hAnsi="Segoe UI"/>
      <w:sz w:val="18"/>
      <w:szCs w:val="18"/>
    </w:rPr>
  </w:style>
  <w:style w:type="character" w:customStyle="1" w:styleId="a5">
    <w:name w:val="Текст выноски Знак"/>
    <w:link w:val="a4"/>
    <w:uiPriority w:val="99"/>
    <w:semiHidden/>
    <w:rsid w:val="003E2A8A"/>
    <w:rPr>
      <w:rFonts w:ascii="Segoe UI" w:eastAsia="Times New Roman" w:hAnsi="Segoe UI" w:cs="Segoe UI"/>
      <w:sz w:val="18"/>
      <w:szCs w:val="18"/>
      <w:lang w:val="ru-RU" w:eastAsia="ru-RU"/>
    </w:rPr>
  </w:style>
  <w:style w:type="paragraph" w:styleId="a6">
    <w:name w:val="footnote text"/>
    <w:basedOn w:val="a"/>
    <w:link w:val="a7"/>
    <w:uiPriority w:val="99"/>
    <w:semiHidden/>
    <w:unhideWhenUsed/>
    <w:rsid w:val="000769AB"/>
    <w:pPr>
      <w:spacing w:after="0" w:line="240" w:lineRule="auto"/>
    </w:pPr>
    <w:rPr>
      <w:sz w:val="20"/>
      <w:szCs w:val="20"/>
    </w:rPr>
  </w:style>
  <w:style w:type="character" w:customStyle="1" w:styleId="a7">
    <w:name w:val="Текст сноски Знак"/>
    <w:link w:val="a6"/>
    <w:uiPriority w:val="99"/>
    <w:semiHidden/>
    <w:rsid w:val="000769AB"/>
    <w:rPr>
      <w:rFonts w:eastAsia="Times New Roman"/>
      <w:sz w:val="20"/>
      <w:szCs w:val="20"/>
      <w:lang w:val="ru-RU" w:eastAsia="ru-RU"/>
    </w:rPr>
  </w:style>
  <w:style w:type="character" w:styleId="a8">
    <w:name w:val="footnote reference"/>
    <w:uiPriority w:val="99"/>
    <w:semiHidden/>
    <w:unhideWhenUsed/>
    <w:rsid w:val="000769AB"/>
    <w:rPr>
      <w:vertAlign w:val="superscript"/>
    </w:rPr>
  </w:style>
  <w:style w:type="character" w:customStyle="1" w:styleId="a9">
    <w:name w:val="Обычный (веб) Знак"/>
    <w:aliases w:val="Normal (Web) Char Char Знак,Normal (Web) Char Char Char Знак,Normal (Web) Char Char Char Char Знак,Normal (Web) Char Знак,Normal (Web) Char Char Char Char Char Char Знак,Normal (Web) Char Char Char Char Char Знак,Знак Знак"/>
    <w:link w:val="aa"/>
    <w:uiPriority w:val="99"/>
    <w:locked/>
    <w:rsid w:val="00483D01"/>
    <w:rPr>
      <w:rFonts w:ascii="Times New Roman" w:eastAsia="Times New Roman" w:hAnsi="Times New Roman" w:cs="Times New Roman"/>
      <w:sz w:val="24"/>
      <w:szCs w:val="24"/>
    </w:rPr>
  </w:style>
  <w:style w:type="paragraph" w:styleId="aa">
    <w:name w:val="Normal (Web)"/>
    <w:aliases w:val="Normal (Web) Char Char,Normal (Web) Char Char Char,Normal (Web) Char Char Char Char,Normal (Web) Char,Normal (Web) Char Char Char Char Char Char,Normal (Web) Char Char Char Char Char,Знак"/>
    <w:basedOn w:val="a"/>
    <w:link w:val="a9"/>
    <w:uiPriority w:val="99"/>
    <w:unhideWhenUsed/>
    <w:qFormat/>
    <w:rsid w:val="00483D01"/>
    <w:pPr>
      <w:spacing w:after="0" w:line="240" w:lineRule="auto"/>
      <w:ind w:firstLine="567"/>
      <w:jc w:val="both"/>
    </w:pPr>
    <w:rPr>
      <w:rFonts w:ascii="Times New Roman" w:hAnsi="Times New Roman"/>
      <w:sz w:val="24"/>
      <w:szCs w:val="24"/>
    </w:rPr>
  </w:style>
  <w:style w:type="paragraph" w:styleId="ab">
    <w:name w:val="List Paragraph"/>
    <w:basedOn w:val="a"/>
    <w:uiPriority w:val="34"/>
    <w:qFormat/>
    <w:rsid w:val="006121DD"/>
    <w:pPr>
      <w:ind w:left="720"/>
      <w:contextualSpacing/>
    </w:pPr>
    <w:rPr>
      <w:rFonts w:eastAsia="Calibri"/>
      <w:lang w:eastAsia="en-US"/>
    </w:rPr>
  </w:style>
  <w:style w:type="character" w:styleId="ac">
    <w:name w:val="Hyperlink"/>
    <w:uiPriority w:val="99"/>
    <w:unhideWhenUsed/>
    <w:rsid w:val="00FB00FF"/>
    <w:rPr>
      <w:color w:val="0000FF"/>
      <w:u w:val="single"/>
    </w:rPr>
  </w:style>
  <w:style w:type="paragraph" w:customStyle="1" w:styleId="rmcviwmi">
    <w:name w:val="rmcviwmi"/>
    <w:basedOn w:val="a"/>
    <w:rsid w:val="0033301D"/>
    <w:pPr>
      <w:spacing w:before="100" w:beforeAutospacing="1" w:after="100" w:afterAutospacing="1" w:line="240" w:lineRule="auto"/>
    </w:pPr>
    <w:rPr>
      <w:rFonts w:ascii="Times New Roman" w:eastAsiaTheme="minorHAnsi" w:hAnsi="Times New Roman"/>
      <w:sz w:val="24"/>
      <w:szCs w:val="24"/>
    </w:rPr>
  </w:style>
  <w:style w:type="paragraph" w:styleId="ad">
    <w:name w:val="No Spacing"/>
    <w:link w:val="ae"/>
    <w:uiPriority w:val="1"/>
    <w:qFormat/>
    <w:rsid w:val="001C5135"/>
    <w:rPr>
      <w:rFonts w:asciiTheme="minorHAnsi" w:eastAsiaTheme="minorHAnsi" w:hAnsiTheme="minorHAnsi" w:cstheme="minorBidi"/>
      <w:sz w:val="22"/>
      <w:szCs w:val="22"/>
      <w:lang w:eastAsia="en-US"/>
    </w:rPr>
  </w:style>
  <w:style w:type="paragraph" w:styleId="af">
    <w:name w:val="Body Text"/>
    <w:basedOn w:val="a"/>
    <w:link w:val="af0"/>
    <w:rsid w:val="001C5135"/>
    <w:pPr>
      <w:spacing w:after="0" w:line="240" w:lineRule="auto"/>
      <w:jc w:val="center"/>
    </w:pPr>
    <w:rPr>
      <w:rFonts w:ascii="Times New Roman" w:hAnsi="Times New Roman"/>
      <w:b/>
      <w:i/>
      <w:sz w:val="24"/>
      <w:szCs w:val="20"/>
      <w:lang w:val="ro-RO"/>
    </w:rPr>
  </w:style>
  <w:style w:type="character" w:customStyle="1" w:styleId="af0">
    <w:name w:val="Основной текст Знак"/>
    <w:basedOn w:val="a0"/>
    <w:link w:val="af"/>
    <w:rsid w:val="001C5135"/>
    <w:rPr>
      <w:rFonts w:ascii="Times New Roman" w:eastAsia="Times New Roman" w:hAnsi="Times New Roman"/>
      <w:b/>
      <w:i/>
      <w:sz w:val="24"/>
      <w:lang w:val="ro-RO"/>
    </w:rPr>
  </w:style>
  <w:style w:type="character" w:customStyle="1" w:styleId="ae">
    <w:name w:val="Без интервала Знак"/>
    <w:basedOn w:val="a0"/>
    <w:link w:val="ad"/>
    <w:uiPriority w:val="1"/>
    <w:rsid w:val="00315EA0"/>
    <w:rPr>
      <w:rFonts w:asciiTheme="minorHAnsi" w:eastAsiaTheme="minorHAnsi" w:hAnsiTheme="minorHAnsi" w:cstheme="minorBidi"/>
      <w:sz w:val="22"/>
      <w:szCs w:val="22"/>
      <w:lang w:eastAsia="en-US"/>
    </w:rPr>
  </w:style>
  <w:style w:type="paragraph" w:customStyle="1" w:styleId="cn">
    <w:name w:val="cn"/>
    <w:basedOn w:val="a"/>
    <w:rsid w:val="00DD6CC1"/>
    <w:pPr>
      <w:spacing w:after="0" w:line="240" w:lineRule="auto"/>
      <w:jc w:val="center"/>
    </w:pPr>
    <w:rPr>
      <w:rFonts w:ascii="Times New Roman" w:hAnsi="Times New Roman"/>
      <w:sz w:val="24"/>
      <w:szCs w:val="24"/>
    </w:rPr>
  </w:style>
  <w:style w:type="paragraph" w:styleId="af1">
    <w:name w:val="Body Text Indent"/>
    <w:basedOn w:val="a"/>
    <w:link w:val="af2"/>
    <w:uiPriority w:val="99"/>
    <w:unhideWhenUsed/>
    <w:rsid w:val="007D7C06"/>
    <w:pPr>
      <w:spacing w:after="120"/>
      <w:ind w:left="360"/>
    </w:pPr>
  </w:style>
  <w:style w:type="character" w:customStyle="1" w:styleId="af2">
    <w:name w:val="Основной текст с отступом Знак"/>
    <w:basedOn w:val="a0"/>
    <w:link w:val="af1"/>
    <w:uiPriority w:val="99"/>
    <w:rsid w:val="007D7C06"/>
    <w:rPr>
      <w:rFonts w:eastAsia="Times New Roman"/>
      <w:sz w:val="22"/>
      <w:szCs w:val="22"/>
    </w:rPr>
  </w:style>
  <w:style w:type="paragraph" w:styleId="af3">
    <w:name w:val="annotation text"/>
    <w:basedOn w:val="a"/>
    <w:link w:val="af4"/>
    <w:uiPriority w:val="99"/>
    <w:unhideWhenUsed/>
    <w:rsid w:val="00F90EC1"/>
    <w:pPr>
      <w:spacing w:after="0" w:line="240" w:lineRule="auto"/>
    </w:pPr>
    <w:rPr>
      <w:rFonts w:asciiTheme="minorHAnsi" w:eastAsiaTheme="minorEastAsia" w:hAnsiTheme="minorHAnsi" w:cstheme="minorBidi"/>
      <w:sz w:val="24"/>
      <w:szCs w:val="24"/>
      <w:lang w:val="ro-RO" w:eastAsia="en-US"/>
    </w:rPr>
  </w:style>
  <w:style w:type="character" w:customStyle="1" w:styleId="af4">
    <w:name w:val="Текст примечания Знак"/>
    <w:basedOn w:val="a0"/>
    <w:link w:val="af3"/>
    <w:uiPriority w:val="99"/>
    <w:rsid w:val="00F90EC1"/>
    <w:rPr>
      <w:rFonts w:asciiTheme="minorHAnsi" w:eastAsiaTheme="minorEastAsia" w:hAnsiTheme="minorHAnsi" w:cstheme="minorBidi"/>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4116">
      <w:bodyDiv w:val="1"/>
      <w:marLeft w:val="0"/>
      <w:marRight w:val="0"/>
      <w:marTop w:val="0"/>
      <w:marBottom w:val="0"/>
      <w:divBdr>
        <w:top w:val="none" w:sz="0" w:space="0" w:color="auto"/>
        <w:left w:val="none" w:sz="0" w:space="0" w:color="auto"/>
        <w:bottom w:val="none" w:sz="0" w:space="0" w:color="auto"/>
        <w:right w:val="none" w:sz="0" w:space="0" w:color="auto"/>
      </w:divBdr>
      <w:divsChild>
        <w:div w:id="9795075">
          <w:marLeft w:val="0"/>
          <w:marRight w:val="0"/>
          <w:marTop w:val="0"/>
          <w:marBottom w:val="0"/>
          <w:divBdr>
            <w:top w:val="none" w:sz="0" w:space="0" w:color="auto"/>
            <w:left w:val="none" w:sz="0" w:space="0" w:color="auto"/>
            <w:bottom w:val="none" w:sz="0" w:space="0" w:color="auto"/>
            <w:right w:val="none" w:sz="0" w:space="0" w:color="auto"/>
          </w:divBdr>
        </w:div>
      </w:divsChild>
    </w:div>
    <w:div w:id="367141216">
      <w:bodyDiv w:val="1"/>
      <w:marLeft w:val="0"/>
      <w:marRight w:val="0"/>
      <w:marTop w:val="0"/>
      <w:marBottom w:val="0"/>
      <w:divBdr>
        <w:top w:val="none" w:sz="0" w:space="0" w:color="auto"/>
        <w:left w:val="none" w:sz="0" w:space="0" w:color="auto"/>
        <w:bottom w:val="none" w:sz="0" w:space="0" w:color="auto"/>
        <w:right w:val="none" w:sz="0" w:space="0" w:color="auto"/>
      </w:divBdr>
      <w:divsChild>
        <w:div w:id="551188512">
          <w:marLeft w:val="0"/>
          <w:marRight w:val="0"/>
          <w:marTop w:val="0"/>
          <w:marBottom w:val="0"/>
          <w:divBdr>
            <w:top w:val="none" w:sz="0" w:space="0" w:color="auto"/>
            <w:left w:val="none" w:sz="0" w:space="0" w:color="auto"/>
            <w:bottom w:val="none" w:sz="0" w:space="0" w:color="auto"/>
            <w:right w:val="none" w:sz="0" w:space="0" w:color="auto"/>
          </w:divBdr>
        </w:div>
      </w:divsChild>
    </w:div>
    <w:div w:id="497504108">
      <w:bodyDiv w:val="1"/>
      <w:marLeft w:val="0"/>
      <w:marRight w:val="0"/>
      <w:marTop w:val="0"/>
      <w:marBottom w:val="0"/>
      <w:divBdr>
        <w:top w:val="none" w:sz="0" w:space="0" w:color="auto"/>
        <w:left w:val="none" w:sz="0" w:space="0" w:color="auto"/>
        <w:bottom w:val="none" w:sz="0" w:space="0" w:color="auto"/>
        <w:right w:val="none" w:sz="0" w:space="0" w:color="auto"/>
      </w:divBdr>
      <w:divsChild>
        <w:div w:id="1276711514">
          <w:marLeft w:val="0"/>
          <w:marRight w:val="0"/>
          <w:marTop w:val="0"/>
          <w:marBottom w:val="0"/>
          <w:divBdr>
            <w:top w:val="none" w:sz="0" w:space="0" w:color="auto"/>
            <w:left w:val="none" w:sz="0" w:space="0" w:color="auto"/>
            <w:bottom w:val="none" w:sz="0" w:space="0" w:color="auto"/>
            <w:right w:val="none" w:sz="0" w:space="0" w:color="auto"/>
          </w:divBdr>
        </w:div>
      </w:divsChild>
    </w:div>
    <w:div w:id="1038121855">
      <w:bodyDiv w:val="1"/>
      <w:marLeft w:val="0"/>
      <w:marRight w:val="0"/>
      <w:marTop w:val="0"/>
      <w:marBottom w:val="0"/>
      <w:divBdr>
        <w:top w:val="none" w:sz="0" w:space="0" w:color="auto"/>
        <w:left w:val="none" w:sz="0" w:space="0" w:color="auto"/>
        <w:bottom w:val="none" w:sz="0" w:space="0" w:color="auto"/>
        <w:right w:val="none" w:sz="0" w:space="0" w:color="auto"/>
      </w:divBdr>
    </w:div>
    <w:div w:id="1256089272">
      <w:bodyDiv w:val="1"/>
      <w:marLeft w:val="0"/>
      <w:marRight w:val="0"/>
      <w:marTop w:val="0"/>
      <w:marBottom w:val="0"/>
      <w:divBdr>
        <w:top w:val="none" w:sz="0" w:space="0" w:color="auto"/>
        <w:left w:val="none" w:sz="0" w:space="0" w:color="auto"/>
        <w:bottom w:val="none" w:sz="0" w:space="0" w:color="auto"/>
        <w:right w:val="none" w:sz="0" w:space="0" w:color="auto"/>
      </w:divBdr>
    </w:div>
    <w:div w:id="18899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A86B-C29F-4125-AD1F-8136C58E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1729</Words>
  <Characters>9856</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11562</CharactersWithSpaces>
  <SharedDoc>false</SharedDoc>
  <HLinks>
    <vt:vector size="6" baseType="variant">
      <vt:variant>
        <vt:i4>7471157</vt:i4>
      </vt:variant>
      <vt:variant>
        <vt:i4>0</vt:i4>
      </vt:variant>
      <vt:variant>
        <vt:i4>0</vt:i4>
      </vt:variant>
      <vt:variant>
        <vt:i4>5</vt:i4>
      </vt:variant>
      <vt:variant>
        <vt:lpwstr>http://www.cnpf.md/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Sorina, Hiznicenco</cp:lastModifiedBy>
  <cp:revision>7</cp:revision>
  <cp:lastPrinted>2022-06-08T07:30:00Z</cp:lastPrinted>
  <dcterms:created xsi:type="dcterms:W3CDTF">2022-06-09T08:47:00Z</dcterms:created>
  <dcterms:modified xsi:type="dcterms:W3CDTF">2022-08-05T08:52:00Z</dcterms:modified>
</cp:coreProperties>
</file>