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4D" w:rsidRPr="00367ECE" w:rsidRDefault="00B9044D" w:rsidP="00B9044D">
      <w:pPr>
        <w:spacing w:after="0" w:line="240" w:lineRule="auto"/>
        <w:jc w:val="center"/>
        <w:rPr>
          <w:rFonts w:ascii="Times New Roman" w:hAnsi="Times New Roman"/>
          <w:b/>
          <w:bCs/>
          <w:sz w:val="24"/>
          <w:szCs w:val="24"/>
          <w:lang w:val="ro-MD"/>
        </w:rPr>
      </w:pPr>
      <w:r w:rsidRPr="00367ECE">
        <w:rPr>
          <w:rFonts w:ascii="Times New Roman" w:hAnsi="Times New Roman"/>
          <w:b/>
          <w:bCs/>
          <w:sz w:val="24"/>
          <w:szCs w:val="24"/>
          <w:lang w:val="ro-MD"/>
        </w:rPr>
        <w:t>NOTA INFORMATIVĂ</w:t>
      </w:r>
    </w:p>
    <w:p w:rsidR="00B9044D" w:rsidRPr="00367ECE" w:rsidRDefault="00B9044D" w:rsidP="00B9044D">
      <w:pPr>
        <w:spacing w:after="0" w:line="240" w:lineRule="auto"/>
        <w:jc w:val="center"/>
        <w:rPr>
          <w:rFonts w:ascii="Times New Roman" w:hAnsi="Times New Roman"/>
          <w:b/>
          <w:sz w:val="24"/>
          <w:szCs w:val="24"/>
          <w:lang w:val="ro-MD"/>
        </w:rPr>
      </w:pPr>
      <w:r w:rsidRPr="00367ECE">
        <w:rPr>
          <w:rFonts w:ascii="Times New Roman" w:hAnsi="Times New Roman"/>
          <w:sz w:val="24"/>
          <w:szCs w:val="24"/>
          <w:lang w:val="ro-MD"/>
        </w:rPr>
        <w:t>la proiectul Hotărârii Guvernului</w:t>
      </w:r>
      <w:r w:rsidRPr="00367ECE">
        <w:rPr>
          <w:rFonts w:ascii="Times New Roman" w:hAnsi="Times New Roman"/>
          <w:i/>
          <w:sz w:val="24"/>
          <w:szCs w:val="24"/>
          <w:lang w:val="ro-MD"/>
        </w:rPr>
        <w:t xml:space="preserve"> ”</w:t>
      </w:r>
      <w:r w:rsidRPr="00367ECE">
        <w:rPr>
          <w:rFonts w:ascii="Times New Roman" w:hAnsi="Times New Roman"/>
          <w:b/>
          <w:sz w:val="24"/>
          <w:szCs w:val="24"/>
          <w:lang w:val="ro-MD"/>
        </w:rPr>
        <w:t xml:space="preserve"> Cu privire la reorganizarea prin fuziune (absorbție) a unor instituții din domeniile educației, cercetării și inovării”</w:t>
      </w:r>
    </w:p>
    <w:p w:rsidR="00B9044D" w:rsidRPr="00367ECE" w:rsidRDefault="00B9044D" w:rsidP="00B9044D">
      <w:pPr>
        <w:spacing w:after="0" w:line="240" w:lineRule="auto"/>
        <w:jc w:val="center"/>
        <w:rPr>
          <w:rFonts w:ascii="Times New Roman" w:hAnsi="Times New Roman"/>
          <w:b/>
          <w:sz w:val="24"/>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9"/>
      </w:tblGrid>
      <w:tr w:rsidR="00B9044D" w:rsidRPr="00367ECE" w:rsidTr="006F50E2">
        <w:trPr>
          <w:trHeight w:val="311"/>
        </w:trPr>
        <w:tc>
          <w:tcPr>
            <w:tcW w:w="5000" w:type="pct"/>
          </w:tcPr>
          <w:p w:rsidR="00B9044D" w:rsidRPr="00367ECE" w:rsidRDefault="00B9044D" w:rsidP="00B9044D">
            <w:pPr>
              <w:numPr>
                <w:ilvl w:val="3"/>
                <w:numId w:val="1"/>
              </w:numPr>
              <w:tabs>
                <w:tab w:val="left" w:pos="284"/>
                <w:tab w:val="left" w:pos="1196"/>
              </w:tabs>
              <w:spacing w:after="0" w:line="240" w:lineRule="auto"/>
              <w:ind w:left="0" w:firstLine="0"/>
              <w:jc w:val="both"/>
              <w:rPr>
                <w:rFonts w:ascii="Times New Roman" w:hAnsi="Times New Roman"/>
                <w:b/>
                <w:sz w:val="24"/>
                <w:szCs w:val="24"/>
                <w:lang w:val="ro-MD"/>
              </w:rPr>
            </w:pPr>
            <w:r w:rsidRPr="00367ECE">
              <w:rPr>
                <w:rFonts w:ascii="Times New Roman" w:hAnsi="Times New Roman"/>
                <w:b/>
                <w:sz w:val="24"/>
                <w:szCs w:val="24"/>
                <w:lang w:val="ro-MD"/>
              </w:rPr>
              <w:t xml:space="preserve"> Denumirea autorului </w:t>
            </w:r>
            <w:proofErr w:type="spellStart"/>
            <w:r w:rsidRPr="00367ECE">
              <w:rPr>
                <w:rFonts w:ascii="Times New Roman" w:hAnsi="Times New Roman"/>
                <w:b/>
                <w:sz w:val="24"/>
                <w:szCs w:val="24"/>
                <w:lang w:val="ro-MD"/>
              </w:rPr>
              <w:t>şi</w:t>
            </w:r>
            <w:proofErr w:type="spellEnd"/>
            <w:r w:rsidRPr="00367ECE">
              <w:rPr>
                <w:rFonts w:ascii="Times New Roman" w:hAnsi="Times New Roman"/>
                <w:b/>
                <w:sz w:val="24"/>
                <w:szCs w:val="24"/>
                <w:lang w:val="ro-MD"/>
              </w:rPr>
              <w:t xml:space="preserve">, după caz, a </w:t>
            </w:r>
            <w:proofErr w:type="spellStart"/>
            <w:r w:rsidRPr="00367ECE">
              <w:rPr>
                <w:rFonts w:ascii="Times New Roman" w:hAnsi="Times New Roman"/>
                <w:b/>
                <w:sz w:val="24"/>
                <w:szCs w:val="24"/>
                <w:lang w:val="ro-MD"/>
              </w:rPr>
              <w:t>participanţilor</w:t>
            </w:r>
            <w:proofErr w:type="spellEnd"/>
            <w:r w:rsidRPr="00367ECE">
              <w:rPr>
                <w:rFonts w:ascii="Times New Roman" w:hAnsi="Times New Roman"/>
                <w:b/>
                <w:sz w:val="24"/>
                <w:szCs w:val="24"/>
                <w:lang w:val="ro-MD"/>
              </w:rPr>
              <w:t xml:space="preserve"> la elaborarea proiectului</w:t>
            </w:r>
          </w:p>
        </w:tc>
      </w:tr>
      <w:tr w:rsidR="00B9044D" w:rsidRPr="00367ECE" w:rsidTr="006F50E2">
        <w:trPr>
          <w:trHeight w:val="866"/>
        </w:trPr>
        <w:tc>
          <w:tcPr>
            <w:tcW w:w="5000" w:type="pct"/>
          </w:tcPr>
          <w:p w:rsidR="00B9044D" w:rsidRPr="00367ECE" w:rsidRDefault="00B9044D" w:rsidP="006F50E2">
            <w:pPr>
              <w:tabs>
                <w:tab w:val="left" w:pos="284"/>
                <w:tab w:val="left" w:pos="1196"/>
              </w:tabs>
              <w:rPr>
                <w:rFonts w:ascii="Times New Roman" w:hAnsi="Times New Roman"/>
                <w:sz w:val="24"/>
                <w:szCs w:val="24"/>
                <w:lang w:val="ro-MD"/>
              </w:rPr>
            </w:pPr>
            <w:r w:rsidRPr="00367ECE">
              <w:rPr>
                <w:rFonts w:ascii="Times New Roman" w:hAnsi="Times New Roman"/>
                <w:sz w:val="24"/>
                <w:szCs w:val="24"/>
                <w:lang w:val="ro-MD"/>
              </w:rPr>
              <w:t xml:space="preserve">Ministerul Educației și Cercetării </w:t>
            </w:r>
          </w:p>
        </w:tc>
      </w:tr>
      <w:tr w:rsidR="00B9044D" w:rsidRPr="00367ECE" w:rsidTr="006F50E2">
        <w:tc>
          <w:tcPr>
            <w:tcW w:w="5000" w:type="pct"/>
          </w:tcPr>
          <w:p w:rsidR="00B9044D" w:rsidRPr="00367ECE" w:rsidRDefault="00B9044D" w:rsidP="006F50E2">
            <w:pPr>
              <w:tabs>
                <w:tab w:val="left" w:pos="884"/>
                <w:tab w:val="left" w:pos="1196"/>
              </w:tabs>
              <w:rPr>
                <w:rFonts w:ascii="Times New Roman" w:hAnsi="Times New Roman"/>
                <w:sz w:val="24"/>
                <w:szCs w:val="24"/>
                <w:lang w:val="ro-MD"/>
              </w:rPr>
            </w:pPr>
            <w:r w:rsidRPr="00367ECE">
              <w:rPr>
                <w:rFonts w:ascii="Times New Roman" w:hAnsi="Times New Roman"/>
                <w:sz w:val="24"/>
                <w:szCs w:val="24"/>
                <w:lang w:val="ro-MD"/>
              </w:rPr>
              <w:t xml:space="preserve">2. </w:t>
            </w:r>
            <w:proofErr w:type="spellStart"/>
            <w:r w:rsidRPr="00367ECE">
              <w:rPr>
                <w:rFonts w:ascii="Times New Roman" w:hAnsi="Times New Roman"/>
                <w:b/>
                <w:sz w:val="24"/>
                <w:szCs w:val="24"/>
                <w:lang w:val="ro-MD"/>
              </w:rPr>
              <w:t>Condiţiile</w:t>
            </w:r>
            <w:proofErr w:type="spellEnd"/>
            <w:r w:rsidRPr="00367ECE">
              <w:rPr>
                <w:rFonts w:ascii="Times New Roman" w:hAnsi="Times New Roman"/>
                <w:b/>
                <w:sz w:val="24"/>
                <w:szCs w:val="24"/>
                <w:lang w:val="ro-MD"/>
              </w:rPr>
              <w:t xml:space="preserve"> ce au impus elaborarea proiectului de act normativ </w:t>
            </w:r>
            <w:proofErr w:type="spellStart"/>
            <w:r w:rsidRPr="00367ECE">
              <w:rPr>
                <w:rFonts w:ascii="Times New Roman" w:hAnsi="Times New Roman"/>
                <w:b/>
                <w:sz w:val="24"/>
                <w:szCs w:val="24"/>
                <w:lang w:val="ro-MD"/>
              </w:rPr>
              <w:t>şi</w:t>
            </w:r>
            <w:proofErr w:type="spellEnd"/>
            <w:r w:rsidRPr="00367ECE">
              <w:rPr>
                <w:rFonts w:ascii="Times New Roman" w:hAnsi="Times New Roman"/>
                <w:b/>
                <w:sz w:val="24"/>
                <w:szCs w:val="24"/>
                <w:lang w:val="ro-MD"/>
              </w:rPr>
              <w:t xml:space="preserve"> </w:t>
            </w:r>
            <w:proofErr w:type="spellStart"/>
            <w:r w:rsidRPr="00367ECE">
              <w:rPr>
                <w:rFonts w:ascii="Times New Roman" w:hAnsi="Times New Roman"/>
                <w:b/>
                <w:sz w:val="24"/>
                <w:szCs w:val="24"/>
                <w:lang w:val="ro-MD"/>
              </w:rPr>
              <w:t>finalităţile</w:t>
            </w:r>
            <w:proofErr w:type="spellEnd"/>
            <w:r w:rsidRPr="00367ECE">
              <w:rPr>
                <w:rFonts w:ascii="Times New Roman" w:hAnsi="Times New Roman"/>
                <w:b/>
                <w:sz w:val="24"/>
                <w:szCs w:val="24"/>
                <w:lang w:val="ro-MD"/>
              </w:rPr>
              <w:t xml:space="preserve"> urmărite</w:t>
            </w:r>
          </w:p>
        </w:tc>
      </w:tr>
      <w:tr w:rsidR="00B9044D" w:rsidRPr="00367ECE" w:rsidTr="006F50E2">
        <w:tc>
          <w:tcPr>
            <w:tcW w:w="5000" w:type="pct"/>
          </w:tcPr>
          <w:p w:rsidR="00B9044D" w:rsidRPr="00367ECE" w:rsidRDefault="00B9044D" w:rsidP="006F50E2">
            <w:pPr>
              <w:spacing w:before="120" w:line="240" w:lineRule="auto"/>
              <w:rPr>
                <w:rFonts w:ascii="Times New Roman" w:hAnsi="Times New Roman"/>
                <w:b/>
                <w:i/>
                <w:sz w:val="24"/>
                <w:szCs w:val="24"/>
                <w:lang w:val="ro-MD"/>
              </w:rPr>
            </w:pPr>
            <w:r w:rsidRPr="00367ECE">
              <w:rPr>
                <w:rFonts w:ascii="Times New Roman" w:hAnsi="Times New Roman"/>
                <w:b/>
                <w:sz w:val="24"/>
                <w:szCs w:val="24"/>
                <w:lang w:val="ro-MD"/>
              </w:rPr>
              <w:t>Sistemul de învățământ se confruntă în ultimele decenii cu o serie de probleme, printre care: scăderea bruscă a numărului de elevi și studenți; nivel ridicat de abandon școlar, în special în rândul elevilor/ studenților din familii vulnerabile, număr mare de universități mici susținute din bugetul de stat și prin urmare o utilizare ineficientă  a banului public.</w:t>
            </w:r>
          </w:p>
          <w:p w:rsidR="00B9044D" w:rsidRPr="00367ECE" w:rsidRDefault="00B9044D" w:rsidP="006F50E2">
            <w:pPr>
              <w:pStyle w:val="ListParagraph"/>
              <w:spacing w:after="0" w:line="240" w:lineRule="auto"/>
              <w:ind w:left="0" w:firstLine="567"/>
              <w:rPr>
                <w:rFonts w:ascii="Times New Roman" w:hAnsi="Times New Roman"/>
                <w:b/>
                <w:sz w:val="24"/>
                <w:szCs w:val="24"/>
                <w:lang w:val="ro-MD"/>
              </w:rPr>
            </w:pPr>
            <w:r w:rsidRPr="00367ECE">
              <w:rPr>
                <w:rFonts w:ascii="Times New Roman" w:hAnsi="Times New Roman"/>
                <w:b/>
                <w:i/>
                <w:sz w:val="24"/>
                <w:szCs w:val="24"/>
                <w:lang w:val="ro-MD"/>
              </w:rPr>
              <w:t xml:space="preserve"> </w:t>
            </w:r>
            <w:r w:rsidRPr="00367ECE">
              <w:rPr>
                <w:rFonts w:ascii="Times New Roman" w:hAnsi="Times New Roman"/>
                <w:sz w:val="24"/>
                <w:szCs w:val="24"/>
                <w:lang w:val="ro-MD"/>
              </w:rPr>
              <w:t xml:space="preserve">Acest ansamblu de probleme este dedus din studiul „Evaluarea cuprinzătoare a sectorului educațional din Republica Moldova”, </w:t>
            </w:r>
            <w:r w:rsidR="00A837D4" w:rsidRPr="00367ECE">
              <w:rPr>
                <w:rFonts w:ascii="Times New Roman" w:hAnsi="Times New Roman"/>
                <w:sz w:val="24"/>
                <w:szCs w:val="24"/>
                <w:lang w:val="ro-MD"/>
              </w:rPr>
              <w:t xml:space="preserve">Raportul privind </w:t>
            </w:r>
            <w:r w:rsidR="00A837D4" w:rsidRPr="00367ECE">
              <w:rPr>
                <w:rFonts w:ascii="Times New Roman" w:hAnsi="Times New Roman"/>
                <w:i/>
                <w:sz w:val="24"/>
                <w:szCs w:val="24"/>
                <w:lang w:val="ro-MD"/>
              </w:rPr>
              <w:t xml:space="preserve">Pilotarea procesului de raționalizare a cheltuielilor în sistemele de învățământ profesional tehnic și superior din Republica Moldova </w:t>
            </w:r>
            <w:r w:rsidR="00A837D4" w:rsidRPr="00367ECE">
              <w:rPr>
                <w:rFonts w:ascii="Times New Roman" w:hAnsi="Times New Roman"/>
                <w:sz w:val="24"/>
                <w:szCs w:val="24"/>
                <w:lang w:val="ro-MD"/>
              </w:rPr>
              <w:t xml:space="preserve">(2018-2019), susținut de experții FMI, </w:t>
            </w:r>
            <w:r w:rsidRPr="00367ECE">
              <w:rPr>
                <w:rFonts w:ascii="Times New Roman" w:hAnsi="Times New Roman"/>
                <w:sz w:val="24"/>
                <w:szCs w:val="24"/>
                <w:lang w:val="ro-MD"/>
              </w:rPr>
              <w:t>dar și din analiza diferitor rapoarte, studii având  la bază  studentul ca subiect al educației.</w:t>
            </w:r>
          </w:p>
          <w:p w:rsidR="00B9044D" w:rsidRPr="00367ECE" w:rsidRDefault="00B9044D" w:rsidP="006F50E2">
            <w:pPr>
              <w:pStyle w:val="ListParagraph"/>
              <w:spacing w:after="0" w:line="240" w:lineRule="auto"/>
              <w:ind w:left="0" w:firstLine="567"/>
              <w:rPr>
                <w:rFonts w:ascii="Times New Roman" w:hAnsi="Times New Roman"/>
                <w:sz w:val="24"/>
                <w:szCs w:val="24"/>
                <w:lang w:val="ro-MD"/>
              </w:rPr>
            </w:pPr>
            <w:r w:rsidRPr="00367ECE">
              <w:rPr>
                <w:rFonts w:ascii="Times New Roman" w:hAnsi="Times New Roman"/>
                <w:sz w:val="24"/>
                <w:szCs w:val="24"/>
                <w:lang w:val="ro-MD"/>
              </w:rPr>
              <w:t xml:space="preserve">Ca urmare a declinului demografic cauzat de sporul negativ al populației și de exodul populației peste hotare, a scăzut și scade în continuare numărul elevilor și al studenților, cu excepția celor încadrați în sistemul de educație timpurie. Conform datelor BNS, valorile numerice ale populației școlare sunt următoarele: </w:t>
            </w:r>
          </w:p>
          <w:tbl>
            <w:tblPr>
              <w:tblW w:w="4387" w:type="pct"/>
              <w:jc w:val="center"/>
              <w:tblLook w:val="04A0" w:firstRow="1" w:lastRow="0" w:firstColumn="1" w:lastColumn="0" w:noHBand="0" w:noVBand="1"/>
            </w:tblPr>
            <w:tblGrid>
              <w:gridCol w:w="999"/>
              <w:gridCol w:w="4590"/>
              <w:gridCol w:w="1256"/>
              <w:gridCol w:w="1256"/>
            </w:tblGrid>
            <w:tr w:rsidR="00B9044D" w:rsidRPr="00367ECE" w:rsidTr="006F50E2">
              <w:trPr>
                <w:trHeight w:val="300"/>
                <w:jc w:val="center"/>
              </w:trPr>
              <w:tc>
                <w:tcPr>
                  <w:tcW w:w="696" w:type="pct"/>
                  <w:shd w:val="clear" w:color="auto" w:fill="auto"/>
                  <w:noWrap/>
                  <w:vAlign w:val="bottom"/>
                  <w:hideMark/>
                </w:tcPr>
                <w:p w:rsidR="00B9044D" w:rsidRPr="00367ECE" w:rsidRDefault="00B9044D" w:rsidP="006F50E2">
                  <w:pPr>
                    <w:spacing w:line="240" w:lineRule="auto"/>
                    <w:ind w:left="720"/>
                    <w:rPr>
                      <w:rFonts w:ascii="Times New Roman" w:hAnsi="Times New Roman"/>
                      <w:sz w:val="24"/>
                      <w:szCs w:val="24"/>
                      <w:lang w:val="ro-MD"/>
                    </w:rPr>
                  </w:pPr>
                </w:p>
              </w:tc>
              <w:tc>
                <w:tcPr>
                  <w:tcW w:w="2912" w:type="pct"/>
                  <w:shd w:val="clear" w:color="auto" w:fill="auto"/>
                  <w:noWrap/>
                  <w:vAlign w:val="bottom"/>
                  <w:hideMark/>
                </w:tcPr>
                <w:p w:rsidR="00B9044D" w:rsidRPr="00367ECE" w:rsidRDefault="00B9044D" w:rsidP="006F50E2">
                  <w:pPr>
                    <w:spacing w:line="240" w:lineRule="auto"/>
                    <w:ind w:left="720"/>
                    <w:rPr>
                      <w:rFonts w:ascii="Times New Roman" w:hAnsi="Times New Roman"/>
                      <w:sz w:val="24"/>
                      <w:szCs w:val="24"/>
                      <w:lang w:val="ro-MD"/>
                    </w:rPr>
                  </w:pP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b/>
                      <w:sz w:val="24"/>
                      <w:szCs w:val="24"/>
                      <w:lang w:val="ro-MD"/>
                    </w:rPr>
                  </w:pPr>
                  <w:r w:rsidRPr="00367ECE">
                    <w:rPr>
                      <w:rFonts w:ascii="Times New Roman" w:hAnsi="Times New Roman"/>
                      <w:b/>
                      <w:sz w:val="24"/>
                      <w:szCs w:val="24"/>
                      <w:lang w:val="ro-MD"/>
                    </w:rPr>
                    <w:t>2010-2011</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b/>
                      <w:sz w:val="24"/>
                      <w:szCs w:val="24"/>
                      <w:lang w:val="ro-MD"/>
                    </w:rPr>
                  </w:pPr>
                  <w:r w:rsidRPr="00367ECE">
                    <w:rPr>
                      <w:rFonts w:ascii="Times New Roman" w:hAnsi="Times New Roman"/>
                      <w:b/>
                      <w:sz w:val="24"/>
                      <w:szCs w:val="24"/>
                      <w:lang w:val="ro-MD"/>
                    </w:rPr>
                    <w:t>2021-2022</w:t>
                  </w:r>
                </w:p>
              </w:tc>
            </w:tr>
            <w:tr w:rsidR="00B9044D" w:rsidRPr="00367ECE" w:rsidTr="006F50E2">
              <w:trPr>
                <w:trHeight w:val="300"/>
                <w:jc w:val="center"/>
              </w:trPr>
              <w:tc>
                <w:tcPr>
                  <w:tcW w:w="3607" w:type="pct"/>
                  <w:gridSpan w:val="2"/>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Educația timpurie</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130040</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137113</w:t>
                  </w:r>
                </w:p>
              </w:tc>
            </w:tr>
            <w:tr w:rsidR="00B9044D" w:rsidRPr="00367ECE" w:rsidTr="006F50E2">
              <w:trPr>
                <w:trHeight w:val="300"/>
                <w:jc w:val="center"/>
              </w:trPr>
              <w:tc>
                <w:tcPr>
                  <w:tcW w:w="3607" w:type="pct"/>
                  <w:gridSpan w:val="2"/>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Învățământul secundar general</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396488</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336713</w:t>
                  </w:r>
                </w:p>
              </w:tc>
            </w:tr>
            <w:tr w:rsidR="00B9044D" w:rsidRPr="00367ECE" w:rsidTr="006F50E2">
              <w:trPr>
                <w:trHeight w:val="300"/>
                <w:jc w:val="center"/>
              </w:trPr>
              <w:tc>
                <w:tcPr>
                  <w:tcW w:w="3607" w:type="pct"/>
                  <w:gridSpan w:val="2"/>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Învățământul superior</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107813</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59647</w:t>
                  </w:r>
                </w:p>
              </w:tc>
            </w:tr>
            <w:tr w:rsidR="00B9044D" w:rsidRPr="00367ECE" w:rsidTr="006F50E2">
              <w:trPr>
                <w:trHeight w:val="300"/>
                <w:jc w:val="center"/>
              </w:trPr>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p>
              </w:tc>
              <w:tc>
                <w:tcPr>
                  <w:tcW w:w="2912"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b/>
                      <w:sz w:val="24"/>
                      <w:szCs w:val="24"/>
                      <w:lang w:val="ro-MD"/>
                    </w:rPr>
                  </w:pPr>
                  <w:r w:rsidRPr="00367ECE">
                    <w:rPr>
                      <w:rFonts w:ascii="Times New Roman" w:hAnsi="Times New Roman"/>
                      <w:b/>
                      <w:sz w:val="24"/>
                      <w:szCs w:val="24"/>
                      <w:lang w:val="ro-MD"/>
                    </w:rPr>
                    <w:t>2016-2017</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b/>
                      <w:sz w:val="24"/>
                      <w:szCs w:val="24"/>
                      <w:lang w:val="ro-MD"/>
                    </w:rPr>
                  </w:pPr>
                  <w:r w:rsidRPr="00367ECE">
                    <w:rPr>
                      <w:rFonts w:ascii="Times New Roman" w:hAnsi="Times New Roman"/>
                      <w:b/>
                      <w:sz w:val="24"/>
                      <w:szCs w:val="24"/>
                      <w:lang w:val="ro-MD"/>
                    </w:rPr>
                    <w:t>2021-2022</w:t>
                  </w:r>
                </w:p>
              </w:tc>
            </w:tr>
            <w:tr w:rsidR="00B9044D" w:rsidRPr="00367ECE" w:rsidTr="006F50E2">
              <w:trPr>
                <w:trHeight w:val="300"/>
                <w:jc w:val="center"/>
              </w:trPr>
              <w:tc>
                <w:tcPr>
                  <w:tcW w:w="3607" w:type="pct"/>
                  <w:gridSpan w:val="2"/>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Învățământul profesional tehnic secundar</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18980</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15077</w:t>
                  </w:r>
                </w:p>
              </w:tc>
            </w:tr>
            <w:tr w:rsidR="00B9044D" w:rsidRPr="00367ECE" w:rsidTr="006F50E2">
              <w:trPr>
                <w:trHeight w:val="300"/>
                <w:jc w:val="center"/>
              </w:trPr>
              <w:tc>
                <w:tcPr>
                  <w:tcW w:w="3607" w:type="pct"/>
                  <w:gridSpan w:val="2"/>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 xml:space="preserve">Învățământul profesional tehnic </w:t>
                  </w:r>
                  <w:proofErr w:type="spellStart"/>
                  <w:r w:rsidRPr="00367ECE">
                    <w:rPr>
                      <w:rFonts w:ascii="Times New Roman" w:hAnsi="Times New Roman"/>
                      <w:sz w:val="24"/>
                      <w:szCs w:val="24"/>
                      <w:lang w:val="ro-MD"/>
                    </w:rPr>
                    <w:t>postsecundar</w:t>
                  </w:r>
                  <w:proofErr w:type="spellEnd"/>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29811</w:t>
                  </w:r>
                </w:p>
              </w:tc>
              <w:tc>
                <w:tcPr>
                  <w:tcW w:w="696" w:type="pct"/>
                  <w:shd w:val="clear" w:color="auto" w:fill="auto"/>
                  <w:noWrap/>
                  <w:vAlign w:val="bottom"/>
                  <w:hideMark/>
                </w:tcPr>
                <w:p w:rsidR="00B9044D" w:rsidRPr="00367ECE" w:rsidRDefault="00B9044D" w:rsidP="006F50E2">
                  <w:pPr>
                    <w:spacing w:line="240" w:lineRule="auto"/>
                    <w:rPr>
                      <w:rFonts w:ascii="Times New Roman" w:hAnsi="Times New Roman"/>
                      <w:sz w:val="24"/>
                      <w:szCs w:val="24"/>
                      <w:lang w:val="ro-MD"/>
                    </w:rPr>
                  </w:pPr>
                  <w:r w:rsidRPr="00367ECE">
                    <w:rPr>
                      <w:rFonts w:ascii="Times New Roman" w:hAnsi="Times New Roman"/>
                      <w:sz w:val="24"/>
                      <w:szCs w:val="24"/>
                      <w:lang w:val="ro-MD"/>
                    </w:rPr>
                    <w:t>29766</w:t>
                  </w:r>
                </w:p>
              </w:tc>
            </w:tr>
          </w:tbl>
          <w:p w:rsidR="00B9044D" w:rsidRPr="00367ECE" w:rsidRDefault="00B9044D" w:rsidP="006F50E2">
            <w:pPr>
              <w:pStyle w:val="ListParagraph"/>
              <w:spacing w:after="0" w:line="240" w:lineRule="auto"/>
              <w:ind w:left="0" w:firstLine="567"/>
              <w:rPr>
                <w:rFonts w:ascii="Times New Roman" w:hAnsi="Times New Roman"/>
                <w:sz w:val="24"/>
                <w:szCs w:val="24"/>
                <w:lang w:val="ro-MD"/>
              </w:rPr>
            </w:pPr>
          </w:p>
          <w:p w:rsidR="00B9044D" w:rsidRPr="00367ECE" w:rsidRDefault="00B9044D" w:rsidP="006F50E2">
            <w:pPr>
              <w:pStyle w:val="NormalWeb"/>
              <w:shd w:val="clear" w:color="auto" w:fill="FFFFFF"/>
              <w:rPr>
                <w:lang w:val="ro-MD"/>
              </w:rPr>
            </w:pPr>
            <w:r w:rsidRPr="00367ECE">
              <w:rPr>
                <w:lang w:val="ro-MD"/>
              </w:rPr>
              <w:t xml:space="preserve">În anul de studii 2021-2022, în învățământul superior sunt cuprinși 59,7 mii de studenți, în ușoară creștere comparativ cu anul de studii precedent (cu 1,2%) în cele 24 de </w:t>
            </w:r>
            <w:proofErr w:type="spellStart"/>
            <w:r w:rsidRPr="00367ECE">
              <w:rPr>
                <w:lang w:val="ro-MD"/>
              </w:rPr>
              <w:t>intituții</w:t>
            </w:r>
            <w:proofErr w:type="spellEnd"/>
            <w:r w:rsidRPr="00367ECE">
              <w:rPr>
                <w:lang w:val="ro-MD"/>
              </w:rPr>
              <w:t xml:space="preserve"> de învățământ superior (16 publice și 8 private). Ponderea studenților la forma de învățământ cu frecvență era superioară (62,6%) celei cu frecvență redusă (37,4%). În instituțiile de învățământ superior publice sunt înscriși 50,2 mii studenți, cu 1,4% mai mult comparativ cu anul de studii 2020-2021, reprezentând 84,1% din totalul studenților. Peste jumătate din studenții instituțiilor publice urmează studiile în bază de contract (56,6%).</w:t>
            </w:r>
          </w:p>
          <w:p w:rsidR="00B9044D" w:rsidRPr="00367ECE" w:rsidRDefault="00B9044D" w:rsidP="006F50E2">
            <w:pPr>
              <w:pStyle w:val="ListParagraph"/>
              <w:widowControl w:val="0"/>
              <w:autoSpaceDE w:val="0"/>
              <w:autoSpaceDN w:val="0"/>
              <w:adjustRightInd w:val="0"/>
              <w:spacing w:after="0"/>
              <w:ind w:left="0" w:firstLine="227"/>
              <w:jc w:val="both"/>
              <w:rPr>
                <w:rFonts w:ascii="Times New Roman" w:hAnsi="Times New Roman"/>
                <w:sz w:val="24"/>
                <w:szCs w:val="24"/>
                <w:lang w:val="ro-MD"/>
              </w:rPr>
            </w:pPr>
            <w:r w:rsidRPr="00367ECE">
              <w:rPr>
                <w:rFonts w:ascii="Times New Roman" w:hAnsi="Times New Roman"/>
                <w:b/>
                <w:bCs/>
                <w:sz w:val="24"/>
                <w:szCs w:val="24"/>
                <w:lang w:val="ro-MD"/>
              </w:rPr>
              <w:t xml:space="preserve">Prea multe </w:t>
            </w:r>
            <w:proofErr w:type="spellStart"/>
            <w:r w:rsidRPr="00367ECE">
              <w:rPr>
                <w:rFonts w:ascii="Times New Roman" w:hAnsi="Times New Roman"/>
                <w:b/>
                <w:bCs/>
                <w:sz w:val="24"/>
                <w:szCs w:val="24"/>
                <w:lang w:val="ro-MD"/>
              </w:rPr>
              <w:t>instituţii</w:t>
            </w:r>
            <w:proofErr w:type="spellEnd"/>
            <w:r w:rsidRPr="00367ECE">
              <w:rPr>
                <w:rFonts w:ascii="Times New Roman" w:hAnsi="Times New Roman"/>
                <w:b/>
                <w:bCs/>
                <w:sz w:val="24"/>
                <w:szCs w:val="24"/>
                <w:lang w:val="ro-MD"/>
              </w:rPr>
              <w:t xml:space="preserve"> de </w:t>
            </w:r>
            <w:proofErr w:type="spellStart"/>
            <w:r w:rsidRPr="00367ECE">
              <w:rPr>
                <w:rFonts w:ascii="Times New Roman" w:hAnsi="Times New Roman"/>
                <w:b/>
                <w:bCs/>
                <w:sz w:val="24"/>
                <w:szCs w:val="24"/>
                <w:lang w:val="ro-MD"/>
              </w:rPr>
              <w:t>învăţământ</w:t>
            </w:r>
            <w:proofErr w:type="spellEnd"/>
            <w:r w:rsidRPr="00367ECE">
              <w:rPr>
                <w:rFonts w:ascii="Times New Roman" w:hAnsi="Times New Roman"/>
                <w:b/>
                <w:bCs/>
                <w:sz w:val="24"/>
                <w:szCs w:val="24"/>
                <w:lang w:val="ro-MD"/>
              </w:rPr>
              <w:t xml:space="preserve"> superior concurează pentru numărul de </w:t>
            </w:r>
            <w:proofErr w:type="spellStart"/>
            <w:r w:rsidRPr="00367ECE">
              <w:rPr>
                <w:rFonts w:ascii="Times New Roman" w:hAnsi="Times New Roman"/>
                <w:b/>
                <w:bCs/>
                <w:sz w:val="24"/>
                <w:szCs w:val="24"/>
                <w:lang w:val="ro-MD"/>
              </w:rPr>
              <w:t>studenţi</w:t>
            </w:r>
            <w:proofErr w:type="spellEnd"/>
            <w:r w:rsidRPr="00367ECE">
              <w:rPr>
                <w:rFonts w:ascii="Times New Roman" w:hAnsi="Times New Roman"/>
                <w:b/>
                <w:bCs/>
                <w:sz w:val="24"/>
                <w:szCs w:val="24"/>
                <w:lang w:val="ro-MD"/>
              </w:rPr>
              <w:t xml:space="preserve"> în scădere. </w:t>
            </w:r>
            <w:r w:rsidRPr="00367ECE">
              <w:rPr>
                <w:rFonts w:ascii="Times New Roman" w:hAnsi="Times New Roman"/>
                <w:bCs/>
                <w:sz w:val="24"/>
                <w:szCs w:val="24"/>
                <w:lang w:val="ro-MD"/>
              </w:rPr>
              <w:t xml:space="preserve">Majoritatea acestor </w:t>
            </w:r>
            <w:proofErr w:type="spellStart"/>
            <w:r w:rsidRPr="00367ECE">
              <w:rPr>
                <w:rFonts w:ascii="Times New Roman" w:hAnsi="Times New Roman"/>
                <w:bCs/>
                <w:sz w:val="24"/>
                <w:szCs w:val="24"/>
                <w:lang w:val="ro-MD"/>
              </w:rPr>
              <w:t>instituţii</w:t>
            </w:r>
            <w:proofErr w:type="spellEnd"/>
            <w:r w:rsidRPr="00367ECE">
              <w:rPr>
                <w:rFonts w:ascii="Times New Roman" w:hAnsi="Times New Roman"/>
                <w:bCs/>
                <w:sz w:val="24"/>
                <w:szCs w:val="24"/>
                <w:lang w:val="ro-MD"/>
              </w:rPr>
              <w:t xml:space="preserve"> sunt prea mici pentru a </w:t>
            </w:r>
            <w:proofErr w:type="spellStart"/>
            <w:r w:rsidRPr="00367ECE">
              <w:rPr>
                <w:rFonts w:ascii="Times New Roman" w:hAnsi="Times New Roman"/>
                <w:bCs/>
                <w:sz w:val="24"/>
                <w:szCs w:val="24"/>
                <w:lang w:val="ro-MD"/>
              </w:rPr>
              <w:t>funcţiona</w:t>
            </w:r>
            <w:proofErr w:type="spellEnd"/>
            <w:r w:rsidRPr="00367ECE">
              <w:rPr>
                <w:rFonts w:ascii="Times New Roman" w:hAnsi="Times New Roman"/>
                <w:bCs/>
                <w:sz w:val="24"/>
                <w:szCs w:val="24"/>
                <w:lang w:val="ro-MD"/>
              </w:rPr>
              <w:t xml:space="preserve"> eficient, având la activ </w:t>
            </w:r>
            <w:proofErr w:type="spellStart"/>
            <w:r w:rsidRPr="00367ECE">
              <w:rPr>
                <w:rFonts w:ascii="Times New Roman" w:hAnsi="Times New Roman"/>
                <w:bCs/>
                <w:sz w:val="24"/>
                <w:szCs w:val="24"/>
                <w:lang w:val="ro-MD"/>
              </w:rPr>
              <w:t>administraţii</w:t>
            </w:r>
            <w:proofErr w:type="spellEnd"/>
            <w:r w:rsidRPr="00367ECE">
              <w:rPr>
                <w:rFonts w:ascii="Times New Roman" w:hAnsi="Times New Roman"/>
                <w:bCs/>
                <w:sz w:val="24"/>
                <w:szCs w:val="24"/>
                <w:lang w:val="ro-MD"/>
              </w:rPr>
              <w:t xml:space="preserve"> </w:t>
            </w:r>
            <w:proofErr w:type="spellStart"/>
            <w:r w:rsidRPr="00367ECE">
              <w:rPr>
                <w:rFonts w:ascii="Times New Roman" w:hAnsi="Times New Roman"/>
                <w:bCs/>
                <w:sz w:val="24"/>
                <w:szCs w:val="24"/>
                <w:lang w:val="ro-MD"/>
              </w:rPr>
              <w:t>şi</w:t>
            </w:r>
            <w:proofErr w:type="spellEnd"/>
            <w:r w:rsidRPr="00367ECE">
              <w:rPr>
                <w:rFonts w:ascii="Times New Roman" w:hAnsi="Times New Roman"/>
                <w:bCs/>
                <w:sz w:val="24"/>
                <w:szCs w:val="24"/>
                <w:lang w:val="ro-MD"/>
              </w:rPr>
              <w:t xml:space="preserve"> infrastructuri statice care nu sunt adaptate numărului schimbător de </w:t>
            </w:r>
            <w:proofErr w:type="spellStart"/>
            <w:r w:rsidRPr="00367ECE">
              <w:rPr>
                <w:rFonts w:ascii="Times New Roman" w:hAnsi="Times New Roman"/>
                <w:bCs/>
                <w:sz w:val="24"/>
                <w:szCs w:val="24"/>
                <w:lang w:val="ro-MD"/>
              </w:rPr>
              <w:t>abiturienţi</w:t>
            </w:r>
            <w:proofErr w:type="spellEnd"/>
            <w:r w:rsidRPr="00367ECE">
              <w:rPr>
                <w:rFonts w:ascii="Times New Roman" w:hAnsi="Times New Roman"/>
                <w:bCs/>
                <w:sz w:val="24"/>
                <w:szCs w:val="24"/>
                <w:lang w:val="ro-MD"/>
              </w:rPr>
              <w:t xml:space="preserve">. Mai mult decât atât, calitatea infrastructurii generează </w:t>
            </w:r>
            <w:proofErr w:type="spellStart"/>
            <w:r w:rsidRPr="00367ECE">
              <w:rPr>
                <w:rFonts w:ascii="Times New Roman" w:hAnsi="Times New Roman"/>
                <w:bCs/>
                <w:sz w:val="24"/>
                <w:szCs w:val="24"/>
                <w:lang w:val="ro-MD"/>
              </w:rPr>
              <w:t>ineficienţele</w:t>
            </w:r>
            <w:proofErr w:type="spellEnd"/>
            <w:r w:rsidRPr="00367ECE">
              <w:rPr>
                <w:rFonts w:ascii="Times New Roman" w:hAnsi="Times New Roman"/>
                <w:bCs/>
                <w:sz w:val="24"/>
                <w:szCs w:val="24"/>
                <w:lang w:val="ro-MD"/>
              </w:rPr>
              <w:t xml:space="preserve"> în cadrul sistemului. Luate împreună, aceste </w:t>
            </w:r>
            <w:proofErr w:type="spellStart"/>
            <w:r w:rsidRPr="00367ECE">
              <w:rPr>
                <w:rFonts w:ascii="Times New Roman" w:hAnsi="Times New Roman"/>
                <w:bCs/>
                <w:sz w:val="24"/>
                <w:szCs w:val="24"/>
                <w:lang w:val="ro-MD"/>
              </w:rPr>
              <w:t>circumstanţe</w:t>
            </w:r>
            <w:proofErr w:type="spellEnd"/>
            <w:r w:rsidRPr="00367ECE">
              <w:rPr>
                <w:rFonts w:ascii="Times New Roman" w:hAnsi="Times New Roman"/>
                <w:bCs/>
                <w:sz w:val="24"/>
                <w:szCs w:val="24"/>
                <w:lang w:val="ro-MD"/>
              </w:rPr>
              <w:t xml:space="preserve"> îndeamnă la o consolidare a </w:t>
            </w:r>
            <w:proofErr w:type="spellStart"/>
            <w:r w:rsidRPr="00367ECE">
              <w:rPr>
                <w:rFonts w:ascii="Times New Roman" w:hAnsi="Times New Roman"/>
                <w:bCs/>
                <w:sz w:val="24"/>
                <w:szCs w:val="24"/>
                <w:lang w:val="ro-MD"/>
              </w:rPr>
              <w:t>reţelei</w:t>
            </w:r>
            <w:proofErr w:type="spellEnd"/>
            <w:r w:rsidRPr="00367ECE">
              <w:rPr>
                <w:rFonts w:ascii="Times New Roman" w:hAnsi="Times New Roman"/>
                <w:bCs/>
                <w:sz w:val="24"/>
                <w:szCs w:val="24"/>
                <w:lang w:val="ro-MD"/>
              </w:rPr>
              <w:t xml:space="preserve"> de </w:t>
            </w:r>
            <w:proofErr w:type="spellStart"/>
            <w:r w:rsidRPr="00367ECE">
              <w:rPr>
                <w:rFonts w:ascii="Times New Roman" w:hAnsi="Times New Roman"/>
                <w:bCs/>
                <w:sz w:val="24"/>
                <w:szCs w:val="24"/>
                <w:lang w:val="ro-MD"/>
              </w:rPr>
              <w:t>instituţii</w:t>
            </w:r>
            <w:proofErr w:type="spellEnd"/>
            <w:r w:rsidRPr="00367ECE">
              <w:rPr>
                <w:rFonts w:ascii="Times New Roman" w:hAnsi="Times New Roman"/>
                <w:bCs/>
                <w:sz w:val="24"/>
                <w:szCs w:val="24"/>
                <w:lang w:val="ro-MD"/>
              </w:rPr>
              <w:t xml:space="preserve"> publice de </w:t>
            </w:r>
            <w:proofErr w:type="spellStart"/>
            <w:r w:rsidRPr="00367ECE">
              <w:rPr>
                <w:rFonts w:ascii="Times New Roman" w:hAnsi="Times New Roman"/>
                <w:bCs/>
                <w:sz w:val="24"/>
                <w:szCs w:val="24"/>
                <w:lang w:val="ro-MD"/>
              </w:rPr>
              <w:t>învăţământ</w:t>
            </w:r>
            <w:proofErr w:type="spellEnd"/>
            <w:r w:rsidRPr="00367ECE">
              <w:rPr>
                <w:rFonts w:ascii="Times New Roman" w:hAnsi="Times New Roman"/>
                <w:bCs/>
                <w:sz w:val="24"/>
                <w:szCs w:val="24"/>
                <w:lang w:val="ro-MD"/>
              </w:rPr>
              <w:t xml:space="preserve"> superior.</w:t>
            </w:r>
            <w:r w:rsidRPr="00367ECE">
              <w:rPr>
                <w:rFonts w:ascii="Times New Roman" w:hAnsi="Times New Roman"/>
                <w:b/>
                <w:bCs/>
                <w:sz w:val="24"/>
                <w:szCs w:val="24"/>
                <w:lang w:val="ro-MD"/>
              </w:rPr>
              <w:t xml:space="preserve"> </w:t>
            </w:r>
            <w:r w:rsidRPr="00367ECE">
              <w:rPr>
                <w:rFonts w:ascii="Times New Roman" w:hAnsi="Times New Roman"/>
                <w:sz w:val="24"/>
                <w:szCs w:val="24"/>
                <w:lang w:val="ro-MD"/>
              </w:rPr>
              <w:t xml:space="preserve">Numărul </w:t>
            </w:r>
            <w:proofErr w:type="spellStart"/>
            <w:r w:rsidRPr="00367ECE">
              <w:rPr>
                <w:rFonts w:ascii="Times New Roman" w:hAnsi="Times New Roman"/>
                <w:sz w:val="24"/>
                <w:szCs w:val="24"/>
                <w:lang w:val="ro-MD"/>
              </w:rPr>
              <w:t>disproporţionat</w:t>
            </w:r>
            <w:proofErr w:type="spellEnd"/>
            <w:r w:rsidRPr="00367ECE">
              <w:rPr>
                <w:rFonts w:ascii="Times New Roman" w:hAnsi="Times New Roman"/>
                <w:sz w:val="24"/>
                <w:szCs w:val="24"/>
                <w:lang w:val="ro-MD"/>
              </w:rPr>
              <w:t xml:space="preserve"> de mare al acestor </w:t>
            </w:r>
            <w:proofErr w:type="spellStart"/>
            <w:r w:rsidRPr="00367ECE">
              <w:rPr>
                <w:rFonts w:ascii="Times New Roman" w:hAnsi="Times New Roman"/>
                <w:sz w:val="24"/>
                <w:szCs w:val="24"/>
                <w:lang w:val="ro-MD"/>
              </w:rPr>
              <w:t>instituţii</w:t>
            </w:r>
            <w:proofErr w:type="spellEnd"/>
            <w:r w:rsidRPr="00367ECE">
              <w:rPr>
                <w:rFonts w:ascii="Times New Roman" w:hAnsi="Times New Roman"/>
                <w:sz w:val="24"/>
                <w:szCs w:val="24"/>
                <w:lang w:val="ro-MD"/>
              </w:rPr>
              <w:t xml:space="preserve"> denotă </w:t>
            </w:r>
            <w:proofErr w:type="spellStart"/>
            <w:r w:rsidRPr="00367ECE">
              <w:rPr>
                <w:rFonts w:ascii="Times New Roman" w:hAnsi="Times New Roman"/>
                <w:sz w:val="24"/>
                <w:szCs w:val="24"/>
                <w:lang w:val="ro-MD"/>
              </w:rPr>
              <w:t>existenţa</w:t>
            </w:r>
            <w:proofErr w:type="spellEnd"/>
            <w:r w:rsidRPr="00367ECE">
              <w:rPr>
                <w:rFonts w:ascii="Times New Roman" w:hAnsi="Times New Roman"/>
                <w:sz w:val="24"/>
                <w:szCs w:val="24"/>
                <w:lang w:val="ro-MD"/>
              </w:rPr>
              <w:t xml:space="preserve"> unor disponibilizări financiare în cadrul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între </w:t>
            </w:r>
            <w:proofErr w:type="spellStart"/>
            <w:r w:rsidRPr="00367ECE">
              <w:rPr>
                <w:rFonts w:ascii="Times New Roman" w:hAnsi="Times New Roman"/>
                <w:sz w:val="24"/>
                <w:szCs w:val="24"/>
                <w:lang w:val="ro-MD"/>
              </w:rPr>
              <w:t>instituţii</w:t>
            </w:r>
            <w:proofErr w:type="spellEnd"/>
            <w:r w:rsidRPr="00367ECE">
              <w:rPr>
                <w:rFonts w:ascii="Times New Roman" w:hAnsi="Times New Roman"/>
                <w:sz w:val="24"/>
                <w:szCs w:val="24"/>
                <w:lang w:val="ro-MD"/>
              </w:rPr>
              <w:t xml:space="preserve">, dat fiind numărul mic de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din fiecare </w:t>
            </w:r>
            <w:proofErr w:type="spellStart"/>
            <w:r w:rsidRPr="00367ECE">
              <w:rPr>
                <w:rFonts w:ascii="Times New Roman" w:hAnsi="Times New Roman"/>
                <w:sz w:val="24"/>
                <w:szCs w:val="24"/>
                <w:lang w:val="ro-MD"/>
              </w:rPr>
              <w:t>instituţie</w:t>
            </w:r>
            <w:proofErr w:type="spellEnd"/>
            <w:r w:rsidRPr="00367ECE">
              <w:rPr>
                <w:rFonts w:ascii="Times New Roman" w:hAnsi="Times New Roman"/>
                <w:sz w:val="24"/>
                <w:szCs w:val="24"/>
                <w:lang w:val="ro-MD"/>
              </w:rPr>
              <w:t xml:space="preserve">. De exemplu, fiecare </w:t>
            </w:r>
            <w:proofErr w:type="spellStart"/>
            <w:r w:rsidRPr="00367ECE">
              <w:rPr>
                <w:rFonts w:ascii="Times New Roman" w:hAnsi="Times New Roman"/>
                <w:sz w:val="24"/>
                <w:szCs w:val="24"/>
                <w:lang w:val="ro-MD"/>
              </w:rPr>
              <w:t>instituţie</w:t>
            </w:r>
            <w:proofErr w:type="spellEnd"/>
            <w:r w:rsidRPr="00367ECE">
              <w:rPr>
                <w:rFonts w:ascii="Times New Roman" w:hAnsi="Times New Roman"/>
                <w:sz w:val="24"/>
                <w:szCs w:val="24"/>
                <w:lang w:val="ro-MD"/>
              </w:rPr>
              <w:t xml:space="preserve"> de </w:t>
            </w:r>
            <w:proofErr w:type="spellStart"/>
            <w:r w:rsidRPr="00367ECE">
              <w:rPr>
                <w:rFonts w:ascii="Times New Roman" w:hAnsi="Times New Roman"/>
                <w:sz w:val="24"/>
                <w:szCs w:val="24"/>
                <w:lang w:val="ro-MD"/>
              </w:rPr>
              <w:t>învăţământ</w:t>
            </w:r>
            <w:proofErr w:type="spellEnd"/>
            <w:r w:rsidRPr="00367ECE">
              <w:rPr>
                <w:rFonts w:ascii="Times New Roman" w:hAnsi="Times New Roman"/>
                <w:sz w:val="24"/>
                <w:szCs w:val="24"/>
                <w:lang w:val="ro-MD"/>
              </w:rPr>
              <w:t xml:space="preserve"> superior din sistem este obligată să dispună de o infrastructură administrativă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didactică proprie, o bună parte din care nu se reduce </w:t>
            </w:r>
            <w:r w:rsidRPr="00367ECE">
              <w:rPr>
                <w:rFonts w:ascii="Times New Roman" w:hAnsi="Times New Roman"/>
                <w:sz w:val="24"/>
                <w:szCs w:val="24"/>
                <w:lang w:val="ro-MD"/>
              </w:rPr>
              <w:lastRenderedPageBreak/>
              <w:t xml:space="preserve">în conformitate cu numărul de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înmatriculaţi</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Instituţiile</w:t>
            </w:r>
            <w:proofErr w:type="spellEnd"/>
            <w:r w:rsidRPr="00367ECE">
              <w:rPr>
                <w:rFonts w:ascii="Times New Roman" w:hAnsi="Times New Roman"/>
                <w:sz w:val="24"/>
                <w:szCs w:val="24"/>
                <w:lang w:val="ro-MD"/>
              </w:rPr>
              <w:t xml:space="preserve"> de </w:t>
            </w:r>
            <w:proofErr w:type="spellStart"/>
            <w:r w:rsidRPr="00367ECE">
              <w:rPr>
                <w:rFonts w:ascii="Times New Roman" w:hAnsi="Times New Roman"/>
                <w:sz w:val="24"/>
                <w:szCs w:val="24"/>
                <w:lang w:val="ro-MD"/>
              </w:rPr>
              <w:t>învăţământ</w:t>
            </w:r>
            <w:proofErr w:type="spellEnd"/>
            <w:r w:rsidRPr="00367ECE">
              <w:rPr>
                <w:rFonts w:ascii="Times New Roman" w:hAnsi="Times New Roman"/>
                <w:sz w:val="24"/>
                <w:szCs w:val="24"/>
                <w:lang w:val="ro-MD"/>
              </w:rPr>
              <w:t xml:space="preserve"> superior au nevoie de un număr similar de rectori, prorectori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decani, indiferent de faptul dacă în programele lor s-au înmatriculat 200 sau 10000 de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Mai mult decât atât,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infrastructurile, inclusiv TIC sunt costisitoare per student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funcţionează</w:t>
            </w:r>
            <w:proofErr w:type="spellEnd"/>
            <w:r w:rsidRPr="00367ECE">
              <w:rPr>
                <w:rFonts w:ascii="Times New Roman" w:hAnsi="Times New Roman"/>
                <w:sz w:val="24"/>
                <w:szCs w:val="24"/>
                <w:lang w:val="ro-MD"/>
              </w:rPr>
              <w:t xml:space="preserve"> sub capacitate, ceea ce reprezintă un alt gen de </w:t>
            </w:r>
            <w:proofErr w:type="spellStart"/>
            <w:r w:rsidRPr="00367ECE">
              <w:rPr>
                <w:rFonts w:ascii="Times New Roman" w:hAnsi="Times New Roman"/>
                <w:sz w:val="24"/>
                <w:szCs w:val="24"/>
                <w:lang w:val="ro-MD"/>
              </w:rPr>
              <w:t>ineficienţă</w:t>
            </w:r>
            <w:proofErr w:type="spellEnd"/>
            <w:r w:rsidRPr="00367ECE">
              <w:rPr>
                <w:rFonts w:ascii="Times New Roman" w:hAnsi="Times New Roman"/>
                <w:sz w:val="24"/>
                <w:szCs w:val="24"/>
                <w:lang w:val="ro-MD"/>
              </w:rPr>
              <w:t xml:space="preserve"> structurală. O </w:t>
            </w:r>
            <w:proofErr w:type="spellStart"/>
            <w:r w:rsidRPr="00367ECE">
              <w:rPr>
                <w:rFonts w:ascii="Times New Roman" w:hAnsi="Times New Roman"/>
                <w:sz w:val="24"/>
                <w:szCs w:val="24"/>
                <w:lang w:val="ro-MD"/>
              </w:rPr>
              <w:t>instituţie</w:t>
            </w:r>
            <w:proofErr w:type="spellEnd"/>
            <w:r w:rsidRPr="00367ECE">
              <w:rPr>
                <w:rFonts w:ascii="Times New Roman" w:hAnsi="Times New Roman"/>
                <w:sz w:val="24"/>
                <w:szCs w:val="24"/>
                <w:lang w:val="ro-MD"/>
              </w:rPr>
              <w:t xml:space="preserve"> de </w:t>
            </w:r>
            <w:proofErr w:type="spellStart"/>
            <w:r w:rsidRPr="00367ECE">
              <w:rPr>
                <w:rFonts w:ascii="Times New Roman" w:hAnsi="Times New Roman"/>
                <w:sz w:val="24"/>
                <w:szCs w:val="24"/>
                <w:lang w:val="ro-MD"/>
              </w:rPr>
              <w:t>învăţământ</w:t>
            </w:r>
            <w:proofErr w:type="spellEnd"/>
            <w:r w:rsidRPr="00367ECE">
              <w:rPr>
                <w:rFonts w:ascii="Times New Roman" w:hAnsi="Times New Roman"/>
                <w:sz w:val="24"/>
                <w:szCs w:val="24"/>
                <w:lang w:val="ro-MD"/>
              </w:rPr>
              <w:t xml:space="preserve"> superior este nevoită să cheltuiască </w:t>
            </w:r>
            <w:proofErr w:type="spellStart"/>
            <w:r w:rsidRPr="00367ECE">
              <w:rPr>
                <w:rFonts w:ascii="Times New Roman" w:hAnsi="Times New Roman"/>
                <w:sz w:val="24"/>
                <w:szCs w:val="24"/>
                <w:lang w:val="ro-MD"/>
              </w:rPr>
              <w:t>aceiaşi</w:t>
            </w:r>
            <w:proofErr w:type="spellEnd"/>
            <w:r w:rsidRPr="00367ECE">
              <w:rPr>
                <w:rFonts w:ascii="Times New Roman" w:hAnsi="Times New Roman"/>
                <w:sz w:val="24"/>
                <w:szCs w:val="24"/>
                <w:lang w:val="ro-MD"/>
              </w:rPr>
              <w:t xml:space="preserve"> bani pentru </w:t>
            </w:r>
            <w:proofErr w:type="spellStart"/>
            <w:r w:rsidRPr="00367ECE">
              <w:rPr>
                <w:rFonts w:ascii="Times New Roman" w:hAnsi="Times New Roman"/>
                <w:sz w:val="24"/>
                <w:szCs w:val="24"/>
                <w:lang w:val="ro-MD"/>
              </w:rPr>
              <w:t>întreţinerea</w:t>
            </w:r>
            <w:proofErr w:type="spellEnd"/>
            <w:r w:rsidRPr="00367ECE">
              <w:rPr>
                <w:rFonts w:ascii="Times New Roman" w:hAnsi="Times New Roman"/>
                <w:sz w:val="24"/>
                <w:szCs w:val="24"/>
                <w:lang w:val="ro-MD"/>
              </w:rPr>
              <w:t xml:space="preserve"> unui metru pătrat de sală de clasă sau de laborator pentru a instrui 5, 10 sau 25 de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w:t>
            </w:r>
          </w:p>
          <w:p w:rsidR="00B9044D" w:rsidRPr="00367ECE" w:rsidRDefault="00B9044D" w:rsidP="006F50E2">
            <w:pPr>
              <w:pStyle w:val="ListParagraph"/>
              <w:widowControl w:val="0"/>
              <w:autoSpaceDE w:val="0"/>
              <w:autoSpaceDN w:val="0"/>
              <w:adjustRightInd w:val="0"/>
              <w:spacing w:after="0"/>
              <w:ind w:left="0" w:firstLine="227"/>
              <w:jc w:val="both"/>
              <w:rPr>
                <w:rFonts w:ascii="Times New Roman" w:hAnsi="Times New Roman"/>
                <w:sz w:val="24"/>
                <w:szCs w:val="24"/>
                <w:lang w:val="ro-MD"/>
              </w:rPr>
            </w:pPr>
            <w:r w:rsidRPr="00367ECE">
              <w:rPr>
                <w:rFonts w:ascii="Times New Roman" w:hAnsi="Times New Roman"/>
                <w:sz w:val="24"/>
                <w:szCs w:val="24"/>
                <w:lang w:val="ro-MD"/>
              </w:rPr>
              <w:t xml:space="preserve">      Un număr mai mare de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înmatriculaţi</w:t>
            </w:r>
            <w:proofErr w:type="spellEnd"/>
            <w:r w:rsidRPr="00367ECE">
              <w:rPr>
                <w:rFonts w:ascii="Times New Roman" w:hAnsi="Times New Roman"/>
                <w:sz w:val="24"/>
                <w:szCs w:val="24"/>
                <w:lang w:val="ro-MD"/>
              </w:rPr>
              <w:t xml:space="preserve"> contribuie la utilizarea mai eficientă a </w:t>
            </w:r>
            <w:proofErr w:type="spellStart"/>
            <w:r w:rsidRPr="00367ECE">
              <w:rPr>
                <w:rFonts w:ascii="Times New Roman" w:hAnsi="Times New Roman"/>
                <w:sz w:val="24"/>
                <w:szCs w:val="24"/>
                <w:lang w:val="ro-MD"/>
              </w:rPr>
              <w:t>spaţiilor</w:t>
            </w:r>
            <w:proofErr w:type="spellEnd"/>
            <w:r w:rsidRPr="00367ECE">
              <w:rPr>
                <w:rFonts w:ascii="Times New Roman" w:hAnsi="Times New Roman"/>
                <w:sz w:val="24"/>
                <w:szCs w:val="24"/>
                <w:lang w:val="ro-MD"/>
              </w:rPr>
              <w:t xml:space="preserve">, deoarece sălile de clasă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laboratoarele sunt ocupate mai aproape de capacitatea lor, fiind folosite mai frecvent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pentru perioade mai îndelungate în timpul zilei.</w:t>
            </w:r>
          </w:p>
          <w:p w:rsidR="00B9044D" w:rsidRPr="00367ECE" w:rsidRDefault="00B9044D" w:rsidP="00945B1D">
            <w:pPr>
              <w:spacing w:before="120" w:after="0" w:line="240" w:lineRule="auto"/>
              <w:jc w:val="both"/>
              <w:rPr>
                <w:rFonts w:ascii="Times New Roman" w:eastAsia="MS Mincho" w:hAnsi="Times New Roman"/>
                <w:b/>
                <w:i/>
                <w:sz w:val="24"/>
                <w:szCs w:val="24"/>
                <w:lang w:val="ro-MD"/>
              </w:rPr>
            </w:pPr>
            <w:r w:rsidRPr="00367ECE">
              <w:rPr>
                <w:rFonts w:ascii="Times New Roman" w:eastAsia="MS Mincho" w:hAnsi="Times New Roman"/>
                <w:b/>
                <w:sz w:val="24"/>
                <w:szCs w:val="24"/>
                <w:lang w:val="ro-MD"/>
              </w:rPr>
              <w:t xml:space="preserve">Cercetarea științifică la nivel universitar se confruntă cu probleme legate de sistemul binar de cercetare și educație,  de management ineficient al domeniilor cercetării și </w:t>
            </w:r>
            <w:r w:rsidRPr="00367ECE">
              <w:rPr>
                <w:rFonts w:ascii="Times New Roman" w:hAnsi="Times New Roman"/>
                <w:b/>
                <w:sz w:val="24"/>
                <w:szCs w:val="24"/>
                <w:lang w:val="ro-MD"/>
              </w:rPr>
              <w:t xml:space="preserve"> inovării, de nivelul scăzut de corelare a învățământului superior cu cercetarea și piața muncii</w:t>
            </w:r>
            <w:r w:rsidRPr="00367ECE">
              <w:rPr>
                <w:rFonts w:ascii="Times New Roman" w:eastAsia="MS Mincho" w:hAnsi="Times New Roman"/>
                <w:b/>
                <w:sz w:val="24"/>
                <w:szCs w:val="24"/>
                <w:lang w:val="ro-MD"/>
              </w:rPr>
              <w:t>, de lipsa de motivare a tinerilor pentru activitatea de cercetare și cariera universitară,  infrastructura cercetării fiind depășită și slab ajustată la standardele internaționale.</w:t>
            </w:r>
          </w:p>
          <w:p w:rsidR="00B9044D" w:rsidRPr="00367ECE" w:rsidRDefault="00B9044D" w:rsidP="006F50E2">
            <w:pPr>
              <w:spacing w:before="120"/>
              <w:ind w:left="207"/>
              <w:rPr>
                <w:rFonts w:ascii="Times New Roman" w:eastAsia="MS Mincho" w:hAnsi="Times New Roman"/>
                <w:b/>
                <w:i/>
                <w:sz w:val="24"/>
                <w:szCs w:val="24"/>
                <w:lang w:val="ro-MD"/>
              </w:rPr>
            </w:pPr>
            <w:r w:rsidRPr="00367ECE">
              <w:rPr>
                <w:rFonts w:ascii="Times New Roman" w:eastAsia="MS Mincho" w:hAnsi="Times New Roman"/>
                <w:i/>
                <w:sz w:val="24"/>
                <w:szCs w:val="24"/>
                <w:lang w:val="ro-MD"/>
              </w:rPr>
              <w:t>Finanțarea activităților de cercetare și inovare</w:t>
            </w:r>
            <w:r w:rsidRPr="00367ECE">
              <w:rPr>
                <w:rFonts w:ascii="Times New Roman" w:eastAsia="MS Mincho" w:hAnsi="Times New Roman"/>
                <w:sz w:val="24"/>
                <w:szCs w:val="24"/>
                <w:lang w:val="ro-MD"/>
              </w:rPr>
              <w:t xml:space="preserve"> în Republica Moldova per </w:t>
            </w:r>
            <w:proofErr w:type="spellStart"/>
            <w:r w:rsidRPr="00367ECE">
              <w:rPr>
                <w:rFonts w:ascii="Times New Roman" w:eastAsia="MS Mincho" w:hAnsi="Times New Roman"/>
                <w:sz w:val="24"/>
                <w:szCs w:val="24"/>
                <w:lang w:val="ro-MD"/>
              </w:rPr>
              <w:t>capita</w:t>
            </w:r>
            <w:proofErr w:type="spellEnd"/>
            <w:r w:rsidRPr="00367ECE">
              <w:rPr>
                <w:rFonts w:ascii="Times New Roman" w:eastAsia="MS Mincho" w:hAnsi="Times New Roman"/>
                <w:sz w:val="24"/>
                <w:szCs w:val="24"/>
                <w:lang w:val="ro-MD"/>
              </w:rPr>
              <w:t xml:space="preserve"> însumează aproximativ 6,6 €, fiind de 80 de ori mai redusă decât media europeană. Sumele alocate pentru activitățile de cercetare științifică constituie cca 0,24% din PIB, ceea ce este foarte puțin, comparativ cu țările europene. Ponderea cheltuielilor pentru activitățile de cercetare-inovare în sistemul de învățământ superior este cu mult mai mică decât pentru activitatea respectivă în cadrul altor sectoare, deși calificarea în sistemul universitar este de un nivel mai înalt.</w:t>
            </w:r>
          </w:p>
          <w:p w:rsidR="00B9044D" w:rsidRPr="00367ECE" w:rsidRDefault="00B9044D" w:rsidP="006F50E2">
            <w:pPr>
              <w:ind w:firstLine="567"/>
              <w:rPr>
                <w:rFonts w:ascii="Times New Roman" w:eastAsia="MS Mincho" w:hAnsi="Times New Roman"/>
                <w:sz w:val="24"/>
                <w:szCs w:val="24"/>
                <w:lang w:val="ro-MD"/>
              </w:rPr>
            </w:pPr>
            <w:r w:rsidRPr="00367ECE">
              <w:rPr>
                <w:rFonts w:ascii="Times New Roman" w:eastAsia="MS Mincho" w:hAnsi="Times New Roman"/>
                <w:i/>
                <w:sz w:val="24"/>
                <w:szCs w:val="24"/>
                <w:lang w:val="ro-MD"/>
              </w:rPr>
              <w:t>Cariera de cercetare</w:t>
            </w:r>
            <w:r w:rsidRPr="00367ECE">
              <w:rPr>
                <w:rFonts w:ascii="Times New Roman" w:eastAsia="MS Mincho" w:hAnsi="Times New Roman"/>
                <w:sz w:val="24"/>
                <w:szCs w:val="24"/>
                <w:lang w:val="ro-MD"/>
              </w:rPr>
              <w:t xml:space="preserve"> nu se află în topul preferințelor tinerilor. Deși în anul 2020 numărul doctoranzilor a constituit 1641 de persoane, cu o ușoară creștere în comparație cu anii 2019 și 2018, oricum numărul acestora a fost cu cca 50 și, respectiv, cu cca 100 de persoane mai mic decât în anul 2019, iar numărul absolvenților de doctorat fiind în continuă  descreștere. De menționat că numărul cercetătorilor, raportat la un milion de locuitori, este de 4,5 ori mai mic în Republica Moldova decât media europeană.</w:t>
            </w:r>
          </w:p>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 xml:space="preserve">Sistemul universitar  de </w:t>
            </w:r>
            <w:r w:rsidR="00945B1D" w:rsidRPr="00367ECE">
              <w:rPr>
                <w:rFonts w:ascii="Times New Roman" w:hAnsi="Times New Roman"/>
                <w:sz w:val="24"/>
                <w:szCs w:val="24"/>
                <w:lang w:val="ro-MD"/>
              </w:rPr>
              <w:t>formare și cercetare continu</w:t>
            </w:r>
            <w:r w:rsidRPr="00367ECE">
              <w:rPr>
                <w:rFonts w:ascii="Times New Roman" w:hAnsi="Times New Roman"/>
                <w:sz w:val="24"/>
                <w:szCs w:val="24"/>
                <w:lang w:val="ro-MD"/>
              </w:rPr>
              <w:t>e să se confrunte cu probleme sistemice, inclusiv la capitolul eficienței în contextul corelării finanțării cu performanțele sectorului, care sunt modeste pe dimensiunea finanțării în comparație cu alte state din regiune.</w:t>
            </w:r>
          </w:p>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 xml:space="preserve">Republica Moldova cu dificultate poate fi considerată competitivă la capitolul dezvoltării sistemului învățământului  superior și cercetării, care se situează în urma țărilor Europei Centrale și de Est, conform indicatorilor internaționali.  </w:t>
            </w:r>
          </w:p>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Astfel, potrivit Indicelui competitivității globale pentru  anul 2019, Republica Moldova acumulează 3.5 puncte  din 7 pentru indicatorul calitatea formării profesionale și o plasează în urma țărilor  baltice (Estonia – 4.7, Letonia – 4.2, Lituania – 4.2), cu mult în urma țărilor scandinave (de exemplu, Danemarca-5.6, Norvegia-5.2 și Suedia -4.9). La indicatorul proeminența instituțiilor d</w:t>
            </w:r>
            <w:r w:rsidR="00547DCE" w:rsidRPr="00367ECE">
              <w:rPr>
                <w:rFonts w:ascii="Times New Roman" w:hAnsi="Times New Roman"/>
                <w:sz w:val="24"/>
                <w:szCs w:val="24"/>
                <w:lang w:val="ro-MD"/>
              </w:rPr>
              <w:t>e cercetare Moldova acumulează 92</w:t>
            </w:r>
            <w:r w:rsidRPr="00367ECE">
              <w:rPr>
                <w:rFonts w:ascii="Times New Roman" w:hAnsi="Times New Roman"/>
                <w:sz w:val="24"/>
                <w:szCs w:val="24"/>
                <w:lang w:val="ro-MD"/>
              </w:rPr>
              <w:t>.00 puncte din 100. (</w:t>
            </w:r>
            <w:hyperlink r:id="rId6">
              <w:r w:rsidRPr="00367ECE">
                <w:rPr>
                  <w:rFonts w:ascii="Times New Roman" w:hAnsi="Times New Roman"/>
                  <w:sz w:val="24"/>
                  <w:szCs w:val="24"/>
                  <w:u w:val="single"/>
                  <w:lang w:val="ro-MD"/>
                </w:rPr>
                <w:t>https://www.weforum.org/reports/global-competitiveness-report-2019/</w:t>
              </w:r>
            </w:hyperlink>
            <w:r w:rsidRPr="00367ECE">
              <w:rPr>
                <w:rFonts w:ascii="Times New Roman" w:hAnsi="Times New Roman"/>
                <w:sz w:val="24"/>
                <w:szCs w:val="24"/>
                <w:lang w:val="ro-MD"/>
              </w:rPr>
              <w:t xml:space="preserve"> )</w:t>
            </w:r>
          </w:p>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Corelația dintre indicele de competitivitate globală (GCI 2019) și cei doi indicatori ai sistemului superior de învățământ - competențele absolvenților universitari (GCI 2019) și calitatea medie a instituțiilor de învățământ superior (</w:t>
            </w:r>
            <w:proofErr w:type="spellStart"/>
            <w:r w:rsidRPr="00367ECE">
              <w:rPr>
                <w:rFonts w:ascii="Times New Roman" w:hAnsi="Times New Roman"/>
                <w:sz w:val="24"/>
                <w:szCs w:val="24"/>
                <w:lang w:val="ro-MD"/>
              </w:rPr>
              <w:t>Legatum</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Prosperity</w:t>
            </w:r>
            <w:proofErr w:type="spellEnd"/>
            <w:r w:rsidRPr="00367ECE">
              <w:rPr>
                <w:rFonts w:ascii="Times New Roman" w:hAnsi="Times New Roman"/>
                <w:sz w:val="24"/>
                <w:szCs w:val="24"/>
                <w:lang w:val="ro-MD"/>
              </w:rPr>
              <w:t xml:space="preserve"> Index 2019) - arată că învățământul </w:t>
            </w:r>
            <w:r w:rsidRPr="00367ECE">
              <w:rPr>
                <w:rFonts w:ascii="Times New Roman" w:hAnsi="Times New Roman"/>
                <w:sz w:val="24"/>
                <w:szCs w:val="24"/>
                <w:lang w:val="ro-MD"/>
              </w:rPr>
              <w:lastRenderedPageBreak/>
              <w:t>superior din Republica Moldova resimte deja efectele defecțiunii și trebuie să-și îmbunătățească calitatea și competitivitatea (MDA în Fig. 1)</w:t>
            </w:r>
          </w:p>
          <w:p w:rsidR="00B9044D" w:rsidRPr="00367ECE" w:rsidRDefault="00945B1D" w:rsidP="006F50E2">
            <w:pPr>
              <w:rPr>
                <w:rFonts w:ascii="Times New Roman" w:hAnsi="Times New Roman"/>
                <w:sz w:val="24"/>
                <w:szCs w:val="24"/>
                <w:lang w:val="ro-MD"/>
              </w:rPr>
            </w:pPr>
            <w:r w:rsidRPr="00367ECE">
              <w:rPr>
                <w:rFonts w:ascii="Times New Roman" w:hAnsi="Times New Roman"/>
                <w:noProof/>
                <w:sz w:val="24"/>
                <w:szCs w:val="24"/>
                <w:lang w:val="ro-MD" w:eastAsia="ru-RU"/>
              </w:rPr>
              <w:drawing>
                <wp:anchor distT="0" distB="0" distL="114300" distR="114300" simplePos="0" relativeHeight="251659264" behindDoc="0" locked="0" layoutInCell="1" allowOverlap="1">
                  <wp:simplePos x="0" y="0"/>
                  <wp:positionH relativeFrom="column">
                    <wp:posOffset>457835</wp:posOffset>
                  </wp:positionH>
                  <wp:positionV relativeFrom="paragraph">
                    <wp:posOffset>53976</wp:posOffset>
                  </wp:positionV>
                  <wp:extent cx="4981383"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9049" cy="217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44D" w:rsidRPr="00367ECE">
              <w:rPr>
                <w:rFonts w:ascii="Times New Roman" w:hAnsi="Times New Roman"/>
                <w:sz w:val="24"/>
                <w:szCs w:val="24"/>
                <w:lang w:val="ro-MD"/>
              </w:rPr>
              <w:t>Fig.1</w:t>
            </w:r>
          </w:p>
          <w:p w:rsidR="00B9044D" w:rsidRPr="00367ECE" w:rsidRDefault="00B9044D" w:rsidP="006F50E2">
            <w:pPr>
              <w:ind w:firstLine="567"/>
              <w:rPr>
                <w:rFonts w:ascii="Times New Roman" w:eastAsia="MS Mincho" w:hAnsi="Times New Roman"/>
                <w:sz w:val="24"/>
                <w:szCs w:val="24"/>
                <w:lang w:val="ro-MD"/>
              </w:rPr>
            </w:pPr>
          </w:p>
          <w:p w:rsidR="00B9044D" w:rsidRPr="00367ECE" w:rsidRDefault="00B9044D" w:rsidP="006F50E2">
            <w:pPr>
              <w:pStyle w:val="ListParagraph"/>
              <w:widowControl w:val="0"/>
              <w:autoSpaceDE w:val="0"/>
              <w:autoSpaceDN w:val="0"/>
              <w:adjustRightInd w:val="0"/>
              <w:spacing w:after="0"/>
              <w:ind w:left="0" w:firstLine="227"/>
              <w:jc w:val="both"/>
              <w:rPr>
                <w:rFonts w:ascii="Times New Roman" w:eastAsia="MS Mincho" w:hAnsi="Times New Roman"/>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p>
          <w:p w:rsidR="00945B1D" w:rsidRPr="00367ECE" w:rsidRDefault="00B9044D" w:rsidP="006F50E2">
            <w:pPr>
              <w:pStyle w:val="ListParagraph"/>
              <w:widowControl w:val="0"/>
              <w:autoSpaceDE w:val="0"/>
              <w:autoSpaceDN w:val="0"/>
              <w:adjustRightInd w:val="0"/>
              <w:ind w:left="0"/>
              <w:jc w:val="both"/>
              <w:rPr>
                <w:rFonts w:ascii="Times New Roman" w:hAnsi="Times New Roman"/>
                <w:sz w:val="24"/>
                <w:szCs w:val="24"/>
                <w:lang w:val="ro-MD"/>
              </w:rPr>
            </w:pPr>
            <w:r w:rsidRPr="00367ECE">
              <w:rPr>
                <w:rFonts w:ascii="Times New Roman" w:hAnsi="Times New Roman"/>
                <w:b/>
                <w:sz w:val="24"/>
                <w:szCs w:val="24"/>
                <w:lang w:val="ro-MD"/>
              </w:rPr>
              <w:t>Analiza de sistem a cheltuielilor publice</w:t>
            </w:r>
            <w:r w:rsidRPr="00367ECE">
              <w:rPr>
                <w:rFonts w:ascii="Times New Roman" w:hAnsi="Times New Roman"/>
                <w:sz w:val="24"/>
                <w:szCs w:val="24"/>
                <w:lang w:val="ro-MD"/>
              </w:rPr>
              <w:t xml:space="preserve"> pentru învățământul superior pentru perioada anilor </w:t>
            </w:r>
          </w:p>
          <w:p w:rsidR="00B9044D" w:rsidRPr="00367ECE" w:rsidRDefault="00B9044D" w:rsidP="006F50E2">
            <w:pPr>
              <w:pStyle w:val="ListParagraph"/>
              <w:widowControl w:val="0"/>
              <w:autoSpaceDE w:val="0"/>
              <w:autoSpaceDN w:val="0"/>
              <w:adjustRightInd w:val="0"/>
              <w:ind w:left="0"/>
              <w:jc w:val="both"/>
              <w:rPr>
                <w:rFonts w:ascii="Times New Roman" w:hAnsi="Times New Roman"/>
                <w:sz w:val="24"/>
                <w:szCs w:val="24"/>
                <w:lang w:val="ro-MD"/>
              </w:rPr>
            </w:pPr>
            <w:r w:rsidRPr="00367ECE">
              <w:rPr>
                <w:rFonts w:ascii="Times New Roman" w:hAnsi="Times New Roman"/>
                <w:sz w:val="24"/>
                <w:szCs w:val="24"/>
                <w:lang w:val="ro-MD"/>
              </w:rPr>
              <w:t>2018-2022, furnizate de Ministerul Finanțelor, ne demonstrează că volumul alocațiilor aferente instituțiilor publice de învățământ superior este în creștere de la an la an. Astfel, în anul 2018 alocațiile respective au fost 912,5 mi</w:t>
            </w:r>
            <w:r w:rsidR="00FB52F8" w:rsidRPr="00367ECE">
              <w:rPr>
                <w:rFonts w:ascii="Times New Roman" w:hAnsi="Times New Roman"/>
                <w:sz w:val="24"/>
                <w:szCs w:val="24"/>
                <w:lang w:val="ro-MD"/>
              </w:rPr>
              <w:t>l</w:t>
            </w:r>
            <w:r w:rsidRPr="00367ECE">
              <w:rPr>
                <w:rFonts w:ascii="Times New Roman" w:hAnsi="Times New Roman"/>
                <w:sz w:val="24"/>
                <w:szCs w:val="24"/>
                <w:lang w:val="ro-MD"/>
              </w:rPr>
              <w:t>.lei  pe când în anul 2022 acest</w:t>
            </w:r>
            <w:r w:rsidR="00945B1D" w:rsidRPr="00367ECE">
              <w:rPr>
                <w:rFonts w:ascii="Times New Roman" w:hAnsi="Times New Roman"/>
                <w:sz w:val="24"/>
                <w:szCs w:val="24"/>
                <w:lang w:val="ro-MD"/>
              </w:rPr>
              <w:t>e</w:t>
            </w:r>
            <w:r w:rsidRPr="00367ECE">
              <w:rPr>
                <w:rFonts w:ascii="Times New Roman" w:hAnsi="Times New Roman"/>
                <w:sz w:val="24"/>
                <w:szCs w:val="24"/>
                <w:lang w:val="ro-MD"/>
              </w:rPr>
              <w:t>a ating cota de 1105,8 mi</w:t>
            </w:r>
            <w:r w:rsidR="00FB52F8" w:rsidRPr="00367ECE">
              <w:rPr>
                <w:rFonts w:ascii="Times New Roman" w:hAnsi="Times New Roman"/>
                <w:sz w:val="24"/>
                <w:szCs w:val="24"/>
                <w:lang w:val="ro-MD"/>
              </w:rPr>
              <w:t>l</w:t>
            </w:r>
            <w:r w:rsidRPr="00367ECE">
              <w:rPr>
                <w:rFonts w:ascii="Times New Roman" w:hAnsi="Times New Roman"/>
                <w:sz w:val="24"/>
                <w:szCs w:val="24"/>
                <w:lang w:val="ro-MD"/>
              </w:rPr>
              <w:t xml:space="preserve"> lei în creștere cu 17,5% la un număr de studenți în descreștere cu 3014 studenți</w:t>
            </w:r>
            <w:r w:rsidR="00FB52F8" w:rsidRPr="00367ECE">
              <w:rPr>
                <w:rFonts w:ascii="Times New Roman" w:hAnsi="Times New Roman"/>
                <w:sz w:val="24"/>
                <w:szCs w:val="24"/>
                <w:lang w:val="ro-MD"/>
              </w:rPr>
              <w:t xml:space="preserve"> bugetari </w:t>
            </w:r>
            <w:r w:rsidRPr="00367ECE">
              <w:rPr>
                <w:rFonts w:ascii="Times New Roman" w:hAnsi="Times New Roman"/>
                <w:sz w:val="24"/>
                <w:szCs w:val="24"/>
                <w:lang w:val="ro-MD"/>
              </w:rPr>
              <w:t xml:space="preserve"> (Tabelul nr.1).</w:t>
            </w:r>
          </w:p>
          <w:p w:rsidR="00B9044D" w:rsidRPr="00367ECE" w:rsidRDefault="00B9044D" w:rsidP="006F50E2">
            <w:pPr>
              <w:pStyle w:val="ListParagraph"/>
              <w:widowControl w:val="0"/>
              <w:autoSpaceDE w:val="0"/>
              <w:autoSpaceDN w:val="0"/>
              <w:adjustRightInd w:val="0"/>
              <w:ind w:left="0"/>
              <w:jc w:val="both"/>
              <w:rPr>
                <w:rFonts w:ascii="Times New Roman" w:hAnsi="Times New Roman"/>
                <w:b/>
                <w:sz w:val="24"/>
                <w:szCs w:val="24"/>
                <w:lang w:val="ro-MD"/>
              </w:rPr>
            </w:pPr>
            <w:r w:rsidRPr="00367ECE">
              <w:rPr>
                <w:rFonts w:ascii="Times New Roman" w:hAnsi="Times New Roman"/>
                <w:b/>
                <w:sz w:val="24"/>
                <w:szCs w:val="24"/>
                <w:lang w:val="ro-MD"/>
              </w:rPr>
              <w:t>Tabelul nr. 1 Cheltuielile aferente instituțiilor de învățământ superior pentru anii 2018-2022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464"/>
              <w:gridCol w:w="1340"/>
              <w:gridCol w:w="1463"/>
              <w:gridCol w:w="1205"/>
              <w:gridCol w:w="1205"/>
            </w:tblGrid>
            <w:tr w:rsidR="00B9044D" w:rsidRPr="00367ECE" w:rsidTr="006F50E2">
              <w:trPr>
                <w:trHeight w:val="939"/>
              </w:trPr>
              <w:tc>
                <w:tcPr>
                  <w:tcW w:w="2627" w:type="dxa"/>
                  <w:tcBorders>
                    <w:tl2br w:val="single" w:sz="4" w:space="0" w:color="auto"/>
                  </w:tcBorders>
                  <w:shd w:val="clear" w:color="auto" w:fill="auto"/>
                  <w:vAlign w:val="bottom"/>
                </w:tcPr>
                <w:p w:rsidR="00B9044D" w:rsidRPr="00367ECE" w:rsidRDefault="00B9044D" w:rsidP="006F50E2">
                  <w:pPr>
                    <w:jc w:val="center"/>
                    <w:rPr>
                      <w:rFonts w:ascii="Times New Roman" w:hAnsi="Times New Roman"/>
                      <w:bCs/>
                      <w:sz w:val="20"/>
                      <w:szCs w:val="20"/>
                      <w:lang w:val="ro-MD" w:eastAsia="ru-RU"/>
                    </w:rPr>
                  </w:pPr>
                  <w:r w:rsidRPr="00367ECE">
                    <w:rPr>
                      <w:rFonts w:ascii="Times New Roman" w:hAnsi="Times New Roman"/>
                      <w:bCs/>
                      <w:sz w:val="20"/>
                      <w:szCs w:val="20"/>
                      <w:lang w:val="ro-MD" w:eastAsia="ru-RU"/>
                    </w:rPr>
                    <w:t>Ani </w:t>
                  </w:r>
                </w:p>
                <w:p w:rsidR="00B9044D" w:rsidRPr="00367ECE" w:rsidRDefault="00B9044D" w:rsidP="006F50E2">
                  <w:pPr>
                    <w:spacing w:line="240" w:lineRule="auto"/>
                    <w:rPr>
                      <w:rFonts w:ascii="Times New Roman" w:hAnsi="Times New Roman"/>
                      <w:bCs/>
                      <w:sz w:val="20"/>
                      <w:szCs w:val="20"/>
                      <w:lang w:val="ro-MD" w:eastAsia="ru-RU"/>
                    </w:rPr>
                  </w:pPr>
                  <w:r w:rsidRPr="00367ECE">
                    <w:rPr>
                      <w:rFonts w:ascii="Times New Roman" w:hAnsi="Times New Roman"/>
                      <w:bCs/>
                      <w:sz w:val="20"/>
                      <w:szCs w:val="20"/>
                      <w:lang w:val="ro-MD" w:eastAsia="ru-RU"/>
                    </w:rPr>
                    <w:t>Buget,</w:t>
                  </w:r>
                </w:p>
                <w:p w:rsidR="00B9044D" w:rsidRPr="00367ECE" w:rsidRDefault="00B9044D" w:rsidP="006F50E2">
                  <w:pPr>
                    <w:spacing w:line="240" w:lineRule="auto"/>
                    <w:rPr>
                      <w:rFonts w:ascii="Times New Roman" w:hAnsi="Times New Roman"/>
                      <w:bCs/>
                      <w:sz w:val="20"/>
                      <w:szCs w:val="20"/>
                      <w:lang w:val="ro-MD" w:eastAsia="ru-RU"/>
                    </w:rPr>
                  </w:pPr>
                  <w:r w:rsidRPr="00367ECE">
                    <w:rPr>
                      <w:rFonts w:ascii="Times New Roman" w:hAnsi="Times New Roman"/>
                      <w:bCs/>
                      <w:sz w:val="20"/>
                      <w:szCs w:val="20"/>
                      <w:lang w:val="ro-MD" w:eastAsia="ru-RU"/>
                    </w:rPr>
                    <w:t xml:space="preserve"> învățământ</w:t>
                  </w:r>
                </w:p>
                <w:p w:rsidR="00B9044D" w:rsidRPr="00367ECE" w:rsidRDefault="00B9044D" w:rsidP="006F50E2">
                  <w:pPr>
                    <w:spacing w:line="240" w:lineRule="auto"/>
                    <w:rPr>
                      <w:rFonts w:ascii="Times New Roman" w:hAnsi="Times New Roman"/>
                      <w:bCs/>
                      <w:sz w:val="20"/>
                      <w:szCs w:val="20"/>
                      <w:lang w:val="ro-MD" w:eastAsia="ru-RU"/>
                    </w:rPr>
                  </w:pPr>
                  <w:r w:rsidRPr="00367ECE">
                    <w:rPr>
                      <w:rFonts w:ascii="Times New Roman" w:hAnsi="Times New Roman"/>
                      <w:bCs/>
                      <w:sz w:val="20"/>
                      <w:szCs w:val="20"/>
                      <w:lang w:val="ro-MD" w:eastAsia="ru-RU"/>
                    </w:rPr>
                    <w:t xml:space="preserve"> superior</w:t>
                  </w:r>
                </w:p>
              </w:tc>
              <w:tc>
                <w:tcPr>
                  <w:tcW w:w="1498" w:type="dxa"/>
                  <w:shd w:val="clear" w:color="auto" w:fill="auto"/>
                  <w:vAlign w:val="bottom"/>
                </w:tcPr>
                <w:p w:rsidR="00B9044D" w:rsidRPr="00367ECE" w:rsidRDefault="00B9044D" w:rsidP="006F50E2">
                  <w:pPr>
                    <w:rPr>
                      <w:rFonts w:ascii="Times New Roman" w:hAnsi="Times New Roman"/>
                      <w:bCs/>
                      <w:sz w:val="20"/>
                      <w:szCs w:val="20"/>
                      <w:lang w:val="ro-MD" w:eastAsia="ru-RU"/>
                    </w:rPr>
                  </w:pPr>
                  <w:r w:rsidRPr="00367ECE">
                    <w:rPr>
                      <w:rFonts w:ascii="Times New Roman" w:hAnsi="Times New Roman"/>
                      <w:bCs/>
                      <w:sz w:val="20"/>
                      <w:szCs w:val="20"/>
                      <w:lang w:val="ro-MD" w:eastAsia="ru-RU"/>
                    </w:rPr>
                    <w:t>2018</w:t>
                  </w:r>
                </w:p>
              </w:tc>
              <w:tc>
                <w:tcPr>
                  <w:tcW w:w="1367" w:type="dxa"/>
                  <w:shd w:val="clear" w:color="auto" w:fill="auto"/>
                  <w:vAlign w:val="bottom"/>
                </w:tcPr>
                <w:p w:rsidR="00B9044D" w:rsidRPr="00367ECE" w:rsidRDefault="00B9044D" w:rsidP="006F50E2">
                  <w:pPr>
                    <w:rPr>
                      <w:rFonts w:ascii="Times New Roman" w:hAnsi="Times New Roman"/>
                      <w:bCs/>
                      <w:sz w:val="20"/>
                      <w:szCs w:val="20"/>
                      <w:lang w:val="ro-MD" w:eastAsia="ru-RU"/>
                    </w:rPr>
                  </w:pPr>
                  <w:r w:rsidRPr="00367ECE">
                    <w:rPr>
                      <w:rFonts w:ascii="Times New Roman" w:hAnsi="Times New Roman"/>
                      <w:bCs/>
                      <w:sz w:val="20"/>
                      <w:szCs w:val="20"/>
                      <w:lang w:val="ro-MD" w:eastAsia="ru-RU"/>
                    </w:rPr>
                    <w:t>2019</w:t>
                  </w:r>
                </w:p>
              </w:tc>
              <w:tc>
                <w:tcPr>
                  <w:tcW w:w="1497" w:type="dxa"/>
                  <w:shd w:val="clear" w:color="auto" w:fill="auto"/>
                  <w:vAlign w:val="bottom"/>
                </w:tcPr>
                <w:p w:rsidR="00B9044D" w:rsidRPr="00367ECE" w:rsidRDefault="00B9044D" w:rsidP="006F50E2">
                  <w:pPr>
                    <w:rPr>
                      <w:rFonts w:ascii="Times New Roman" w:hAnsi="Times New Roman"/>
                      <w:bCs/>
                      <w:sz w:val="20"/>
                      <w:szCs w:val="20"/>
                      <w:lang w:val="ro-MD" w:eastAsia="ru-RU"/>
                    </w:rPr>
                  </w:pPr>
                  <w:r w:rsidRPr="00367ECE">
                    <w:rPr>
                      <w:rFonts w:ascii="Times New Roman" w:hAnsi="Times New Roman"/>
                      <w:bCs/>
                      <w:sz w:val="20"/>
                      <w:szCs w:val="20"/>
                      <w:lang w:val="ro-MD" w:eastAsia="ru-RU"/>
                    </w:rPr>
                    <w:t>2020</w:t>
                  </w:r>
                </w:p>
              </w:tc>
              <w:tc>
                <w:tcPr>
                  <w:tcW w:w="1230" w:type="dxa"/>
                  <w:shd w:val="clear" w:color="auto" w:fill="auto"/>
                  <w:vAlign w:val="bottom"/>
                </w:tcPr>
                <w:p w:rsidR="00B9044D" w:rsidRPr="00367ECE" w:rsidRDefault="00B9044D" w:rsidP="006F50E2">
                  <w:pPr>
                    <w:rPr>
                      <w:rFonts w:ascii="Times New Roman" w:hAnsi="Times New Roman"/>
                      <w:bCs/>
                      <w:sz w:val="20"/>
                      <w:szCs w:val="20"/>
                      <w:lang w:val="ro-MD" w:eastAsia="ru-RU"/>
                    </w:rPr>
                  </w:pPr>
                  <w:r w:rsidRPr="00367ECE">
                    <w:rPr>
                      <w:rFonts w:ascii="Times New Roman" w:hAnsi="Times New Roman"/>
                      <w:bCs/>
                      <w:sz w:val="20"/>
                      <w:szCs w:val="20"/>
                      <w:lang w:val="ro-MD" w:eastAsia="ru-RU"/>
                    </w:rPr>
                    <w:t>2021</w:t>
                  </w:r>
                </w:p>
              </w:tc>
              <w:tc>
                <w:tcPr>
                  <w:tcW w:w="1230" w:type="dxa"/>
                  <w:shd w:val="clear" w:color="auto" w:fill="auto"/>
                  <w:vAlign w:val="bottom"/>
                </w:tcPr>
                <w:p w:rsidR="00B9044D" w:rsidRPr="00367ECE" w:rsidRDefault="00B9044D" w:rsidP="006F50E2">
                  <w:pPr>
                    <w:rPr>
                      <w:rFonts w:ascii="Times New Roman" w:hAnsi="Times New Roman"/>
                      <w:bCs/>
                      <w:sz w:val="20"/>
                      <w:szCs w:val="20"/>
                      <w:lang w:val="ro-MD" w:eastAsia="ru-RU"/>
                    </w:rPr>
                  </w:pPr>
                  <w:r w:rsidRPr="00367ECE">
                    <w:rPr>
                      <w:rFonts w:ascii="Times New Roman" w:hAnsi="Times New Roman"/>
                      <w:bCs/>
                      <w:sz w:val="20"/>
                      <w:szCs w:val="20"/>
                      <w:lang w:val="ro-MD" w:eastAsia="ru-RU"/>
                    </w:rPr>
                    <w:t>2022</w:t>
                  </w:r>
                </w:p>
              </w:tc>
            </w:tr>
            <w:tr w:rsidR="00B9044D" w:rsidRPr="00367ECE" w:rsidTr="006F50E2">
              <w:tc>
                <w:tcPr>
                  <w:tcW w:w="262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 xml:space="preserve">Cheltuieli totale învățământ superior, </w:t>
                  </w:r>
                  <w:r w:rsidRPr="00367ECE">
                    <w:rPr>
                      <w:rFonts w:ascii="Times New Roman" w:hAnsi="Times New Roman"/>
                      <w:bCs/>
                      <w:sz w:val="20"/>
                      <w:szCs w:val="20"/>
                      <w:lang w:val="ro-MD" w:eastAsia="ru-RU"/>
                    </w:rPr>
                    <w:t>mil. lei</w:t>
                  </w:r>
                </w:p>
              </w:tc>
              <w:tc>
                <w:tcPr>
                  <w:tcW w:w="1498"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912,5</w:t>
                  </w:r>
                </w:p>
              </w:tc>
              <w:tc>
                <w:tcPr>
                  <w:tcW w:w="136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997,9</w:t>
                  </w:r>
                </w:p>
              </w:tc>
              <w:tc>
                <w:tcPr>
                  <w:tcW w:w="149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1093,3</w:t>
                  </w:r>
                </w:p>
              </w:tc>
              <w:tc>
                <w:tcPr>
                  <w:tcW w:w="1230"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1051,6</w:t>
                  </w:r>
                </w:p>
              </w:tc>
              <w:tc>
                <w:tcPr>
                  <w:tcW w:w="1230"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1105,8</w:t>
                  </w:r>
                </w:p>
              </w:tc>
            </w:tr>
            <w:tr w:rsidR="00B9044D" w:rsidRPr="00367ECE" w:rsidTr="006F50E2">
              <w:tc>
                <w:tcPr>
                  <w:tcW w:w="262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Număr de studenți, buget</w:t>
                  </w:r>
                </w:p>
              </w:tc>
              <w:tc>
                <w:tcPr>
                  <w:tcW w:w="1498"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27658</w:t>
                  </w:r>
                </w:p>
              </w:tc>
              <w:tc>
                <w:tcPr>
                  <w:tcW w:w="136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25107</w:t>
                  </w:r>
                </w:p>
              </w:tc>
              <w:tc>
                <w:tcPr>
                  <w:tcW w:w="149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24431</w:t>
                  </w:r>
                </w:p>
              </w:tc>
              <w:tc>
                <w:tcPr>
                  <w:tcW w:w="1230"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25821</w:t>
                  </w:r>
                </w:p>
              </w:tc>
              <w:tc>
                <w:tcPr>
                  <w:tcW w:w="1230"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24644</w:t>
                  </w:r>
                </w:p>
              </w:tc>
            </w:tr>
            <w:tr w:rsidR="00B9044D" w:rsidRPr="00367ECE" w:rsidTr="006F50E2">
              <w:trPr>
                <w:trHeight w:val="496"/>
              </w:trPr>
              <w:tc>
                <w:tcPr>
                  <w:tcW w:w="262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Costul mediu per student, lei</w:t>
                  </w:r>
                </w:p>
                <w:p w:rsidR="00B9044D" w:rsidRPr="00367ECE" w:rsidRDefault="00B9044D" w:rsidP="006F50E2">
                  <w:pPr>
                    <w:rPr>
                      <w:rFonts w:ascii="Times New Roman" w:hAnsi="Times New Roman"/>
                      <w:sz w:val="20"/>
                      <w:szCs w:val="20"/>
                      <w:lang w:val="ro-MD" w:eastAsia="ru-RU"/>
                    </w:rPr>
                  </w:pPr>
                </w:p>
              </w:tc>
              <w:tc>
                <w:tcPr>
                  <w:tcW w:w="1498"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32991,7</w:t>
                  </w:r>
                </w:p>
              </w:tc>
              <w:tc>
                <w:tcPr>
                  <w:tcW w:w="136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39744,8</w:t>
                  </w:r>
                </w:p>
              </w:tc>
              <w:tc>
                <w:tcPr>
                  <w:tcW w:w="1497"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44545,9</w:t>
                  </w:r>
                </w:p>
              </w:tc>
              <w:tc>
                <w:tcPr>
                  <w:tcW w:w="1230"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40700</w:t>
                  </w:r>
                </w:p>
              </w:tc>
              <w:tc>
                <w:tcPr>
                  <w:tcW w:w="1230" w:type="dxa"/>
                  <w:shd w:val="clear" w:color="auto" w:fill="auto"/>
                  <w:vAlign w:val="bottom"/>
                </w:tcPr>
                <w:p w:rsidR="00B9044D" w:rsidRPr="00367ECE" w:rsidRDefault="00B9044D" w:rsidP="006F50E2">
                  <w:pPr>
                    <w:rPr>
                      <w:rFonts w:ascii="Times New Roman" w:hAnsi="Times New Roman"/>
                      <w:sz w:val="20"/>
                      <w:szCs w:val="20"/>
                      <w:lang w:val="ro-MD" w:eastAsia="ru-RU"/>
                    </w:rPr>
                  </w:pPr>
                  <w:r w:rsidRPr="00367ECE">
                    <w:rPr>
                      <w:rFonts w:ascii="Times New Roman" w:hAnsi="Times New Roman"/>
                      <w:sz w:val="20"/>
                      <w:szCs w:val="20"/>
                      <w:lang w:val="ro-MD" w:eastAsia="ru-RU"/>
                    </w:rPr>
                    <w:t>44900</w:t>
                  </w:r>
                  <w:bookmarkStart w:id="0" w:name="_GoBack"/>
                  <w:bookmarkEnd w:id="0"/>
                </w:p>
              </w:tc>
            </w:tr>
          </w:tbl>
          <w:p w:rsidR="00B9044D" w:rsidRPr="00367ECE" w:rsidRDefault="00B9044D" w:rsidP="006F50E2">
            <w:pPr>
              <w:pStyle w:val="ListParagraph"/>
              <w:tabs>
                <w:tab w:val="left" w:pos="-142"/>
              </w:tabs>
              <w:spacing w:after="0"/>
              <w:ind w:left="0"/>
              <w:jc w:val="both"/>
              <w:rPr>
                <w:rFonts w:ascii="Times New Roman" w:hAnsi="Times New Roman"/>
                <w:sz w:val="20"/>
                <w:szCs w:val="20"/>
                <w:lang w:val="ro-MD"/>
              </w:rPr>
            </w:pPr>
            <w:r w:rsidRPr="00367ECE">
              <w:rPr>
                <w:rFonts w:ascii="Times New Roman" w:hAnsi="Times New Roman"/>
                <w:b/>
                <w:sz w:val="24"/>
                <w:szCs w:val="24"/>
                <w:lang w:val="ro-MD"/>
              </w:rPr>
              <w:t xml:space="preserve">          </w:t>
            </w:r>
            <w:r w:rsidRPr="00367ECE">
              <w:rPr>
                <w:rFonts w:ascii="Times New Roman" w:hAnsi="Times New Roman"/>
                <w:sz w:val="20"/>
                <w:szCs w:val="20"/>
                <w:lang w:val="ro-MD"/>
              </w:rPr>
              <w:t>Notă : sursa Ministerul Finanțelor</w:t>
            </w:r>
          </w:p>
          <w:p w:rsidR="00B9044D" w:rsidRPr="00367ECE" w:rsidRDefault="00B9044D" w:rsidP="006F50E2">
            <w:pPr>
              <w:pStyle w:val="ListParagraph"/>
              <w:tabs>
                <w:tab w:val="left" w:pos="-142"/>
              </w:tabs>
              <w:spacing w:after="0"/>
              <w:ind w:left="0"/>
              <w:jc w:val="both"/>
              <w:rPr>
                <w:rFonts w:ascii="Times New Roman" w:hAnsi="Times New Roman"/>
                <w:sz w:val="20"/>
                <w:szCs w:val="20"/>
                <w:lang w:val="ro-MD"/>
              </w:rPr>
            </w:pPr>
          </w:p>
          <w:p w:rsidR="00B9044D" w:rsidRPr="00367ECE" w:rsidRDefault="00B9044D" w:rsidP="006F50E2">
            <w:pPr>
              <w:tabs>
                <w:tab w:val="left" w:pos="195"/>
              </w:tabs>
              <w:rPr>
                <w:rFonts w:ascii="Times New Roman" w:hAnsi="Times New Roman"/>
                <w:sz w:val="24"/>
                <w:szCs w:val="24"/>
                <w:lang w:val="ro-MD"/>
              </w:rPr>
            </w:pPr>
            <w:r w:rsidRPr="00367ECE">
              <w:rPr>
                <w:rFonts w:ascii="Times New Roman" w:hAnsi="Times New Roman"/>
                <w:sz w:val="24"/>
                <w:szCs w:val="24"/>
                <w:lang w:val="ro-MD"/>
              </w:rPr>
              <w:t>La fel ca alte domenii importante din Republica Moldova, cercetarea-dezvoltarea și inovarea continuă să se confrunte cu problema capacităților instituționale și umane extrem de reduse, datorate lipsei endemice de resurse financiare. Datele din Tab</w:t>
            </w:r>
            <w:r w:rsidR="00945B1D" w:rsidRPr="00367ECE">
              <w:rPr>
                <w:rFonts w:ascii="Times New Roman" w:hAnsi="Times New Roman"/>
                <w:sz w:val="24"/>
                <w:szCs w:val="24"/>
                <w:lang w:val="ro-MD"/>
              </w:rPr>
              <w:t>elul nr.</w:t>
            </w:r>
            <w:r w:rsidRPr="00367ECE">
              <w:rPr>
                <w:rFonts w:ascii="Times New Roman" w:hAnsi="Times New Roman"/>
                <w:sz w:val="24"/>
                <w:szCs w:val="24"/>
                <w:lang w:val="ro-MD"/>
              </w:rPr>
              <w:t>2  demonstrează această constatare. Cheltuielile în CDI, raportate la PIB, pe parcursul anilor 2010-20</w:t>
            </w:r>
            <w:r w:rsidR="00945B1D" w:rsidRPr="00367ECE">
              <w:rPr>
                <w:rFonts w:ascii="Times New Roman" w:hAnsi="Times New Roman"/>
                <w:sz w:val="24"/>
                <w:szCs w:val="24"/>
                <w:lang w:val="ro-MD"/>
              </w:rPr>
              <w:t xml:space="preserve">18 au scăzut cu mai bine de 43% </w:t>
            </w:r>
            <w:r w:rsidRPr="00367ECE">
              <w:rPr>
                <w:rFonts w:ascii="Times New Roman" w:hAnsi="Times New Roman"/>
                <w:sz w:val="24"/>
                <w:szCs w:val="24"/>
                <w:lang w:val="ro-MD"/>
              </w:rPr>
              <w:t xml:space="preserve">(Raportul bienal actualizat trei al RM către Convenția privind schimbarea climei. 2021) </w:t>
            </w:r>
            <w:r w:rsidR="00A837D4" w:rsidRPr="00367ECE">
              <w:rPr>
                <w:rFonts w:ascii="Times New Roman" w:hAnsi="Times New Roman"/>
                <w:sz w:val="24"/>
                <w:szCs w:val="24"/>
                <w:lang w:val="ro-MD"/>
              </w:rPr>
              <w:t>.</w:t>
            </w:r>
            <w:r w:rsidRPr="00367ECE">
              <w:rPr>
                <w:rFonts w:ascii="Times New Roman" w:hAnsi="Times New Roman"/>
                <w:sz w:val="24"/>
                <w:szCs w:val="24"/>
                <w:lang w:val="ro-MD"/>
              </w:rPr>
              <w:t xml:space="preserve"> </w:t>
            </w:r>
          </w:p>
          <w:p w:rsidR="00A837D4" w:rsidRPr="00367ECE" w:rsidRDefault="00A837D4" w:rsidP="006F50E2">
            <w:pPr>
              <w:tabs>
                <w:tab w:val="left" w:pos="195"/>
              </w:tabs>
              <w:rPr>
                <w:rFonts w:ascii="Times New Roman" w:hAnsi="Times New Roman"/>
                <w:sz w:val="24"/>
                <w:szCs w:val="24"/>
                <w:lang w:val="ro-MD"/>
              </w:rPr>
            </w:pPr>
          </w:p>
          <w:p w:rsidR="00A837D4" w:rsidRPr="00367ECE" w:rsidRDefault="00A837D4" w:rsidP="006F50E2">
            <w:pPr>
              <w:tabs>
                <w:tab w:val="left" w:pos="195"/>
              </w:tabs>
              <w:rPr>
                <w:rFonts w:ascii="Times New Roman" w:hAnsi="Times New Roman"/>
                <w:sz w:val="24"/>
                <w:szCs w:val="24"/>
                <w:lang w:val="ro-MD"/>
              </w:rPr>
            </w:pPr>
          </w:p>
          <w:p w:rsidR="00B9044D" w:rsidRPr="00367ECE" w:rsidRDefault="00B9044D" w:rsidP="006F50E2">
            <w:pPr>
              <w:tabs>
                <w:tab w:val="left" w:pos="195"/>
              </w:tabs>
              <w:rPr>
                <w:rFonts w:ascii="Times New Roman" w:hAnsi="Times New Roman"/>
                <w:b/>
                <w:sz w:val="24"/>
                <w:szCs w:val="24"/>
                <w:lang w:val="ro-MD"/>
              </w:rPr>
            </w:pPr>
            <w:r w:rsidRPr="00367ECE">
              <w:rPr>
                <w:rFonts w:ascii="Times New Roman" w:hAnsi="Times New Roman"/>
                <w:sz w:val="24"/>
                <w:szCs w:val="24"/>
                <w:lang w:val="ro-MD"/>
              </w:rPr>
              <w:lastRenderedPageBreak/>
              <w:t xml:space="preserve"> </w:t>
            </w:r>
            <w:r w:rsidRPr="00367ECE">
              <w:rPr>
                <w:rFonts w:ascii="Times New Roman" w:hAnsi="Times New Roman"/>
                <w:b/>
                <w:sz w:val="24"/>
                <w:szCs w:val="24"/>
                <w:lang w:val="ro-MD"/>
              </w:rPr>
              <w:t>Tabelul nr. 2 Cheltuieli și salariile în domeniul cercetării, dezvoltării și inovării în RM</w:t>
            </w:r>
          </w:p>
          <w:p w:rsidR="00B9044D" w:rsidRPr="00367ECE" w:rsidRDefault="00B9044D" w:rsidP="006F50E2">
            <w:pPr>
              <w:tabs>
                <w:tab w:val="left" w:pos="195"/>
              </w:tabs>
              <w:rPr>
                <w:rFonts w:ascii="Times New Roman" w:hAnsi="Times New Roman"/>
                <w:sz w:val="24"/>
                <w:szCs w:val="24"/>
                <w:lang w:val="ro-MD"/>
              </w:rPr>
            </w:pPr>
            <w:r w:rsidRPr="00367ECE">
              <w:rPr>
                <w:rFonts w:ascii="Times New Roman" w:hAnsi="Times New Roman"/>
                <w:noProof/>
                <w:sz w:val="24"/>
                <w:szCs w:val="24"/>
                <w:lang w:val="ro-MD" w:eastAsia="ru-RU"/>
              </w:rPr>
              <w:drawing>
                <wp:inline distT="0" distB="0" distL="0" distR="0">
                  <wp:extent cx="5657850" cy="81078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2283" cy="814283"/>
                          </a:xfrm>
                          <a:prstGeom prst="rect">
                            <a:avLst/>
                          </a:prstGeom>
                          <a:noFill/>
                          <a:ln>
                            <a:noFill/>
                          </a:ln>
                        </pic:spPr>
                      </pic:pic>
                    </a:graphicData>
                  </a:graphic>
                </wp:inline>
              </w:drawing>
            </w:r>
          </w:p>
          <w:p w:rsidR="00B9044D" w:rsidRPr="00367ECE" w:rsidRDefault="00B9044D" w:rsidP="006F50E2">
            <w:pPr>
              <w:tabs>
                <w:tab w:val="left" w:pos="195"/>
              </w:tabs>
              <w:rPr>
                <w:rFonts w:ascii="Times New Roman" w:hAnsi="Times New Roman"/>
                <w:i/>
                <w:sz w:val="24"/>
                <w:szCs w:val="24"/>
                <w:lang w:val="ro-MD"/>
              </w:rPr>
            </w:pPr>
            <w:r w:rsidRPr="00367ECE">
              <w:rPr>
                <w:rFonts w:ascii="Times New Roman" w:hAnsi="Times New Roman"/>
                <w:i/>
                <w:sz w:val="24"/>
                <w:szCs w:val="24"/>
                <w:lang w:val="ro-MD"/>
              </w:rPr>
              <w:t>Sursa: http://indicator.idsi.md/</w:t>
            </w:r>
          </w:p>
          <w:p w:rsidR="00B9044D" w:rsidRPr="00367ECE" w:rsidRDefault="00B9044D" w:rsidP="006F50E2">
            <w:pPr>
              <w:tabs>
                <w:tab w:val="left" w:pos="195"/>
              </w:tabs>
              <w:rPr>
                <w:rFonts w:ascii="Times New Roman" w:hAnsi="Times New Roman"/>
                <w:sz w:val="24"/>
                <w:szCs w:val="24"/>
                <w:lang w:val="ro-MD"/>
              </w:rPr>
            </w:pPr>
            <w:r w:rsidRPr="00367ECE">
              <w:rPr>
                <w:rFonts w:ascii="Times New Roman" w:hAnsi="Times New Roman"/>
                <w:sz w:val="24"/>
                <w:szCs w:val="24"/>
                <w:lang w:val="ro-MD"/>
              </w:rPr>
              <w:t>În aceste circumstanțe, este necesar de menționat că cercetarea nu este exploatată suficient pentru a oferi informații pentru predare, în timp ce adeseori studenții nu sunt implicați în cercetare. Acest fapt limitează oportunitățile studenților de a explora problemele contemporane și de a-și dezvolta competențele de cercetare.</w:t>
            </w:r>
          </w:p>
          <w:p w:rsidR="00B9044D" w:rsidRPr="00367ECE" w:rsidRDefault="00B9044D" w:rsidP="006F50E2">
            <w:pPr>
              <w:ind w:right="708"/>
              <w:jc w:val="both"/>
              <w:rPr>
                <w:rFonts w:ascii="Times New Roman" w:hAnsi="Times New Roman"/>
                <w:sz w:val="24"/>
                <w:szCs w:val="24"/>
                <w:lang w:val="ro-MD"/>
              </w:rPr>
            </w:pPr>
            <w:r w:rsidRPr="00367ECE">
              <w:rPr>
                <w:rFonts w:ascii="Times New Roman" w:hAnsi="Times New Roman"/>
                <w:sz w:val="24"/>
                <w:szCs w:val="24"/>
                <w:lang w:val="ro-MD"/>
              </w:rPr>
              <w:t xml:space="preserve">Proiectul este elaborat, având la bază Raportul privind </w:t>
            </w:r>
            <w:r w:rsidRPr="00367ECE">
              <w:rPr>
                <w:rFonts w:ascii="Times New Roman" w:hAnsi="Times New Roman"/>
                <w:i/>
                <w:sz w:val="24"/>
                <w:szCs w:val="24"/>
                <w:lang w:val="ro-MD"/>
              </w:rPr>
              <w:t xml:space="preserve">Pilotarea procesului de raționalizare a cheltuielilor în sistemele de învățământ profesional tehnic și superior din Republica Moldova </w:t>
            </w:r>
            <w:r w:rsidRPr="00367ECE">
              <w:rPr>
                <w:rFonts w:ascii="Times New Roman" w:hAnsi="Times New Roman"/>
                <w:sz w:val="24"/>
                <w:szCs w:val="24"/>
                <w:lang w:val="ro-MD"/>
              </w:rPr>
              <w:t>(2018-2019), susținut de experții FMI, studiul „Evaluarea cuprinzătoare a sectorului educațional din Republica Moldova”, rapoartele Curții de conturi etc.</w:t>
            </w:r>
          </w:p>
        </w:tc>
      </w:tr>
      <w:tr w:rsidR="00B9044D" w:rsidRPr="00367ECE" w:rsidTr="006F50E2">
        <w:tc>
          <w:tcPr>
            <w:tcW w:w="5000" w:type="pct"/>
          </w:tcPr>
          <w:p w:rsidR="00B9044D" w:rsidRPr="00367ECE" w:rsidRDefault="00B9044D" w:rsidP="006F50E2">
            <w:pPr>
              <w:tabs>
                <w:tab w:val="left" w:pos="884"/>
                <w:tab w:val="left" w:pos="1196"/>
              </w:tabs>
              <w:jc w:val="both"/>
              <w:rPr>
                <w:rFonts w:ascii="Times New Roman" w:hAnsi="Times New Roman"/>
                <w:sz w:val="24"/>
                <w:szCs w:val="24"/>
                <w:lang w:val="ro-MD"/>
              </w:rPr>
            </w:pPr>
            <w:r w:rsidRPr="00367ECE">
              <w:rPr>
                <w:rFonts w:ascii="Times New Roman" w:hAnsi="Times New Roman"/>
                <w:sz w:val="24"/>
                <w:szCs w:val="24"/>
                <w:lang w:val="ro-MD"/>
              </w:rPr>
              <w:lastRenderedPageBreak/>
              <w:t>3</w:t>
            </w:r>
            <w:r w:rsidRPr="00367ECE">
              <w:rPr>
                <w:rFonts w:ascii="Times New Roman" w:hAnsi="Times New Roman"/>
                <w:b/>
                <w:sz w:val="24"/>
                <w:szCs w:val="24"/>
                <w:lang w:val="ro-MD"/>
              </w:rPr>
              <w:t xml:space="preserve">. Descrierea gradului de compatibilitate pentru proiectele care au ca scop armonizarea </w:t>
            </w:r>
            <w:proofErr w:type="spellStart"/>
            <w:r w:rsidRPr="00367ECE">
              <w:rPr>
                <w:rFonts w:ascii="Times New Roman" w:hAnsi="Times New Roman"/>
                <w:b/>
                <w:sz w:val="24"/>
                <w:szCs w:val="24"/>
                <w:lang w:val="ro-MD"/>
              </w:rPr>
              <w:t>legislaţiei</w:t>
            </w:r>
            <w:proofErr w:type="spellEnd"/>
            <w:r w:rsidRPr="00367ECE">
              <w:rPr>
                <w:rFonts w:ascii="Times New Roman" w:hAnsi="Times New Roman"/>
                <w:b/>
                <w:sz w:val="24"/>
                <w:szCs w:val="24"/>
                <w:lang w:val="ro-MD"/>
              </w:rPr>
              <w:t xml:space="preserve"> </w:t>
            </w:r>
            <w:proofErr w:type="spellStart"/>
            <w:r w:rsidRPr="00367ECE">
              <w:rPr>
                <w:rFonts w:ascii="Times New Roman" w:hAnsi="Times New Roman"/>
                <w:b/>
                <w:sz w:val="24"/>
                <w:szCs w:val="24"/>
                <w:lang w:val="ro-MD"/>
              </w:rPr>
              <w:t>naţionale</w:t>
            </w:r>
            <w:proofErr w:type="spellEnd"/>
            <w:r w:rsidRPr="00367ECE">
              <w:rPr>
                <w:rFonts w:ascii="Times New Roman" w:hAnsi="Times New Roman"/>
                <w:b/>
                <w:sz w:val="24"/>
                <w:szCs w:val="24"/>
                <w:lang w:val="ro-MD"/>
              </w:rPr>
              <w:t xml:space="preserve"> cu </w:t>
            </w:r>
            <w:proofErr w:type="spellStart"/>
            <w:r w:rsidRPr="00367ECE">
              <w:rPr>
                <w:rFonts w:ascii="Times New Roman" w:hAnsi="Times New Roman"/>
                <w:b/>
                <w:sz w:val="24"/>
                <w:szCs w:val="24"/>
                <w:lang w:val="ro-MD"/>
              </w:rPr>
              <w:t>legislaţia</w:t>
            </w:r>
            <w:proofErr w:type="spellEnd"/>
            <w:r w:rsidRPr="00367ECE">
              <w:rPr>
                <w:rFonts w:ascii="Times New Roman" w:hAnsi="Times New Roman"/>
                <w:b/>
                <w:sz w:val="24"/>
                <w:szCs w:val="24"/>
                <w:lang w:val="ro-MD"/>
              </w:rPr>
              <w:t xml:space="preserve"> Uniunii Europene</w:t>
            </w:r>
          </w:p>
        </w:tc>
      </w:tr>
      <w:tr w:rsidR="00B9044D" w:rsidRPr="00367ECE" w:rsidTr="006F50E2">
        <w:tc>
          <w:tcPr>
            <w:tcW w:w="5000" w:type="pct"/>
          </w:tcPr>
          <w:p w:rsidR="00B9044D" w:rsidRPr="00367ECE" w:rsidRDefault="00B9044D" w:rsidP="006F50E2">
            <w:pPr>
              <w:tabs>
                <w:tab w:val="left" w:pos="884"/>
                <w:tab w:val="left" w:pos="1196"/>
              </w:tabs>
              <w:jc w:val="both"/>
              <w:rPr>
                <w:rFonts w:ascii="Times New Roman" w:hAnsi="Times New Roman"/>
                <w:sz w:val="24"/>
                <w:szCs w:val="24"/>
                <w:lang w:val="ro-MD"/>
              </w:rPr>
            </w:pPr>
            <w:r w:rsidRPr="00367ECE">
              <w:rPr>
                <w:rFonts w:ascii="Times New Roman" w:hAnsi="Times New Roman"/>
                <w:sz w:val="24"/>
                <w:szCs w:val="24"/>
                <w:lang w:val="ro-MD"/>
              </w:rPr>
              <w:t>Prezentul proiect de Hotărâre nu contravine legislației Uniunii Europene.</w:t>
            </w:r>
          </w:p>
        </w:tc>
      </w:tr>
      <w:tr w:rsidR="00B9044D" w:rsidRPr="00367ECE" w:rsidTr="006F50E2">
        <w:tc>
          <w:tcPr>
            <w:tcW w:w="5000" w:type="pct"/>
          </w:tcPr>
          <w:p w:rsidR="00B9044D" w:rsidRPr="00367ECE" w:rsidRDefault="00B9044D" w:rsidP="006F50E2">
            <w:pPr>
              <w:tabs>
                <w:tab w:val="left" w:pos="884"/>
                <w:tab w:val="left" w:pos="1196"/>
              </w:tabs>
              <w:jc w:val="both"/>
              <w:rPr>
                <w:rFonts w:ascii="Times New Roman" w:hAnsi="Times New Roman"/>
                <w:sz w:val="24"/>
                <w:szCs w:val="24"/>
                <w:lang w:val="ro-MD"/>
              </w:rPr>
            </w:pPr>
            <w:r w:rsidRPr="00367ECE">
              <w:rPr>
                <w:rFonts w:ascii="Times New Roman" w:hAnsi="Times New Roman"/>
                <w:sz w:val="24"/>
                <w:szCs w:val="24"/>
                <w:lang w:val="ro-MD"/>
              </w:rPr>
              <w:t xml:space="preserve">4.  </w:t>
            </w:r>
            <w:r w:rsidRPr="00367ECE">
              <w:rPr>
                <w:rFonts w:ascii="Times New Roman" w:hAnsi="Times New Roman"/>
                <w:b/>
                <w:sz w:val="24"/>
                <w:szCs w:val="24"/>
                <w:lang w:val="ro-MD"/>
              </w:rPr>
              <w:t xml:space="preserve">Principalele prevederi ale proiectului </w:t>
            </w:r>
            <w:proofErr w:type="spellStart"/>
            <w:r w:rsidRPr="00367ECE">
              <w:rPr>
                <w:rFonts w:ascii="Times New Roman" w:hAnsi="Times New Roman"/>
                <w:b/>
                <w:sz w:val="24"/>
                <w:szCs w:val="24"/>
                <w:lang w:val="ro-MD"/>
              </w:rPr>
              <w:t>şi</w:t>
            </w:r>
            <w:proofErr w:type="spellEnd"/>
            <w:r w:rsidRPr="00367ECE">
              <w:rPr>
                <w:rFonts w:ascii="Times New Roman" w:hAnsi="Times New Roman"/>
                <w:b/>
                <w:sz w:val="24"/>
                <w:szCs w:val="24"/>
                <w:lang w:val="ro-MD"/>
              </w:rPr>
              <w:t xml:space="preserve"> </w:t>
            </w:r>
            <w:proofErr w:type="spellStart"/>
            <w:r w:rsidRPr="00367ECE">
              <w:rPr>
                <w:rFonts w:ascii="Times New Roman" w:hAnsi="Times New Roman"/>
                <w:b/>
                <w:sz w:val="24"/>
                <w:szCs w:val="24"/>
                <w:lang w:val="ro-MD"/>
              </w:rPr>
              <w:t>evidenţierea</w:t>
            </w:r>
            <w:proofErr w:type="spellEnd"/>
            <w:r w:rsidRPr="00367ECE">
              <w:rPr>
                <w:rFonts w:ascii="Times New Roman" w:hAnsi="Times New Roman"/>
                <w:b/>
                <w:sz w:val="24"/>
                <w:szCs w:val="24"/>
                <w:lang w:val="ro-MD"/>
              </w:rPr>
              <w:t xml:space="preserve"> elementelor noi</w:t>
            </w:r>
          </w:p>
        </w:tc>
      </w:tr>
      <w:tr w:rsidR="00B9044D" w:rsidRPr="00367ECE" w:rsidTr="006F50E2">
        <w:tc>
          <w:tcPr>
            <w:tcW w:w="5000" w:type="pct"/>
          </w:tcPr>
          <w:p w:rsidR="00B9044D" w:rsidRPr="00367ECE" w:rsidRDefault="00B9044D" w:rsidP="00B9044D">
            <w:pPr>
              <w:ind w:right="708"/>
              <w:rPr>
                <w:rFonts w:ascii="Times New Roman" w:hAnsi="Times New Roman"/>
                <w:sz w:val="24"/>
                <w:szCs w:val="24"/>
                <w:lang w:val="ro-MD"/>
              </w:rPr>
            </w:pPr>
            <w:r w:rsidRPr="00367ECE">
              <w:rPr>
                <w:rFonts w:ascii="Times New Roman" w:hAnsi="Times New Roman"/>
                <w:sz w:val="24"/>
                <w:szCs w:val="24"/>
                <w:lang w:val="ro-MD"/>
              </w:rPr>
              <w:t>Proiectul presupune:</w:t>
            </w:r>
          </w:p>
          <w:p w:rsidR="00B9044D" w:rsidRPr="00367ECE" w:rsidRDefault="00B9044D" w:rsidP="00B9044D">
            <w:pPr>
              <w:pStyle w:val="ListParagraph"/>
              <w:numPr>
                <w:ilvl w:val="0"/>
                <w:numId w:val="3"/>
              </w:numPr>
              <w:tabs>
                <w:tab w:val="left" w:pos="851"/>
              </w:tabs>
              <w:spacing w:after="160"/>
              <w:rPr>
                <w:rFonts w:ascii="Times New Roman" w:hAnsi="Times New Roman"/>
                <w:sz w:val="24"/>
                <w:szCs w:val="24"/>
                <w:lang w:val="ro-MD"/>
              </w:rPr>
            </w:pPr>
            <w:r w:rsidRPr="00367ECE">
              <w:rPr>
                <w:rFonts w:ascii="Times New Roman" w:hAnsi="Times New Roman"/>
                <w:sz w:val="24"/>
                <w:szCs w:val="24"/>
                <w:lang w:val="ro-MD"/>
              </w:rPr>
              <w:t>Consolidarea rețelei de universități prin absorbția altor universități mai mici, păstrând  11 instituții de învățământ superior publice;</w:t>
            </w:r>
          </w:p>
          <w:p w:rsidR="00B9044D" w:rsidRPr="00367ECE" w:rsidRDefault="00B9044D" w:rsidP="00B9044D">
            <w:pPr>
              <w:pStyle w:val="ListParagraph"/>
              <w:numPr>
                <w:ilvl w:val="0"/>
                <w:numId w:val="3"/>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Fuziunea  institutelor de cercetare cu universități pentru consolidarea acestora și cu impact asupra procesului de predare-învățare, cu păstrarea separată a finanțării pentru domeniul cercetare;</w:t>
            </w:r>
          </w:p>
          <w:p w:rsidR="00B9044D" w:rsidRPr="00367ECE" w:rsidRDefault="00B9044D" w:rsidP="00B9044D">
            <w:pPr>
              <w:pStyle w:val="ListParagraph"/>
              <w:numPr>
                <w:ilvl w:val="0"/>
                <w:numId w:val="3"/>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Cheltuieli publice în învățământul superior și cercetare, îndreptate spre creșterea salariilor cadrelor</w:t>
            </w:r>
            <w:r w:rsidR="00A837D4" w:rsidRPr="00367ECE">
              <w:rPr>
                <w:rFonts w:ascii="Times New Roman" w:hAnsi="Times New Roman"/>
                <w:sz w:val="24"/>
                <w:szCs w:val="24"/>
                <w:lang w:val="ro-MD"/>
              </w:rPr>
              <w:t xml:space="preserve"> </w:t>
            </w:r>
            <w:r w:rsidRPr="00367ECE">
              <w:rPr>
                <w:rFonts w:ascii="Times New Roman" w:hAnsi="Times New Roman"/>
                <w:sz w:val="24"/>
                <w:szCs w:val="24"/>
                <w:lang w:val="ro-MD"/>
              </w:rPr>
              <w:t>universitare și a cercetătorilor, precum și consolidarea universităților pe plan național și internațional;</w:t>
            </w:r>
          </w:p>
          <w:p w:rsidR="00B9044D" w:rsidRPr="00367ECE" w:rsidRDefault="00B9044D" w:rsidP="00B9044D">
            <w:pPr>
              <w:pStyle w:val="ListParagraph"/>
              <w:keepNext/>
              <w:keepLines/>
              <w:numPr>
                <w:ilvl w:val="0"/>
                <w:numId w:val="9"/>
              </w:numPr>
              <w:spacing w:after="160"/>
              <w:rPr>
                <w:rFonts w:ascii="Times New Roman" w:hAnsi="Times New Roman"/>
                <w:sz w:val="24"/>
                <w:szCs w:val="24"/>
                <w:lang w:val="ro-MD"/>
              </w:rPr>
            </w:pPr>
            <w:r w:rsidRPr="00367ECE">
              <w:rPr>
                <w:rFonts w:ascii="Times New Roman" w:hAnsi="Times New Roman"/>
                <w:sz w:val="24"/>
                <w:szCs w:val="24"/>
                <w:lang w:val="ro-MD"/>
              </w:rPr>
              <w:t xml:space="preserve">Ponderea cadrelor didactice cu titlu științific, </w:t>
            </w:r>
            <w:proofErr w:type="spellStart"/>
            <w:r w:rsidRPr="00367ECE">
              <w:rPr>
                <w:rFonts w:ascii="Times New Roman" w:hAnsi="Times New Roman"/>
                <w:sz w:val="24"/>
                <w:szCs w:val="24"/>
                <w:lang w:val="ro-MD"/>
              </w:rPr>
              <w:t>științifico</w:t>
            </w:r>
            <w:proofErr w:type="spellEnd"/>
            <w:r w:rsidRPr="00367ECE">
              <w:rPr>
                <w:rFonts w:ascii="Times New Roman" w:hAnsi="Times New Roman"/>
                <w:sz w:val="24"/>
                <w:szCs w:val="24"/>
                <w:lang w:val="ro-MD"/>
              </w:rPr>
              <w:t>-didactic în învățământul superior majorată până la 80% până în anul 2030;</w:t>
            </w:r>
          </w:p>
          <w:p w:rsidR="00B9044D" w:rsidRPr="00367ECE" w:rsidRDefault="00B9044D" w:rsidP="00B9044D">
            <w:pPr>
              <w:pStyle w:val="ListParagraph"/>
              <w:numPr>
                <w:ilvl w:val="0"/>
                <w:numId w:val="9"/>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Creșterea numărului de proiecte de cercetare câștigate, cu participarea universităților în concursuri naționale și internaționale până la 10% până în anul 2030.</w:t>
            </w:r>
          </w:p>
          <w:p w:rsidR="00B9044D" w:rsidRPr="00367ECE" w:rsidRDefault="00B9044D" w:rsidP="00B9044D">
            <w:pPr>
              <w:pStyle w:val="ListParagraph"/>
              <w:tabs>
                <w:tab w:val="left" w:pos="851"/>
              </w:tabs>
              <w:spacing w:after="0"/>
              <w:jc w:val="both"/>
              <w:rPr>
                <w:rFonts w:ascii="Times New Roman" w:hAnsi="Times New Roman"/>
                <w:sz w:val="24"/>
                <w:szCs w:val="24"/>
                <w:lang w:val="ro-MD"/>
              </w:rPr>
            </w:pPr>
          </w:p>
          <w:p w:rsidR="00B9044D" w:rsidRPr="00367ECE" w:rsidRDefault="00B9044D" w:rsidP="00B9044D">
            <w:pPr>
              <w:tabs>
                <w:tab w:val="left" w:pos="851"/>
              </w:tabs>
              <w:ind w:firstLine="567"/>
              <w:rPr>
                <w:sz w:val="24"/>
                <w:szCs w:val="24"/>
                <w:lang w:val="ro-MD"/>
              </w:rPr>
            </w:pPr>
            <w:r w:rsidRPr="00367ECE">
              <w:rPr>
                <w:rFonts w:ascii="Times New Roman" w:hAnsi="Times New Roman"/>
                <w:sz w:val="24"/>
                <w:szCs w:val="24"/>
                <w:lang w:val="ro-MD"/>
              </w:rPr>
              <w:t xml:space="preserve">Consolidarea rețelei de universități </w:t>
            </w:r>
            <w:r w:rsidR="00A837D4" w:rsidRPr="00367ECE">
              <w:rPr>
                <w:rFonts w:ascii="Times New Roman" w:hAnsi="Times New Roman"/>
                <w:sz w:val="24"/>
                <w:szCs w:val="24"/>
                <w:lang w:val="ro-MD"/>
              </w:rPr>
              <w:t xml:space="preserve">publice </w:t>
            </w:r>
            <w:r w:rsidRPr="00367ECE">
              <w:rPr>
                <w:rFonts w:ascii="Times New Roman" w:hAnsi="Times New Roman"/>
                <w:sz w:val="24"/>
                <w:szCs w:val="24"/>
                <w:lang w:val="ro-MD"/>
              </w:rPr>
              <w:t>și institute de cercetare poate avea loc după cum urmează :</w:t>
            </w:r>
          </w:p>
          <w:p w:rsidR="00B9044D" w:rsidRPr="00367ECE" w:rsidRDefault="00A837D4" w:rsidP="00B9044D">
            <w:pPr>
              <w:pStyle w:val="ListParagraph"/>
              <w:numPr>
                <w:ilvl w:val="0"/>
                <w:numId w:val="5"/>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Fuziunea</w:t>
            </w:r>
            <w:r w:rsidR="00B9044D" w:rsidRPr="00367ECE">
              <w:rPr>
                <w:rFonts w:ascii="Times New Roman" w:hAnsi="Times New Roman"/>
                <w:sz w:val="24"/>
                <w:szCs w:val="24"/>
                <w:lang w:val="ro-MD"/>
              </w:rPr>
              <w:t xml:space="preserve"> a 2 universități</w:t>
            </w:r>
            <w:r w:rsidRPr="00367ECE">
              <w:rPr>
                <w:rFonts w:ascii="Times New Roman" w:hAnsi="Times New Roman"/>
                <w:sz w:val="24"/>
                <w:szCs w:val="24"/>
                <w:lang w:val="ro-MD"/>
              </w:rPr>
              <w:t xml:space="preserve"> publice</w:t>
            </w:r>
            <w:r w:rsidR="00B9044D" w:rsidRPr="00367ECE">
              <w:rPr>
                <w:rFonts w:ascii="Times New Roman" w:hAnsi="Times New Roman"/>
                <w:sz w:val="24"/>
                <w:szCs w:val="24"/>
                <w:lang w:val="ro-MD"/>
              </w:rPr>
              <w:t xml:space="preserve"> cu profil pedagogic din mun. Chișinău și cu una regională, creând o universitate pedagogică clasică cu fuzionarea a 2 instituții de formare continuă;</w:t>
            </w:r>
          </w:p>
          <w:p w:rsidR="00B9044D" w:rsidRPr="00367ECE" w:rsidRDefault="00B9044D" w:rsidP="00B9044D">
            <w:pPr>
              <w:pStyle w:val="ListParagraph"/>
              <w:numPr>
                <w:ilvl w:val="0"/>
                <w:numId w:val="5"/>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 xml:space="preserve">Fuziunea, prin absorbție, de către o universitate </w:t>
            </w:r>
            <w:r w:rsidR="00A837D4" w:rsidRPr="00367ECE">
              <w:rPr>
                <w:rFonts w:ascii="Times New Roman" w:hAnsi="Times New Roman"/>
                <w:sz w:val="24"/>
                <w:szCs w:val="24"/>
                <w:lang w:val="ro-MD"/>
              </w:rPr>
              <w:t xml:space="preserve">publică </w:t>
            </w:r>
            <w:r w:rsidRPr="00367ECE">
              <w:rPr>
                <w:rFonts w:ascii="Times New Roman" w:hAnsi="Times New Roman"/>
                <w:sz w:val="24"/>
                <w:szCs w:val="24"/>
                <w:lang w:val="ro-MD"/>
              </w:rPr>
              <w:t>clasică cu un corp profesoral pregătit a unei instituții de învățământ superior</w:t>
            </w:r>
            <w:r w:rsidR="00A837D4" w:rsidRPr="00367ECE">
              <w:rPr>
                <w:rFonts w:ascii="Times New Roman" w:hAnsi="Times New Roman"/>
                <w:sz w:val="24"/>
                <w:szCs w:val="24"/>
                <w:lang w:val="ro-MD"/>
              </w:rPr>
              <w:t xml:space="preserve"> publice</w:t>
            </w:r>
            <w:r w:rsidRPr="00367ECE">
              <w:rPr>
                <w:rFonts w:ascii="Times New Roman" w:hAnsi="Times New Roman"/>
                <w:sz w:val="24"/>
                <w:szCs w:val="24"/>
                <w:lang w:val="ro-MD"/>
              </w:rPr>
              <w:t xml:space="preserve">, care are un număr mic de studenți, proces bazat pe existența acelorași specialități/domenii în acestea și fuzionarea </w:t>
            </w:r>
            <w:r w:rsidRPr="00367ECE">
              <w:rPr>
                <w:rFonts w:ascii="Times New Roman" w:hAnsi="Times New Roman"/>
                <w:sz w:val="24"/>
                <w:szCs w:val="24"/>
                <w:lang w:val="ro-MD"/>
              </w:rPr>
              <w:lastRenderedPageBreak/>
              <w:t>cu  unele institute de cercetare pentru  integrarea cercetării în procesul de predare-</w:t>
            </w:r>
            <w:r w:rsidR="00A837D4" w:rsidRPr="00367ECE">
              <w:rPr>
                <w:rFonts w:ascii="Times New Roman" w:hAnsi="Times New Roman"/>
                <w:sz w:val="24"/>
                <w:szCs w:val="24"/>
                <w:lang w:val="ro-MD"/>
              </w:rPr>
              <w:t>învățare;</w:t>
            </w:r>
          </w:p>
          <w:p w:rsidR="00B9044D" w:rsidRPr="00367ECE" w:rsidRDefault="00B9044D" w:rsidP="00B9044D">
            <w:pPr>
              <w:pStyle w:val="ListParagraph"/>
              <w:numPr>
                <w:ilvl w:val="0"/>
                <w:numId w:val="5"/>
              </w:numPr>
              <w:spacing w:after="160"/>
              <w:rPr>
                <w:rFonts w:ascii="Times New Roman" w:hAnsi="Times New Roman"/>
                <w:sz w:val="24"/>
                <w:szCs w:val="24"/>
                <w:lang w:val="ro-MD"/>
              </w:rPr>
            </w:pPr>
            <w:r w:rsidRPr="00367ECE">
              <w:rPr>
                <w:rFonts w:ascii="Times New Roman" w:hAnsi="Times New Roman"/>
                <w:sz w:val="24"/>
                <w:szCs w:val="24"/>
                <w:lang w:val="ro-MD"/>
              </w:rPr>
              <w:t>Fuzi</w:t>
            </w:r>
            <w:r w:rsidR="00A837D4" w:rsidRPr="00367ECE">
              <w:rPr>
                <w:rFonts w:ascii="Times New Roman" w:hAnsi="Times New Roman"/>
                <w:sz w:val="24"/>
                <w:szCs w:val="24"/>
                <w:lang w:val="ro-MD"/>
              </w:rPr>
              <w:t>unea, prin absorbție,</w:t>
            </w:r>
            <w:r w:rsidRPr="00367ECE">
              <w:rPr>
                <w:rFonts w:ascii="Times New Roman" w:hAnsi="Times New Roman"/>
                <w:sz w:val="24"/>
                <w:szCs w:val="24"/>
                <w:lang w:val="ro-MD"/>
              </w:rPr>
              <w:t xml:space="preserve"> a două instituții de învățământ superior cu programe similare și a unor  institute de cercetare în scopul consolidării unor sectoare importante pentru economia națională.</w:t>
            </w:r>
          </w:p>
          <w:p w:rsidR="00B9044D" w:rsidRPr="00367ECE" w:rsidRDefault="00B9044D" w:rsidP="00B9044D">
            <w:pPr>
              <w:pStyle w:val="ListParagraph"/>
              <w:numPr>
                <w:ilvl w:val="0"/>
                <w:numId w:val="5"/>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 xml:space="preserve">Consolidarea unor universități regionale existente mai puternice: în </w:t>
            </w:r>
            <w:r w:rsidRPr="00367ECE">
              <w:rPr>
                <w:rFonts w:ascii="Times New Roman" w:hAnsi="Times New Roman"/>
                <w:b/>
                <w:sz w:val="24"/>
                <w:szCs w:val="24"/>
                <w:lang w:val="ro-MD"/>
              </w:rPr>
              <w:t>Nordul</w:t>
            </w:r>
            <w:r w:rsidRPr="00367ECE">
              <w:rPr>
                <w:rFonts w:ascii="Times New Roman" w:hAnsi="Times New Roman"/>
                <w:sz w:val="24"/>
                <w:szCs w:val="24"/>
                <w:lang w:val="ro-MD"/>
              </w:rPr>
              <w:t xml:space="preserve"> Republicii, în </w:t>
            </w:r>
            <w:r w:rsidRPr="00367ECE">
              <w:rPr>
                <w:rFonts w:ascii="Times New Roman" w:hAnsi="Times New Roman"/>
                <w:b/>
                <w:sz w:val="24"/>
                <w:szCs w:val="24"/>
                <w:lang w:val="ro-MD"/>
              </w:rPr>
              <w:t>Sudul Republicii.</w:t>
            </w:r>
          </w:p>
          <w:p w:rsidR="00A837D4" w:rsidRPr="00F43D42" w:rsidRDefault="00B9044D" w:rsidP="00F43D42">
            <w:pPr>
              <w:pStyle w:val="ListParagraph"/>
              <w:numPr>
                <w:ilvl w:val="0"/>
                <w:numId w:val="5"/>
              </w:numPr>
              <w:tabs>
                <w:tab w:val="left" w:pos="851"/>
              </w:tabs>
              <w:spacing w:after="0"/>
              <w:jc w:val="both"/>
              <w:rPr>
                <w:rFonts w:ascii="Times New Roman" w:hAnsi="Times New Roman"/>
                <w:sz w:val="24"/>
                <w:szCs w:val="24"/>
                <w:lang w:val="ro-MD"/>
              </w:rPr>
            </w:pPr>
            <w:r w:rsidRPr="00367ECE">
              <w:rPr>
                <w:rFonts w:ascii="Times New Roman" w:hAnsi="Times New Roman"/>
                <w:sz w:val="24"/>
                <w:szCs w:val="24"/>
                <w:lang w:val="ro-MD"/>
              </w:rPr>
              <w:t>Acordarea unui statut aparte unor instituții de învățământ superior cu caracter specific de formare profesională și transferul către alt fondator.</w:t>
            </w:r>
          </w:p>
          <w:p w:rsidR="00F43D42" w:rsidRDefault="00F43D42" w:rsidP="00B9044D">
            <w:pPr>
              <w:tabs>
                <w:tab w:val="left" w:pos="851"/>
              </w:tabs>
              <w:ind w:firstLine="567"/>
              <w:rPr>
                <w:rFonts w:ascii="Times New Roman" w:hAnsi="Times New Roman"/>
                <w:sz w:val="24"/>
                <w:szCs w:val="24"/>
                <w:lang w:val="ro-MD"/>
              </w:rPr>
            </w:pPr>
          </w:p>
          <w:p w:rsidR="00B9044D" w:rsidRPr="00367ECE" w:rsidRDefault="00B9044D" w:rsidP="00B9044D">
            <w:pPr>
              <w:tabs>
                <w:tab w:val="left" w:pos="851"/>
              </w:tabs>
              <w:ind w:firstLine="567"/>
              <w:rPr>
                <w:rFonts w:ascii="Times New Roman" w:hAnsi="Times New Roman"/>
                <w:sz w:val="24"/>
                <w:szCs w:val="24"/>
                <w:lang w:val="ro-MD"/>
              </w:rPr>
            </w:pPr>
            <w:r w:rsidRPr="00367ECE">
              <w:rPr>
                <w:rFonts w:ascii="Times New Roman" w:hAnsi="Times New Roman"/>
                <w:sz w:val="24"/>
                <w:szCs w:val="24"/>
                <w:lang w:val="ro-MD"/>
              </w:rPr>
              <w:t xml:space="preserve">Intervențiile </w:t>
            </w:r>
            <w:r w:rsidR="00A837D4" w:rsidRPr="00367ECE">
              <w:rPr>
                <w:rFonts w:ascii="Times New Roman" w:hAnsi="Times New Roman"/>
                <w:sz w:val="24"/>
                <w:szCs w:val="24"/>
                <w:lang w:val="ro-MD"/>
              </w:rPr>
              <w:t xml:space="preserve">concrete </w:t>
            </w:r>
            <w:r w:rsidRPr="00367ECE">
              <w:rPr>
                <w:rFonts w:ascii="Times New Roman" w:hAnsi="Times New Roman"/>
                <w:sz w:val="24"/>
                <w:szCs w:val="24"/>
                <w:lang w:val="ro-MD"/>
              </w:rPr>
              <w:t>vor avea următoarele aspecte:</w:t>
            </w:r>
          </w:p>
          <w:p w:rsidR="00B9044D" w:rsidRPr="00367ECE" w:rsidRDefault="00B9044D" w:rsidP="00B9044D">
            <w:pPr>
              <w:pStyle w:val="ListParagraph"/>
              <w:numPr>
                <w:ilvl w:val="0"/>
                <w:numId w:val="12"/>
              </w:numPr>
              <w:spacing w:after="160" w:line="259" w:lineRule="auto"/>
              <w:rPr>
                <w:rFonts w:ascii="Times New Roman" w:hAnsi="Times New Roman"/>
                <w:sz w:val="24"/>
                <w:szCs w:val="24"/>
                <w:lang w:val="ro-MD"/>
              </w:rPr>
            </w:pPr>
            <w:r w:rsidRPr="00367ECE">
              <w:rPr>
                <w:rFonts w:ascii="Times New Roman" w:hAnsi="Times New Roman"/>
                <w:b/>
                <w:bCs/>
                <w:sz w:val="24"/>
                <w:szCs w:val="24"/>
                <w:lang w:val="ro-MD"/>
              </w:rPr>
              <w:t>Fuzi</w:t>
            </w:r>
            <w:r w:rsidR="00A837D4" w:rsidRPr="00367ECE">
              <w:rPr>
                <w:rFonts w:ascii="Times New Roman" w:hAnsi="Times New Roman"/>
                <w:b/>
                <w:bCs/>
                <w:sz w:val="24"/>
                <w:szCs w:val="24"/>
                <w:lang w:val="ro-MD"/>
              </w:rPr>
              <w:t>unea</w:t>
            </w:r>
            <w:r w:rsidRPr="00367ECE">
              <w:rPr>
                <w:rFonts w:ascii="Times New Roman" w:hAnsi="Times New Roman"/>
                <w:b/>
                <w:bCs/>
                <w:sz w:val="24"/>
                <w:szCs w:val="24"/>
                <w:lang w:val="ro-MD"/>
              </w:rPr>
              <w:t xml:space="preserve"> Universități de Stat din Moldova cu Academia de Administrare Publică (AAP) și cu Universitatea de Stat de Educație Fizică și Sport (USEFS), prin absorbție,  și cu institutele de cercetare care au directă contribuție la programele de studii superioare respective.</w:t>
            </w:r>
          </w:p>
          <w:tbl>
            <w:tblPr>
              <w:tblW w:w="1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126"/>
              <w:gridCol w:w="1843"/>
              <w:gridCol w:w="7040"/>
            </w:tblGrid>
            <w:tr w:rsidR="00B9044D" w:rsidRPr="00367ECE" w:rsidTr="00B9044D">
              <w:trPr>
                <w:trHeight w:val="471"/>
              </w:trPr>
              <w:tc>
                <w:tcPr>
                  <w:tcW w:w="2009"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USM</w:t>
                  </w:r>
                </w:p>
                <w:p w:rsidR="00B9044D" w:rsidRPr="00367ECE" w:rsidRDefault="00B9044D" w:rsidP="00B9044D">
                  <w:pPr>
                    <w:rPr>
                      <w:rFonts w:ascii="Times New Roman" w:hAnsi="Times New Roman"/>
                      <w:sz w:val="20"/>
                      <w:szCs w:val="20"/>
                      <w:lang w:val="ro-MD"/>
                    </w:rPr>
                  </w:pPr>
                  <w:r w:rsidRPr="00367ECE">
                    <w:rPr>
                      <w:rFonts w:ascii="Times New Roman" w:hAnsi="Times New Roman"/>
                      <w:sz w:val="20"/>
                      <w:szCs w:val="20"/>
                      <w:lang w:val="ro-MD"/>
                    </w:rPr>
                    <w:t>9520 studenți  licență, master</w:t>
                  </w:r>
                </w:p>
              </w:tc>
              <w:tc>
                <w:tcPr>
                  <w:tcW w:w="2126"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rPr>
                      <w:rFonts w:ascii="Times New Roman" w:hAnsi="Times New Roman"/>
                      <w:sz w:val="20"/>
                      <w:szCs w:val="20"/>
                      <w:lang w:val="ro-MD"/>
                    </w:rPr>
                  </w:pPr>
                  <w:r w:rsidRPr="00367ECE">
                    <w:rPr>
                      <w:rFonts w:ascii="Times New Roman" w:hAnsi="Times New Roman"/>
                      <w:b/>
                      <w:sz w:val="20"/>
                      <w:szCs w:val="20"/>
                      <w:lang w:val="ro-MD"/>
                    </w:rPr>
                    <w:t xml:space="preserve">AAP </w:t>
                  </w:r>
                  <w:r w:rsidRPr="00367ECE">
                    <w:rPr>
                      <w:rFonts w:ascii="Times New Roman" w:hAnsi="Times New Roman"/>
                      <w:sz w:val="20"/>
                      <w:szCs w:val="20"/>
                      <w:lang w:val="ro-MD"/>
                    </w:rPr>
                    <w:t>(doar programe de master)</w:t>
                  </w:r>
                </w:p>
                <w:p w:rsidR="00B9044D" w:rsidRPr="00367ECE" w:rsidRDefault="00B9044D" w:rsidP="00B9044D">
                  <w:pPr>
                    <w:rPr>
                      <w:rFonts w:ascii="Times New Roman" w:hAnsi="Times New Roman"/>
                      <w:sz w:val="20"/>
                      <w:szCs w:val="20"/>
                      <w:lang w:val="ro-MD"/>
                    </w:rPr>
                  </w:pPr>
                  <w:r w:rsidRPr="00367ECE">
                    <w:rPr>
                      <w:rFonts w:ascii="Times New Roman" w:hAnsi="Times New Roman"/>
                      <w:sz w:val="20"/>
                      <w:szCs w:val="20"/>
                      <w:lang w:val="ro-MD"/>
                    </w:rPr>
                    <w:t>825 studenți master</w:t>
                  </w:r>
                </w:p>
              </w:tc>
              <w:tc>
                <w:tcPr>
                  <w:tcW w:w="1843"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USEFS</w:t>
                  </w:r>
                </w:p>
                <w:p w:rsidR="00B9044D" w:rsidRPr="00367ECE" w:rsidRDefault="00B9044D" w:rsidP="00B9044D">
                  <w:pPr>
                    <w:rPr>
                      <w:rFonts w:ascii="Times New Roman" w:hAnsi="Times New Roman"/>
                      <w:b/>
                      <w:sz w:val="20"/>
                      <w:szCs w:val="20"/>
                      <w:lang w:val="ro-MD"/>
                    </w:rPr>
                  </w:pPr>
                  <w:r w:rsidRPr="00367ECE">
                    <w:rPr>
                      <w:rFonts w:ascii="Times New Roman" w:hAnsi="Times New Roman"/>
                      <w:sz w:val="20"/>
                      <w:szCs w:val="20"/>
                      <w:lang w:val="ro-MD"/>
                    </w:rPr>
                    <w:t>2200 studenți  licență, master</w:t>
                  </w:r>
                </w:p>
              </w:tc>
              <w:tc>
                <w:tcPr>
                  <w:tcW w:w="7040"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Institute de cercetare/</w:t>
                  </w:r>
                  <w:proofErr w:type="spellStart"/>
                  <w:r w:rsidRPr="00367ECE">
                    <w:rPr>
                      <w:rFonts w:ascii="Times New Roman" w:hAnsi="Times New Roman"/>
                      <w:b/>
                      <w:sz w:val="20"/>
                      <w:szCs w:val="20"/>
                      <w:lang w:val="ro-MD"/>
                    </w:rPr>
                    <w:t>numar</w:t>
                  </w:r>
                  <w:proofErr w:type="spellEnd"/>
                  <w:r w:rsidRPr="00367ECE">
                    <w:rPr>
                      <w:rFonts w:ascii="Times New Roman" w:hAnsi="Times New Roman"/>
                      <w:b/>
                      <w:sz w:val="20"/>
                      <w:szCs w:val="20"/>
                      <w:lang w:val="ro-MD"/>
                    </w:rPr>
                    <w:t xml:space="preserve"> cercetători</w:t>
                  </w:r>
                </w:p>
              </w:tc>
            </w:tr>
            <w:tr w:rsidR="00B9044D" w:rsidRPr="00367ECE" w:rsidTr="00F43D42">
              <w:trPr>
                <w:trHeight w:val="70"/>
              </w:trPr>
              <w:tc>
                <w:tcPr>
                  <w:tcW w:w="2009"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011 Științe ale educației</w:t>
                  </w:r>
                </w:p>
                <w:p w:rsidR="00B9044D" w:rsidRPr="00367ECE" w:rsidRDefault="00B9044D" w:rsidP="00B9044D">
                  <w:pPr>
                    <w:rPr>
                      <w:rFonts w:ascii="Times New Roman" w:hAnsi="Times New Roman"/>
                      <w:sz w:val="20"/>
                      <w:szCs w:val="20"/>
                      <w:lang w:val="ro-MD"/>
                    </w:rPr>
                  </w:pPr>
                  <w:r w:rsidRPr="00367ECE">
                    <w:rPr>
                      <w:rFonts w:ascii="Times New Roman" w:hAnsi="Times New Roman"/>
                      <w:sz w:val="20"/>
                      <w:szCs w:val="20"/>
                      <w:lang w:val="ro-MD"/>
                    </w:rPr>
                    <w:t xml:space="preserve">022 Științe umanistice, </w:t>
                  </w:r>
                  <w:r w:rsidRPr="00367ECE">
                    <w:rPr>
                      <w:rFonts w:ascii="Times New Roman" w:hAnsi="Times New Roman"/>
                      <w:b/>
                      <w:sz w:val="20"/>
                      <w:szCs w:val="20"/>
                      <w:lang w:val="ro-MD"/>
                    </w:rPr>
                    <w:t>031 Științe sociale și comportamentale</w:t>
                  </w:r>
                  <w:r w:rsidRPr="00367ECE">
                    <w:rPr>
                      <w:rFonts w:ascii="Times New Roman" w:hAnsi="Times New Roman"/>
                      <w:sz w:val="20"/>
                      <w:szCs w:val="20"/>
                      <w:lang w:val="ro-MD"/>
                    </w:rPr>
                    <w:t xml:space="preserve">, </w:t>
                  </w:r>
                </w:p>
                <w:p w:rsidR="00B9044D" w:rsidRPr="00367ECE" w:rsidRDefault="00B9044D" w:rsidP="00B9044D">
                  <w:pPr>
                    <w:rPr>
                      <w:rFonts w:ascii="Times New Roman" w:hAnsi="Times New Roman"/>
                      <w:b/>
                      <w:sz w:val="20"/>
                      <w:szCs w:val="20"/>
                      <w:lang w:val="ro-MD"/>
                    </w:rPr>
                  </w:pPr>
                  <w:r w:rsidRPr="00367ECE">
                    <w:rPr>
                      <w:rFonts w:ascii="Times New Roman" w:hAnsi="Times New Roman"/>
                      <w:sz w:val="20"/>
                      <w:szCs w:val="20"/>
                      <w:lang w:val="ro-MD"/>
                    </w:rPr>
                    <w:t xml:space="preserve">032 Jurnalism și informare, </w:t>
                  </w:r>
                  <w:r w:rsidRPr="00367ECE">
                    <w:rPr>
                      <w:rFonts w:ascii="Times New Roman" w:hAnsi="Times New Roman"/>
                      <w:b/>
                      <w:sz w:val="20"/>
                      <w:szCs w:val="20"/>
                      <w:lang w:val="ro-MD"/>
                    </w:rPr>
                    <w:t>040 Științe administrative</w:t>
                  </w:r>
                </w:p>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 xml:space="preserve">041 </w:t>
                  </w:r>
                  <w:proofErr w:type="spellStart"/>
                  <w:r w:rsidRPr="00367ECE">
                    <w:rPr>
                      <w:rFonts w:ascii="Times New Roman" w:hAnsi="Times New Roman"/>
                      <w:b/>
                      <w:sz w:val="20"/>
                      <w:szCs w:val="20"/>
                      <w:lang w:val="ro-MD"/>
                    </w:rPr>
                    <w:t>Ştiinţe</w:t>
                  </w:r>
                  <w:proofErr w:type="spellEnd"/>
                  <w:r w:rsidRPr="00367ECE">
                    <w:rPr>
                      <w:rFonts w:ascii="Times New Roman" w:hAnsi="Times New Roman"/>
                      <w:b/>
                      <w:sz w:val="20"/>
                      <w:szCs w:val="20"/>
                      <w:lang w:val="ro-MD"/>
                    </w:rPr>
                    <w:t xml:space="preserve"> economice</w:t>
                  </w:r>
                </w:p>
                <w:p w:rsidR="00B9044D" w:rsidRPr="00367ECE" w:rsidRDefault="00B9044D" w:rsidP="00B9044D">
                  <w:pPr>
                    <w:keepNext/>
                    <w:keepLines/>
                    <w:rPr>
                      <w:rFonts w:ascii="Times New Roman" w:hAnsi="Times New Roman"/>
                      <w:b/>
                      <w:iCs/>
                      <w:sz w:val="20"/>
                      <w:szCs w:val="20"/>
                      <w:lang w:val="ro-MD"/>
                    </w:rPr>
                  </w:pPr>
                  <w:r w:rsidRPr="00367ECE">
                    <w:rPr>
                      <w:rFonts w:ascii="Times New Roman" w:hAnsi="Times New Roman"/>
                      <w:b/>
                      <w:iCs/>
                      <w:sz w:val="20"/>
                      <w:szCs w:val="20"/>
                      <w:lang w:val="ro-MD"/>
                    </w:rPr>
                    <w:t>042 Drept</w:t>
                  </w:r>
                </w:p>
                <w:p w:rsidR="00B9044D" w:rsidRPr="00367ECE" w:rsidRDefault="00B9044D" w:rsidP="00B9044D">
                  <w:pPr>
                    <w:rPr>
                      <w:rFonts w:ascii="Times New Roman" w:hAnsi="Times New Roman"/>
                      <w:bCs/>
                      <w:sz w:val="20"/>
                      <w:szCs w:val="20"/>
                      <w:lang w:val="ro-MD" w:eastAsia="ru-RU"/>
                    </w:rPr>
                  </w:pPr>
                  <w:r w:rsidRPr="00367ECE">
                    <w:rPr>
                      <w:rFonts w:ascii="Times New Roman" w:hAnsi="Times New Roman"/>
                      <w:sz w:val="20"/>
                      <w:szCs w:val="20"/>
                      <w:lang w:val="ro-MD"/>
                    </w:rPr>
                    <w:t xml:space="preserve">050 </w:t>
                  </w:r>
                  <w:proofErr w:type="spellStart"/>
                  <w:r w:rsidRPr="00367ECE">
                    <w:rPr>
                      <w:rFonts w:ascii="Times New Roman" w:hAnsi="Times New Roman"/>
                      <w:sz w:val="20"/>
                      <w:szCs w:val="20"/>
                      <w:lang w:val="ro-MD"/>
                    </w:rPr>
                    <w:t>Ştiinţe</w:t>
                  </w:r>
                  <w:proofErr w:type="spellEnd"/>
                  <w:r w:rsidRPr="00367ECE">
                    <w:rPr>
                      <w:rFonts w:ascii="Times New Roman" w:hAnsi="Times New Roman"/>
                      <w:sz w:val="20"/>
                      <w:szCs w:val="20"/>
                      <w:lang w:val="ro-MD"/>
                    </w:rPr>
                    <w:t xml:space="preserve"> chimice, 051 Științe biologice, 052 Științe ale mediului, </w:t>
                  </w:r>
                  <w:r w:rsidRPr="00367ECE">
                    <w:rPr>
                      <w:rFonts w:ascii="Times New Roman" w:hAnsi="Times New Roman"/>
                      <w:sz w:val="20"/>
                      <w:szCs w:val="20"/>
                      <w:lang w:val="ro-MD" w:eastAsia="ru-RU"/>
                    </w:rPr>
                    <w:t xml:space="preserve">053 Științe fizice, 054 Matematică și statistică, </w:t>
                  </w:r>
                  <w:r w:rsidRPr="00367ECE">
                    <w:rPr>
                      <w:rFonts w:ascii="Times New Roman" w:hAnsi="Times New Roman"/>
                      <w:sz w:val="20"/>
                      <w:szCs w:val="20"/>
                      <w:lang w:val="ro-MD"/>
                    </w:rPr>
                    <w:t xml:space="preserve">061 Tehnologii ale </w:t>
                  </w:r>
                  <w:proofErr w:type="spellStart"/>
                  <w:r w:rsidRPr="00367ECE">
                    <w:rPr>
                      <w:rFonts w:ascii="Times New Roman" w:hAnsi="Times New Roman"/>
                      <w:sz w:val="20"/>
                      <w:szCs w:val="20"/>
                      <w:lang w:val="ro-MD"/>
                    </w:rPr>
                    <w:t>informaţiei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şi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comunicaţiilor</w:t>
                  </w:r>
                  <w:proofErr w:type="spellEnd"/>
                  <w:r w:rsidRPr="00367ECE">
                    <w:rPr>
                      <w:rFonts w:ascii="Times New Roman" w:hAnsi="Times New Roman"/>
                      <w:sz w:val="20"/>
                      <w:szCs w:val="20"/>
                      <w:lang w:val="ro-MD"/>
                    </w:rPr>
                    <w:t xml:space="preserve">, 07 Inginerie, tehnologii de prelucrare, arhitectură </w:t>
                  </w:r>
                  <w:proofErr w:type="spellStart"/>
                  <w:r w:rsidRPr="00367ECE">
                    <w:rPr>
                      <w:rFonts w:ascii="Times New Roman" w:hAnsi="Times New Roman"/>
                      <w:sz w:val="20"/>
                      <w:szCs w:val="20"/>
                      <w:lang w:val="ro-MD"/>
                    </w:rPr>
                    <w:t>şi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construcţii</w:t>
                  </w:r>
                  <w:proofErr w:type="spellEnd"/>
                  <w:r w:rsidRPr="00367ECE">
                    <w:rPr>
                      <w:rFonts w:ascii="Times New Roman" w:hAnsi="Times New Roman"/>
                      <w:sz w:val="20"/>
                      <w:szCs w:val="20"/>
                      <w:lang w:val="ro-MD"/>
                    </w:rPr>
                    <w:t xml:space="preserve">, </w:t>
                  </w:r>
                  <w:r w:rsidRPr="00367ECE">
                    <w:rPr>
                      <w:rFonts w:ascii="Times New Roman" w:hAnsi="Times New Roman"/>
                      <w:bCs/>
                      <w:sz w:val="20"/>
                      <w:szCs w:val="20"/>
                      <w:lang w:val="ro-MD" w:eastAsia="ru-RU"/>
                    </w:rPr>
                    <w:t>082 Silvicultură</w:t>
                  </w:r>
                </w:p>
                <w:p w:rsidR="00B9044D" w:rsidRPr="00367ECE" w:rsidRDefault="00B9044D" w:rsidP="00B9044D">
                  <w:pPr>
                    <w:rPr>
                      <w:rFonts w:ascii="Times New Roman" w:hAnsi="Times New Roman"/>
                      <w:b/>
                      <w:bCs/>
                      <w:sz w:val="20"/>
                      <w:szCs w:val="20"/>
                      <w:lang w:val="ro-MD"/>
                    </w:rPr>
                  </w:pPr>
                  <w:r w:rsidRPr="00367ECE">
                    <w:rPr>
                      <w:rFonts w:ascii="Times New Roman" w:hAnsi="Times New Roman"/>
                      <w:b/>
                      <w:sz w:val="20"/>
                      <w:szCs w:val="20"/>
                      <w:lang w:val="ro-MD"/>
                    </w:rPr>
                    <w:lastRenderedPageBreak/>
                    <w:t>101 Servicii publice</w:t>
                  </w:r>
                </w:p>
              </w:tc>
              <w:tc>
                <w:tcPr>
                  <w:tcW w:w="2126"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rPr>
                      <w:rFonts w:ascii="Times New Roman" w:hAnsi="Times New Roman"/>
                      <w:b/>
                      <w:bCs/>
                      <w:sz w:val="20"/>
                      <w:szCs w:val="20"/>
                      <w:lang w:val="ro-MD"/>
                    </w:rPr>
                  </w:pPr>
                  <w:r w:rsidRPr="00367ECE">
                    <w:rPr>
                      <w:rFonts w:ascii="Times New Roman" w:hAnsi="Times New Roman"/>
                      <w:b/>
                      <w:bCs/>
                      <w:sz w:val="20"/>
                      <w:szCs w:val="20"/>
                      <w:lang w:val="ro-MD"/>
                    </w:rPr>
                    <w:lastRenderedPageBreak/>
                    <w:t xml:space="preserve">031 Științe sociale și comportamentale </w:t>
                  </w:r>
                </w:p>
                <w:p w:rsidR="00B9044D" w:rsidRPr="00367ECE" w:rsidRDefault="00B9044D" w:rsidP="00B9044D">
                  <w:pPr>
                    <w:rPr>
                      <w:rFonts w:ascii="Times New Roman" w:hAnsi="Times New Roman"/>
                      <w:b/>
                      <w:bCs/>
                      <w:sz w:val="20"/>
                      <w:szCs w:val="20"/>
                      <w:lang w:val="ro-MD"/>
                    </w:rPr>
                  </w:pPr>
                  <w:r w:rsidRPr="00367ECE">
                    <w:rPr>
                      <w:rFonts w:ascii="Times New Roman" w:hAnsi="Times New Roman"/>
                      <w:b/>
                      <w:bCs/>
                      <w:sz w:val="20"/>
                      <w:szCs w:val="20"/>
                      <w:lang w:val="ro-MD"/>
                    </w:rPr>
                    <w:t>040 Științe administrative</w:t>
                  </w:r>
                </w:p>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 xml:space="preserve">041 </w:t>
                  </w:r>
                  <w:proofErr w:type="spellStart"/>
                  <w:r w:rsidRPr="00367ECE">
                    <w:rPr>
                      <w:rFonts w:ascii="Times New Roman" w:hAnsi="Times New Roman"/>
                      <w:b/>
                      <w:sz w:val="20"/>
                      <w:szCs w:val="20"/>
                      <w:lang w:val="ro-MD"/>
                    </w:rPr>
                    <w:t>Ştiinţe</w:t>
                  </w:r>
                  <w:proofErr w:type="spellEnd"/>
                  <w:r w:rsidRPr="00367ECE">
                    <w:rPr>
                      <w:rFonts w:ascii="Times New Roman" w:hAnsi="Times New Roman"/>
                      <w:b/>
                      <w:sz w:val="20"/>
                      <w:szCs w:val="20"/>
                      <w:lang w:val="ro-MD"/>
                    </w:rPr>
                    <w:t xml:space="preserve"> economice</w:t>
                  </w:r>
                </w:p>
                <w:p w:rsidR="00B9044D" w:rsidRPr="00367ECE" w:rsidRDefault="00B9044D" w:rsidP="00B9044D">
                  <w:pPr>
                    <w:keepNext/>
                    <w:keepLines/>
                    <w:rPr>
                      <w:rFonts w:ascii="Times New Roman" w:hAnsi="Times New Roman"/>
                      <w:b/>
                      <w:bCs/>
                      <w:sz w:val="20"/>
                      <w:szCs w:val="20"/>
                      <w:lang w:val="ro-MD"/>
                    </w:rPr>
                  </w:pPr>
                  <w:r w:rsidRPr="00367ECE">
                    <w:rPr>
                      <w:rFonts w:ascii="Times New Roman" w:hAnsi="Times New Roman"/>
                      <w:b/>
                      <w:iCs/>
                      <w:sz w:val="20"/>
                      <w:szCs w:val="20"/>
                      <w:lang w:val="ro-MD"/>
                    </w:rPr>
                    <w:t>042 Drept</w:t>
                  </w:r>
                </w:p>
                <w:p w:rsidR="00B9044D" w:rsidRPr="00367ECE" w:rsidRDefault="00B9044D" w:rsidP="00B9044D">
                  <w:pPr>
                    <w:rPr>
                      <w:rFonts w:ascii="Times New Roman" w:hAnsi="Times New Roman"/>
                      <w:bCs/>
                      <w:sz w:val="20"/>
                      <w:szCs w:val="20"/>
                      <w:lang w:val="ro-MD"/>
                    </w:rPr>
                  </w:pPr>
                </w:p>
                <w:p w:rsidR="00B9044D" w:rsidRPr="00367ECE" w:rsidRDefault="00B9044D" w:rsidP="00B9044D">
                  <w:pPr>
                    <w:keepNext/>
                    <w:keepLines/>
                    <w:rPr>
                      <w:rFonts w:ascii="Times New Roman" w:hAnsi="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rPr>
                      <w:rFonts w:ascii="Times New Roman" w:hAnsi="Times New Roman"/>
                      <w:b/>
                      <w:sz w:val="20"/>
                      <w:szCs w:val="20"/>
                      <w:lang w:val="ro-MD"/>
                    </w:rPr>
                  </w:pPr>
                  <w:r w:rsidRPr="00367ECE">
                    <w:rPr>
                      <w:rFonts w:ascii="Times New Roman" w:hAnsi="Times New Roman"/>
                      <w:b/>
                      <w:sz w:val="20"/>
                      <w:szCs w:val="20"/>
                      <w:lang w:val="ro-MD"/>
                    </w:rPr>
                    <w:t>011 Științe ale educației</w:t>
                  </w:r>
                </w:p>
                <w:p w:rsidR="00B9044D" w:rsidRPr="00367ECE" w:rsidRDefault="00B9044D" w:rsidP="00B9044D">
                  <w:pPr>
                    <w:rPr>
                      <w:rFonts w:ascii="Times New Roman" w:hAnsi="Times New Roman"/>
                      <w:sz w:val="20"/>
                      <w:szCs w:val="20"/>
                      <w:lang w:val="ro-MD"/>
                    </w:rPr>
                  </w:pPr>
                  <w:r w:rsidRPr="00367ECE">
                    <w:rPr>
                      <w:rFonts w:ascii="Times New Roman" w:hAnsi="Times New Roman"/>
                      <w:sz w:val="20"/>
                      <w:szCs w:val="20"/>
                      <w:lang w:val="ro-MD"/>
                    </w:rPr>
                    <w:t>100 științe ale Sportului</w:t>
                  </w:r>
                </w:p>
                <w:p w:rsidR="00B9044D" w:rsidRPr="00367ECE" w:rsidRDefault="00B9044D" w:rsidP="00B9044D">
                  <w:pPr>
                    <w:keepNext/>
                    <w:keepLines/>
                    <w:rPr>
                      <w:rFonts w:ascii="Times New Roman" w:hAnsi="Times New Roman"/>
                      <w:b/>
                      <w:bCs/>
                      <w:sz w:val="20"/>
                      <w:szCs w:val="20"/>
                      <w:lang w:val="ro-MD"/>
                    </w:rPr>
                  </w:pPr>
                  <w:r w:rsidRPr="00367ECE">
                    <w:rPr>
                      <w:rFonts w:ascii="Times New Roman" w:hAnsi="Times New Roman"/>
                      <w:b/>
                      <w:bCs/>
                      <w:sz w:val="20"/>
                      <w:szCs w:val="20"/>
                      <w:lang w:val="ro-MD"/>
                    </w:rPr>
                    <w:t>101 Servicii publice</w:t>
                  </w:r>
                </w:p>
                <w:p w:rsidR="00B9044D" w:rsidRPr="00367ECE" w:rsidRDefault="00B9044D" w:rsidP="00B9044D">
                  <w:pPr>
                    <w:keepNext/>
                    <w:keepLines/>
                    <w:rPr>
                      <w:rFonts w:ascii="Times New Roman" w:hAnsi="Times New Roman"/>
                      <w:bCs/>
                      <w:iCs/>
                      <w:sz w:val="20"/>
                      <w:szCs w:val="20"/>
                      <w:lang w:val="ro-MD"/>
                    </w:rPr>
                  </w:pPr>
                  <w:r w:rsidRPr="00367ECE">
                    <w:rPr>
                      <w:rFonts w:ascii="Times New Roman" w:hAnsi="Times New Roman"/>
                      <w:bCs/>
                      <w:sz w:val="20"/>
                      <w:szCs w:val="20"/>
                      <w:lang w:val="ro-MD"/>
                    </w:rPr>
                    <w:t xml:space="preserve">103 Științe ale </w:t>
                  </w:r>
                  <w:proofErr w:type="spellStart"/>
                  <w:r w:rsidRPr="00367ECE">
                    <w:rPr>
                      <w:rFonts w:ascii="Times New Roman" w:hAnsi="Times New Roman"/>
                      <w:bCs/>
                      <w:sz w:val="20"/>
                      <w:szCs w:val="20"/>
                      <w:lang w:val="ro-MD"/>
                    </w:rPr>
                    <w:t>securutății</w:t>
                  </w:r>
                  <w:proofErr w:type="spellEnd"/>
                </w:p>
                <w:p w:rsidR="00B9044D" w:rsidRPr="00367ECE" w:rsidRDefault="00B9044D" w:rsidP="00B9044D">
                  <w:pPr>
                    <w:rPr>
                      <w:rFonts w:ascii="Times New Roman" w:hAnsi="Times New Roman"/>
                      <w:bCs/>
                      <w:sz w:val="20"/>
                      <w:szCs w:val="20"/>
                      <w:lang w:val="ro-MD"/>
                    </w:rPr>
                  </w:pPr>
                </w:p>
                <w:p w:rsidR="00B9044D" w:rsidRPr="00367ECE" w:rsidRDefault="00B9044D" w:rsidP="00B9044D">
                  <w:pPr>
                    <w:pStyle w:val="ListParagraph"/>
                    <w:spacing w:line="240" w:lineRule="auto"/>
                    <w:ind w:left="502"/>
                    <w:rPr>
                      <w:rFonts w:ascii="Times New Roman" w:hAnsi="Times New Roman"/>
                      <w:sz w:val="20"/>
                      <w:szCs w:val="20"/>
                      <w:lang w:val="ro-MD"/>
                    </w:rPr>
                  </w:pPr>
                </w:p>
              </w:tc>
              <w:tc>
                <w:tcPr>
                  <w:tcW w:w="7040"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pStyle w:val="ListParagraph"/>
                    <w:numPr>
                      <w:ilvl w:val="0"/>
                      <w:numId w:val="8"/>
                    </w:numPr>
                    <w:spacing w:after="160" w:line="240" w:lineRule="auto"/>
                    <w:rPr>
                      <w:rFonts w:ascii="Times New Roman" w:hAnsi="Times New Roman"/>
                      <w:sz w:val="20"/>
                      <w:szCs w:val="20"/>
                      <w:lang w:val="ro-MD"/>
                    </w:rPr>
                  </w:pPr>
                  <w:r w:rsidRPr="00367ECE">
                    <w:rPr>
                      <w:rFonts w:ascii="Times New Roman" w:hAnsi="Times New Roman"/>
                      <w:sz w:val="20"/>
                      <w:szCs w:val="20"/>
                      <w:lang w:val="ro-MD"/>
                    </w:rPr>
                    <w:t>Biblioteca Științifică ”</w:t>
                  </w:r>
                  <w:proofErr w:type="spellStart"/>
                  <w:r w:rsidRPr="00367ECE">
                    <w:rPr>
                      <w:rFonts w:ascii="Times New Roman" w:hAnsi="Times New Roman"/>
                      <w:sz w:val="20"/>
                      <w:szCs w:val="20"/>
                      <w:lang w:val="ro-MD"/>
                    </w:rPr>
                    <w:t>A.Lupan</w:t>
                  </w:r>
                  <w:proofErr w:type="spellEnd"/>
                  <w:r w:rsidRPr="00367ECE">
                    <w:rPr>
                      <w:rFonts w:ascii="Times New Roman" w:hAnsi="Times New Roman"/>
                      <w:sz w:val="20"/>
                      <w:szCs w:val="20"/>
                      <w:lang w:val="ro-MD"/>
                    </w:rPr>
                    <w:t xml:space="preserve">” </w:t>
                  </w:r>
                </w:p>
                <w:p w:rsidR="00B9044D" w:rsidRPr="00367ECE" w:rsidRDefault="00B9044D" w:rsidP="00B9044D">
                  <w:pPr>
                    <w:pStyle w:val="ListParagraph"/>
                    <w:spacing w:line="240" w:lineRule="auto"/>
                    <w:ind w:left="360"/>
                    <w:rPr>
                      <w:rFonts w:ascii="Times New Roman" w:hAnsi="Times New Roman"/>
                      <w:sz w:val="20"/>
                      <w:szCs w:val="20"/>
                      <w:lang w:val="ro-MD"/>
                    </w:rPr>
                  </w:pPr>
                  <w:r w:rsidRPr="00367ECE">
                    <w:rPr>
                      <w:rFonts w:ascii="Times New Roman" w:hAnsi="Times New Roman"/>
                      <w:sz w:val="20"/>
                      <w:szCs w:val="20"/>
                      <w:lang w:val="ro-MD"/>
                    </w:rPr>
                    <w:t xml:space="preserve"> ( cercetători -94)</w:t>
                  </w:r>
                </w:p>
                <w:p w:rsidR="00B9044D" w:rsidRPr="00367ECE" w:rsidRDefault="00B9044D" w:rsidP="00B9044D">
                  <w:pPr>
                    <w:pStyle w:val="ListParagraph"/>
                    <w:numPr>
                      <w:ilvl w:val="0"/>
                      <w:numId w:val="8"/>
                    </w:numPr>
                    <w:spacing w:after="160" w:line="240" w:lineRule="auto"/>
                    <w:rPr>
                      <w:rFonts w:ascii="Times New Roman" w:hAnsi="Times New Roman"/>
                      <w:sz w:val="20"/>
                      <w:szCs w:val="20"/>
                      <w:lang w:val="ro-MD"/>
                    </w:rPr>
                  </w:pPr>
                  <w:r w:rsidRPr="00367ECE">
                    <w:rPr>
                      <w:rFonts w:ascii="Times New Roman" w:hAnsi="Times New Roman"/>
                      <w:sz w:val="20"/>
                      <w:szCs w:val="20"/>
                      <w:lang w:val="ro-MD"/>
                    </w:rPr>
                    <w:t xml:space="preserve">Institutul de Matematică și </w:t>
                  </w:r>
                </w:p>
                <w:p w:rsidR="00B9044D" w:rsidRPr="00367ECE" w:rsidRDefault="00B9044D" w:rsidP="00B9044D">
                  <w:pPr>
                    <w:pStyle w:val="ListParagraph"/>
                    <w:spacing w:after="160" w:line="240" w:lineRule="auto"/>
                    <w:ind w:left="360"/>
                    <w:rPr>
                      <w:rFonts w:ascii="Times New Roman" w:hAnsi="Times New Roman"/>
                      <w:sz w:val="20"/>
                      <w:szCs w:val="20"/>
                      <w:lang w:val="ro-MD"/>
                    </w:rPr>
                  </w:pPr>
                  <w:r w:rsidRPr="00367ECE">
                    <w:rPr>
                      <w:rFonts w:ascii="Times New Roman" w:hAnsi="Times New Roman"/>
                      <w:sz w:val="20"/>
                      <w:szCs w:val="20"/>
                      <w:lang w:val="ro-MD"/>
                    </w:rPr>
                    <w:t xml:space="preserve">Informatică </w:t>
                  </w:r>
                </w:p>
                <w:p w:rsidR="00B9044D" w:rsidRPr="00367ECE" w:rsidRDefault="00B9044D" w:rsidP="00B9044D">
                  <w:pPr>
                    <w:pStyle w:val="ListParagraph"/>
                    <w:spacing w:line="240" w:lineRule="auto"/>
                    <w:ind w:left="360"/>
                    <w:rPr>
                      <w:rFonts w:ascii="Times New Roman" w:hAnsi="Times New Roman"/>
                      <w:sz w:val="20"/>
                      <w:szCs w:val="20"/>
                      <w:lang w:val="ro-MD"/>
                    </w:rPr>
                  </w:pPr>
                  <w:r w:rsidRPr="00367ECE">
                    <w:rPr>
                      <w:rFonts w:ascii="Times New Roman" w:hAnsi="Times New Roman"/>
                      <w:sz w:val="20"/>
                      <w:szCs w:val="20"/>
                      <w:lang w:val="ro-MD"/>
                    </w:rPr>
                    <w:t>”</w:t>
                  </w:r>
                  <w:proofErr w:type="spellStart"/>
                  <w:r w:rsidRPr="00367ECE">
                    <w:rPr>
                      <w:rFonts w:ascii="Times New Roman" w:hAnsi="Times New Roman"/>
                      <w:sz w:val="20"/>
                      <w:szCs w:val="20"/>
                      <w:lang w:val="ro-MD"/>
                    </w:rPr>
                    <w:t>V.Andruchevici</w:t>
                  </w:r>
                  <w:proofErr w:type="spellEnd"/>
                  <w:r w:rsidRPr="00367ECE">
                    <w:rPr>
                      <w:rFonts w:ascii="Times New Roman" w:hAnsi="Times New Roman"/>
                      <w:sz w:val="20"/>
                      <w:szCs w:val="20"/>
                      <w:lang w:val="ro-MD"/>
                    </w:rPr>
                    <w:t>” ( cercetători -51)</w:t>
                  </w:r>
                </w:p>
                <w:p w:rsidR="00B9044D" w:rsidRPr="00367ECE" w:rsidRDefault="00B9044D" w:rsidP="00B9044D">
                  <w:pPr>
                    <w:pStyle w:val="ListParagraph"/>
                    <w:numPr>
                      <w:ilvl w:val="0"/>
                      <w:numId w:val="8"/>
                    </w:numPr>
                    <w:spacing w:after="160" w:line="240" w:lineRule="auto"/>
                    <w:rPr>
                      <w:rFonts w:ascii="Times New Roman" w:hAnsi="Times New Roman"/>
                      <w:sz w:val="20"/>
                      <w:szCs w:val="20"/>
                      <w:lang w:val="ro-MD"/>
                    </w:rPr>
                  </w:pPr>
                  <w:r w:rsidRPr="00367ECE">
                    <w:rPr>
                      <w:rFonts w:ascii="Times New Roman" w:hAnsi="Times New Roman"/>
                      <w:sz w:val="20"/>
                      <w:szCs w:val="20"/>
                      <w:lang w:val="ro-MD"/>
                    </w:rPr>
                    <w:t>Institutul de Fizică Aplicată</w:t>
                  </w:r>
                </w:p>
                <w:p w:rsidR="00B9044D" w:rsidRPr="00367ECE" w:rsidRDefault="00B9044D" w:rsidP="00B9044D">
                  <w:pPr>
                    <w:pStyle w:val="ListParagraph"/>
                    <w:spacing w:line="240" w:lineRule="auto"/>
                    <w:ind w:left="360"/>
                    <w:rPr>
                      <w:rFonts w:ascii="Times New Roman" w:hAnsi="Times New Roman"/>
                      <w:sz w:val="20"/>
                      <w:szCs w:val="20"/>
                      <w:lang w:val="ro-MD"/>
                    </w:rPr>
                  </w:pPr>
                  <w:r w:rsidRPr="00367ECE">
                    <w:rPr>
                      <w:rFonts w:ascii="Times New Roman" w:hAnsi="Times New Roman"/>
                      <w:sz w:val="20"/>
                      <w:szCs w:val="20"/>
                      <w:lang w:val="ro-MD"/>
                    </w:rPr>
                    <w:t>(cercetători -147)</w:t>
                  </w:r>
                </w:p>
                <w:p w:rsidR="00B9044D" w:rsidRPr="00367ECE" w:rsidRDefault="00B9044D" w:rsidP="00B9044D">
                  <w:pPr>
                    <w:pStyle w:val="ListParagraph"/>
                    <w:numPr>
                      <w:ilvl w:val="0"/>
                      <w:numId w:val="8"/>
                    </w:numPr>
                    <w:spacing w:after="160" w:line="240" w:lineRule="auto"/>
                    <w:rPr>
                      <w:rFonts w:ascii="Times New Roman" w:hAnsi="Times New Roman"/>
                      <w:sz w:val="20"/>
                      <w:szCs w:val="20"/>
                      <w:lang w:val="ro-MD"/>
                    </w:rPr>
                  </w:pPr>
                  <w:r w:rsidRPr="00367ECE">
                    <w:rPr>
                      <w:rFonts w:ascii="Times New Roman" w:hAnsi="Times New Roman"/>
                      <w:sz w:val="20"/>
                      <w:szCs w:val="20"/>
                      <w:lang w:val="ro-MD"/>
                    </w:rPr>
                    <w:t>Institutul de Chimie (cercetători -93)</w:t>
                  </w:r>
                </w:p>
                <w:p w:rsidR="00B9044D" w:rsidRPr="00367ECE" w:rsidRDefault="00B9044D" w:rsidP="00B9044D">
                  <w:pPr>
                    <w:pStyle w:val="ListParagraph"/>
                    <w:numPr>
                      <w:ilvl w:val="0"/>
                      <w:numId w:val="8"/>
                    </w:numPr>
                    <w:spacing w:after="160" w:line="240" w:lineRule="auto"/>
                    <w:rPr>
                      <w:rFonts w:ascii="Times New Roman" w:hAnsi="Times New Roman"/>
                      <w:sz w:val="20"/>
                      <w:szCs w:val="20"/>
                      <w:lang w:val="ro-MD"/>
                    </w:rPr>
                  </w:pPr>
                  <w:r w:rsidRPr="00367ECE">
                    <w:rPr>
                      <w:rFonts w:ascii="Times New Roman" w:hAnsi="Times New Roman"/>
                      <w:sz w:val="20"/>
                      <w:szCs w:val="20"/>
                      <w:lang w:val="ro-MD"/>
                    </w:rPr>
                    <w:t>Institutul de Ecologie și Geografie</w:t>
                  </w:r>
                </w:p>
                <w:p w:rsidR="00B9044D" w:rsidRPr="00367ECE" w:rsidRDefault="00B9044D" w:rsidP="00B9044D">
                  <w:pPr>
                    <w:pStyle w:val="ListParagraph"/>
                    <w:spacing w:line="240" w:lineRule="auto"/>
                    <w:ind w:left="360"/>
                    <w:rPr>
                      <w:rFonts w:ascii="Times New Roman" w:hAnsi="Times New Roman"/>
                      <w:sz w:val="20"/>
                      <w:szCs w:val="20"/>
                      <w:lang w:val="ro-MD"/>
                    </w:rPr>
                  </w:pPr>
                  <w:r w:rsidRPr="00367ECE">
                    <w:rPr>
                      <w:rFonts w:ascii="Times New Roman" w:hAnsi="Times New Roman"/>
                      <w:sz w:val="20"/>
                      <w:szCs w:val="20"/>
                      <w:lang w:val="ro-MD"/>
                    </w:rPr>
                    <w:t xml:space="preserve"> (cercetători -76)</w:t>
                  </w:r>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Institutul de Geologie și Seismologie</w:t>
                  </w:r>
                </w:p>
                <w:p w:rsidR="00B9044D" w:rsidRPr="00367ECE" w:rsidRDefault="00B9044D" w:rsidP="00B9044D">
                  <w:pPr>
                    <w:pStyle w:val="ListParagraph"/>
                    <w:spacing w:line="240" w:lineRule="auto"/>
                    <w:ind w:left="360"/>
                    <w:jc w:val="both"/>
                    <w:rPr>
                      <w:rFonts w:ascii="Times New Roman" w:hAnsi="Times New Roman"/>
                      <w:sz w:val="20"/>
                      <w:szCs w:val="20"/>
                      <w:lang w:val="ro-MD"/>
                    </w:rPr>
                  </w:pPr>
                  <w:r w:rsidRPr="00367ECE">
                    <w:rPr>
                      <w:rFonts w:ascii="Times New Roman" w:hAnsi="Times New Roman"/>
                      <w:sz w:val="20"/>
                      <w:szCs w:val="20"/>
                      <w:lang w:val="ro-MD"/>
                    </w:rPr>
                    <w:t xml:space="preserve"> (cercetători -25)</w:t>
                  </w:r>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Institutul de Zoologie (cercetători -59)</w:t>
                  </w:r>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 xml:space="preserve">Institutul de Fiziologie și </w:t>
                  </w:r>
                </w:p>
                <w:p w:rsidR="00B9044D" w:rsidRPr="00367ECE" w:rsidRDefault="00B9044D" w:rsidP="00B9044D">
                  <w:pPr>
                    <w:pStyle w:val="ListParagraph"/>
                    <w:spacing w:after="160" w:line="240" w:lineRule="auto"/>
                    <w:ind w:left="360"/>
                    <w:jc w:val="both"/>
                    <w:rPr>
                      <w:rFonts w:ascii="Times New Roman" w:hAnsi="Times New Roman"/>
                      <w:sz w:val="20"/>
                      <w:szCs w:val="20"/>
                      <w:lang w:val="ro-MD"/>
                    </w:rPr>
                  </w:pPr>
                  <w:proofErr w:type="spellStart"/>
                  <w:r w:rsidRPr="00367ECE">
                    <w:rPr>
                      <w:rFonts w:ascii="Times New Roman" w:hAnsi="Times New Roman"/>
                      <w:sz w:val="20"/>
                      <w:szCs w:val="20"/>
                      <w:lang w:val="ro-MD"/>
                    </w:rPr>
                    <w:t>Sanocreatologie</w:t>
                  </w:r>
                  <w:proofErr w:type="spellEnd"/>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 xml:space="preserve">Institutul de Cercetări Juridice, </w:t>
                  </w:r>
                </w:p>
                <w:p w:rsidR="00B9044D" w:rsidRPr="00367ECE" w:rsidRDefault="00B9044D" w:rsidP="00B9044D">
                  <w:pPr>
                    <w:pStyle w:val="ListParagraph"/>
                    <w:spacing w:after="160" w:line="240" w:lineRule="auto"/>
                    <w:ind w:left="360"/>
                    <w:jc w:val="both"/>
                    <w:rPr>
                      <w:rFonts w:ascii="Times New Roman" w:hAnsi="Times New Roman"/>
                      <w:sz w:val="20"/>
                      <w:szCs w:val="20"/>
                      <w:lang w:val="ro-MD"/>
                    </w:rPr>
                  </w:pPr>
                  <w:r w:rsidRPr="00367ECE">
                    <w:rPr>
                      <w:rFonts w:ascii="Times New Roman" w:hAnsi="Times New Roman"/>
                      <w:sz w:val="20"/>
                      <w:szCs w:val="20"/>
                      <w:lang w:val="ro-MD"/>
                    </w:rPr>
                    <w:t xml:space="preserve">Politice și </w:t>
                  </w:r>
                </w:p>
                <w:p w:rsidR="00B9044D" w:rsidRPr="00367ECE" w:rsidRDefault="00B9044D" w:rsidP="00B9044D">
                  <w:pPr>
                    <w:pStyle w:val="ListParagraph"/>
                    <w:spacing w:line="240" w:lineRule="auto"/>
                    <w:ind w:left="360"/>
                    <w:jc w:val="both"/>
                    <w:rPr>
                      <w:rFonts w:ascii="Times New Roman" w:hAnsi="Times New Roman"/>
                      <w:sz w:val="20"/>
                      <w:szCs w:val="20"/>
                      <w:lang w:val="ro-MD"/>
                    </w:rPr>
                  </w:pPr>
                  <w:r w:rsidRPr="00367ECE">
                    <w:rPr>
                      <w:rFonts w:ascii="Times New Roman" w:hAnsi="Times New Roman"/>
                      <w:sz w:val="20"/>
                      <w:szCs w:val="20"/>
                      <w:lang w:val="ro-MD"/>
                    </w:rPr>
                    <w:t>Sociologice ( cercetători -44)</w:t>
                  </w:r>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 xml:space="preserve">Institutul de Filologie Romana </w:t>
                  </w:r>
                </w:p>
                <w:p w:rsidR="00B9044D" w:rsidRPr="00367ECE" w:rsidRDefault="00B9044D" w:rsidP="00B9044D">
                  <w:pPr>
                    <w:pStyle w:val="ListParagraph"/>
                    <w:spacing w:line="240" w:lineRule="auto"/>
                    <w:ind w:left="360"/>
                    <w:jc w:val="both"/>
                    <w:rPr>
                      <w:rFonts w:ascii="Times New Roman" w:hAnsi="Times New Roman"/>
                      <w:sz w:val="20"/>
                      <w:szCs w:val="20"/>
                      <w:lang w:val="ro-MD"/>
                    </w:rPr>
                  </w:pPr>
                  <w:r w:rsidRPr="00367ECE">
                    <w:rPr>
                      <w:rFonts w:ascii="Times New Roman" w:hAnsi="Times New Roman"/>
                      <w:sz w:val="20"/>
                      <w:szCs w:val="20"/>
                      <w:lang w:val="ro-MD"/>
                    </w:rPr>
                    <w:t>”</w:t>
                  </w:r>
                  <w:proofErr w:type="spellStart"/>
                  <w:r w:rsidRPr="00367ECE">
                    <w:rPr>
                      <w:rFonts w:ascii="Times New Roman" w:hAnsi="Times New Roman"/>
                      <w:sz w:val="20"/>
                      <w:szCs w:val="20"/>
                      <w:lang w:val="ro-MD"/>
                    </w:rPr>
                    <w:t>B.P.Hasdeu</w:t>
                  </w:r>
                  <w:proofErr w:type="spellEnd"/>
                  <w:r w:rsidRPr="00367ECE">
                    <w:rPr>
                      <w:rFonts w:ascii="Times New Roman" w:hAnsi="Times New Roman"/>
                      <w:sz w:val="20"/>
                      <w:szCs w:val="20"/>
                      <w:lang w:val="ro-MD"/>
                    </w:rPr>
                    <w:t>” (cercetători -50)</w:t>
                  </w:r>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Institutul de Istorie (cercetători -48)</w:t>
                  </w:r>
                </w:p>
                <w:p w:rsidR="00B9044D" w:rsidRPr="00367ECE" w:rsidRDefault="00B9044D" w:rsidP="00B9044D">
                  <w:pPr>
                    <w:pStyle w:val="ListParagraph"/>
                    <w:numPr>
                      <w:ilvl w:val="0"/>
                      <w:numId w:val="8"/>
                    </w:numPr>
                    <w:spacing w:after="160" w:line="240" w:lineRule="auto"/>
                    <w:jc w:val="both"/>
                    <w:rPr>
                      <w:rFonts w:ascii="Times New Roman" w:hAnsi="Times New Roman"/>
                      <w:sz w:val="20"/>
                      <w:szCs w:val="20"/>
                      <w:lang w:val="ro-MD"/>
                    </w:rPr>
                  </w:pPr>
                  <w:r w:rsidRPr="00367ECE">
                    <w:rPr>
                      <w:rFonts w:ascii="Times New Roman" w:hAnsi="Times New Roman"/>
                      <w:sz w:val="20"/>
                      <w:szCs w:val="20"/>
                      <w:lang w:val="ro-MD"/>
                    </w:rPr>
                    <w:t>Institutul de Genetică, Fiziologie și</w:t>
                  </w:r>
                </w:p>
                <w:p w:rsidR="005D63F8" w:rsidRPr="00367ECE" w:rsidRDefault="00B9044D" w:rsidP="00B9044D">
                  <w:pPr>
                    <w:pStyle w:val="ListParagraph"/>
                    <w:spacing w:line="240" w:lineRule="auto"/>
                    <w:ind w:left="360"/>
                    <w:jc w:val="both"/>
                    <w:rPr>
                      <w:rFonts w:ascii="Times New Roman" w:hAnsi="Times New Roman"/>
                      <w:sz w:val="20"/>
                      <w:szCs w:val="20"/>
                      <w:lang w:val="ro-MD"/>
                    </w:rPr>
                  </w:pPr>
                  <w:r w:rsidRPr="00367ECE">
                    <w:rPr>
                      <w:rFonts w:ascii="Times New Roman" w:hAnsi="Times New Roman"/>
                      <w:sz w:val="20"/>
                      <w:szCs w:val="20"/>
                      <w:lang w:val="ro-MD"/>
                    </w:rPr>
                    <w:t xml:space="preserve"> Protecție a Plantelor (cercetători </w:t>
                  </w:r>
                </w:p>
                <w:p w:rsidR="00B9044D" w:rsidRPr="00367ECE" w:rsidRDefault="00B9044D" w:rsidP="00B9044D">
                  <w:pPr>
                    <w:pStyle w:val="ListParagraph"/>
                    <w:spacing w:line="240" w:lineRule="auto"/>
                    <w:ind w:left="360"/>
                    <w:jc w:val="both"/>
                    <w:rPr>
                      <w:rFonts w:ascii="Times New Roman" w:hAnsi="Times New Roman"/>
                      <w:sz w:val="20"/>
                      <w:szCs w:val="20"/>
                      <w:lang w:val="ro-MD"/>
                    </w:rPr>
                  </w:pPr>
                  <w:r w:rsidRPr="00367ECE">
                    <w:rPr>
                      <w:rFonts w:ascii="Times New Roman" w:hAnsi="Times New Roman"/>
                      <w:sz w:val="20"/>
                      <w:szCs w:val="20"/>
                      <w:lang w:val="ro-MD"/>
                    </w:rPr>
                    <w:t>-156)</w:t>
                  </w:r>
                </w:p>
                <w:p w:rsidR="00B9044D" w:rsidRPr="00367ECE" w:rsidRDefault="00B9044D" w:rsidP="00B9044D">
                  <w:pPr>
                    <w:pStyle w:val="ListParagraph"/>
                    <w:numPr>
                      <w:ilvl w:val="0"/>
                      <w:numId w:val="8"/>
                    </w:numPr>
                    <w:spacing w:after="160" w:line="240" w:lineRule="auto"/>
                    <w:rPr>
                      <w:rFonts w:ascii="Times New Roman" w:hAnsi="Times New Roman"/>
                      <w:sz w:val="20"/>
                      <w:szCs w:val="20"/>
                      <w:lang w:val="ro-MD"/>
                    </w:rPr>
                  </w:pPr>
                  <w:r w:rsidRPr="00367ECE">
                    <w:rPr>
                      <w:rFonts w:ascii="Times New Roman" w:hAnsi="Times New Roman"/>
                      <w:sz w:val="20"/>
                      <w:szCs w:val="20"/>
                      <w:lang w:val="ro-MD"/>
                    </w:rPr>
                    <w:t>Gradina Botanică</w:t>
                  </w:r>
                </w:p>
              </w:tc>
            </w:tr>
          </w:tbl>
          <w:p w:rsidR="00B9044D" w:rsidRPr="00367ECE" w:rsidRDefault="00B9044D" w:rsidP="00B9044D">
            <w:pPr>
              <w:pStyle w:val="ListParagraph"/>
              <w:ind w:left="360"/>
              <w:rPr>
                <w:rFonts w:ascii="Times New Roman" w:hAnsi="Times New Roman"/>
                <w:sz w:val="24"/>
                <w:szCs w:val="24"/>
                <w:lang w:val="ro-MD"/>
              </w:rPr>
            </w:pPr>
          </w:p>
          <w:p w:rsidR="00B9044D" w:rsidRPr="00367ECE" w:rsidRDefault="00E207E1" w:rsidP="00B9044D">
            <w:pPr>
              <w:pStyle w:val="ListParagraph"/>
              <w:numPr>
                <w:ilvl w:val="0"/>
                <w:numId w:val="12"/>
              </w:numPr>
              <w:spacing w:after="160"/>
              <w:rPr>
                <w:rFonts w:ascii="Times New Roman" w:hAnsi="Times New Roman"/>
                <w:b/>
                <w:sz w:val="24"/>
                <w:szCs w:val="24"/>
                <w:lang w:val="ro-MD"/>
              </w:rPr>
            </w:pPr>
            <w:r w:rsidRPr="00367ECE">
              <w:rPr>
                <w:rFonts w:ascii="Times New Roman" w:hAnsi="Times New Roman"/>
                <w:b/>
                <w:sz w:val="24"/>
                <w:szCs w:val="24"/>
                <w:lang w:val="ro-MD"/>
              </w:rPr>
              <w:t>Fuzi</w:t>
            </w:r>
            <w:r w:rsidR="00A837D4" w:rsidRPr="00367ECE">
              <w:rPr>
                <w:rFonts w:ascii="Times New Roman" w:hAnsi="Times New Roman"/>
                <w:b/>
                <w:sz w:val="24"/>
                <w:szCs w:val="24"/>
                <w:lang w:val="ro-MD"/>
              </w:rPr>
              <w:t>unea</w:t>
            </w:r>
            <w:r w:rsidR="00B9044D" w:rsidRPr="00367ECE">
              <w:rPr>
                <w:rFonts w:ascii="Times New Roman" w:hAnsi="Times New Roman"/>
                <w:b/>
                <w:sz w:val="24"/>
                <w:szCs w:val="24"/>
                <w:lang w:val="ro-MD"/>
              </w:rPr>
              <w:t xml:space="preserve"> Universități Tehnice a Moldovei (UTM) cu Universitatea Agrară de Stat din Moldova (UASM), prin absorbție, și a unor  institute de cercetare</w:t>
            </w:r>
          </w:p>
          <w:p w:rsidR="00B9044D" w:rsidRPr="00367ECE" w:rsidRDefault="00B9044D" w:rsidP="00B9044D">
            <w:pPr>
              <w:pStyle w:val="ListParagraph"/>
              <w:ind w:left="360"/>
              <w:jc w:val="both"/>
              <w:rPr>
                <w:rFonts w:ascii="Times New Roman" w:hAnsi="Times New Roman"/>
                <w:sz w:val="24"/>
                <w:szCs w:val="24"/>
                <w:lang w:val="ro-MD"/>
              </w:rPr>
            </w:pPr>
            <w:r w:rsidRPr="00367ECE">
              <w:rPr>
                <w:rFonts w:ascii="Times New Roman" w:hAnsi="Times New Roman"/>
                <w:sz w:val="24"/>
                <w:szCs w:val="24"/>
                <w:lang w:val="ro-MD"/>
              </w:rPr>
              <w:t xml:space="preserve">UTM are peste 60 de programe la </w:t>
            </w:r>
            <w:proofErr w:type="spellStart"/>
            <w:r w:rsidRPr="00367ECE">
              <w:rPr>
                <w:rFonts w:ascii="Times New Roman" w:hAnsi="Times New Roman"/>
                <w:sz w:val="24"/>
                <w:szCs w:val="24"/>
                <w:lang w:val="ro-MD"/>
              </w:rPr>
              <w:t>licenţă</w:t>
            </w:r>
            <w:proofErr w:type="spellEnd"/>
            <w:r w:rsidRPr="00367ECE">
              <w:rPr>
                <w:rFonts w:ascii="Times New Roman" w:hAnsi="Times New Roman"/>
                <w:sz w:val="24"/>
                <w:szCs w:val="24"/>
                <w:lang w:val="ro-MD"/>
              </w:rPr>
              <w:t xml:space="preserve"> si 42 programe la master. UTM având o infrastructură mult mai dezvoltată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digitalizată în ultimii  ani, această fuziune va permite să consolidăm pregătirea cadrelor pentru economia </w:t>
            </w:r>
            <w:proofErr w:type="spellStart"/>
            <w:r w:rsidRPr="00367ECE">
              <w:rPr>
                <w:rFonts w:ascii="Times New Roman" w:hAnsi="Times New Roman"/>
                <w:sz w:val="24"/>
                <w:szCs w:val="24"/>
                <w:lang w:val="ro-MD"/>
              </w:rPr>
              <w:t>naţională</w:t>
            </w:r>
            <w:proofErr w:type="spellEnd"/>
            <w:r w:rsidRPr="00367ECE">
              <w:rPr>
                <w:rFonts w:ascii="Times New Roman" w:hAnsi="Times New Roman"/>
                <w:sz w:val="24"/>
                <w:szCs w:val="24"/>
                <w:lang w:val="ro-MD"/>
              </w:rPr>
              <w:t xml:space="preserve"> în domeniile inginerie, arhitectură, tehnologii  de prelucrare, servicii publice, </w:t>
            </w:r>
            <w:proofErr w:type="spellStart"/>
            <w:r w:rsidRPr="00367ECE">
              <w:rPr>
                <w:rFonts w:ascii="Times New Roman" w:hAnsi="Times New Roman"/>
                <w:sz w:val="24"/>
                <w:szCs w:val="24"/>
                <w:lang w:val="ro-MD"/>
              </w:rPr>
              <w:t>ştiinţe</w:t>
            </w:r>
            <w:proofErr w:type="spellEnd"/>
            <w:r w:rsidRPr="00367ECE">
              <w:rPr>
                <w:rFonts w:ascii="Times New Roman" w:hAnsi="Times New Roman"/>
                <w:sz w:val="24"/>
                <w:szCs w:val="24"/>
                <w:lang w:val="ro-MD"/>
              </w:rPr>
              <w:t xml:space="preserve"> agricole etc. </w:t>
            </w:r>
          </w:p>
          <w:p w:rsidR="00B9044D" w:rsidRPr="00367ECE" w:rsidRDefault="00B9044D" w:rsidP="00B9044D">
            <w:pPr>
              <w:pStyle w:val="ListParagraph"/>
              <w:ind w:left="360"/>
              <w:jc w:val="both"/>
              <w:rPr>
                <w:rFonts w:ascii="Times New Roman" w:hAnsi="Times New Roman"/>
                <w:sz w:val="24"/>
                <w:szCs w:val="24"/>
                <w:lang w:val="ro-MD"/>
              </w:rPr>
            </w:pPr>
            <w:proofErr w:type="spellStart"/>
            <w:r w:rsidRPr="00367ECE">
              <w:rPr>
                <w:rFonts w:ascii="Times New Roman" w:hAnsi="Times New Roman"/>
                <w:sz w:val="24"/>
                <w:szCs w:val="24"/>
                <w:lang w:val="ro-MD"/>
              </w:rPr>
              <w:t>Menţionăm</w:t>
            </w:r>
            <w:proofErr w:type="spellEnd"/>
            <w:r w:rsidRPr="00367ECE">
              <w:rPr>
                <w:rFonts w:ascii="Times New Roman" w:hAnsi="Times New Roman"/>
                <w:sz w:val="24"/>
                <w:szCs w:val="24"/>
                <w:lang w:val="ro-MD"/>
              </w:rPr>
              <w:t xml:space="preserve"> că anual la UASM  sunt </w:t>
            </w:r>
            <w:proofErr w:type="spellStart"/>
            <w:r w:rsidRPr="00367ECE">
              <w:rPr>
                <w:rFonts w:ascii="Times New Roman" w:hAnsi="Times New Roman"/>
                <w:sz w:val="24"/>
                <w:szCs w:val="24"/>
                <w:lang w:val="ro-MD"/>
              </w:rPr>
              <w:t>încadraţi</w:t>
            </w:r>
            <w:proofErr w:type="spellEnd"/>
            <w:r w:rsidRPr="00367ECE">
              <w:rPr>
                <w:rFonts w:ascii="Times New Roman" w:hAnsi="Times New Roman"/>
                <w:sz w:val="24"/>
                <w:szCs w:val="24"/>
                <w:lang w:val="ro-MD"/>
              </w:rPr>
              <w:t xml:space="preserve"> mai </w:t>
            </w:r>
            <w:proofErr w:type="spellStart"/>
            <w:r w:rsidRPr="00367ECE">
              <w:rPr>
                <w:rFonts w:ascii="Times New Roman" w:hAnsi="Times New Roman"/>
                <w:sz w:val="24"/>
                <w:szCs w:val="24"/>
                <w:lang w:val="ro-MD"/>
              </w:rPr>
              <w:t>mulţi</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la economie</w:t>
            </w:r>
            <w:r w:rsidR="006552FB" w:rsidRPr="00367ECE">
              <w:rPr>
                <w:rFonts w:ascii="Times New Roman" w:hAnsi="Times New Roman"/>
                <w:sz w:val="24"/>
                <w:szCs w:val="24"/>
                <w:lang w:val="ro-MD"/>
              </w:rPr>
              <w:t xml:space="preserve"> și drept</w:t>
            </w:r>
            <w:r w:rsidRPr="00367ECE">
              <w:rPr>
                <w:rFonts w:ascii="Times New Roman" w:hAnsi="Times New Roman"/>
                <w:sz w:val="24"/>
                <w:szCs w:val="24"/>
                <w:lang w:val="ro-MD"/>
              </w:rPr>
              <w:t xml:space="preserve"> decât la </w:t>
            </w:r>
            <w:proofErr w:type="spellStart"/>
            <w:r w:rsidRPr="00367ECE">
              <w:rPr>
                <w:rFonts w:ascii="Times New Roman" w:hAnsi="Times New Roman"/>
                <w:sz w:val="24"/>
                <w:szCs w:val="24"/>
                <w:lang w:val="ro-MD"/>
              </w:rPr>
              <w:t>ştiinţe</w:t>
            </w:r>
            <w:proofErr w:type="spellEnd"/>
            <w:r w:rsidRPr="00367ECE">
              <w:rPr>
                <w:rFonts w:ascii="Times New Roman" w:hAnsi="Times New Roman"/>
                <w:sz w:val="24"/>
                <w:szCs w:val="24"/>
                <w:lang w:val="ro-MD"/>
              </w:rPr>
              <w:t xml:space="preserve"> agricole, inclusiv UASM înmatriculează circa 60% din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la </w:t>
            </w:r>
            <w:proofErr w:type="spellStart"/>
            <w:r w:rsidRPr="00367ECE">
              <w:rPr>
                <w:rFonts w:ascii="Times New Roman" w:hAnsi="Times New Roman"/>
                <w:sz w:val="24"/>
                <w:szCs w:val="24"/>
                <w:lang w:val="ro-MD"/>
              </w:rPr>
              <w:t>frecvenţă</w:t>
            </w:r>
            <w:proofErr w:type="spellEnd"/>
            <w:r w:rsidRPr="00367ECE">
              <w:rPr>
                <w:rFonts w:ascii="Times New Roman" w:hAnsi="Times New Roman"/>
                <w:sz w:val="24"/>
                <w:szCs w:val="24"/>
                <w:lang w:val="ro-MD"/>
              </w:rPr>
              <w:t xml:space="preserve"> redusă ceea ce afectează calitatea studiilor.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890"/>
              <w:gridCol w:w="3462"/>
            </w:tblGrid>
            <w:tr w:rsidR="00B9044D" w:rsidRPr="00367ECE" w:rsidTr="006F50E2">
              <w:trPr>
                <w:trHeight w:val="665"/>
              </w:trPr>
              <w:tc>
                <w:tcPr>
                  <w:tcW w:w="3203"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 xml:space="preserve">UTM </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sz w:val="20"/>
                      <w:szCs w:val="20"/>
                      <w:lang w:val="ro-MD"/>
                    </w:rPr>
                    <w:t>7298 studenți  licență, master</w:t>
                  </w:r>
                </w:p>
              </w:tc>
              <w:tc>
                <w:tcPr>
                  <w:tcW w:w="3260"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 xml:space="preserve">UASM </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sz w:val="20"/>
                      <w:szCs w:val="20"/>
                      <w:lang w:val="ro-MD"/>
                    </w:rPr>
                    <w:t>3524 studenți  licență, master</w:t>
                  </w:r>
                </w:p>
              </w:tc>
              <w:tc>
                <w:tcPr>
                  <w:tcW w:w="3827"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Institute de cercetare/număr de cercetători</w:t>
                  </w:r>
                </w:p>
              </w:tc>
            </w:tr>
            <w:tr w:rsidR="00B9044D" w:rsidRPr="00367ECE" w:rsidTr="006F50E2">
              <w:trPr>
                <w:trHeight w:val="2803"/>
              </w:trPr>
              <w:tc>
                <w:tcPr>
                  <w:tcW w:w="3203"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sz w:val="20"/>
                      <w:szCs w:val="20"/>
                      <w:lang w:val="ro-MD"/>
                    </w:rPr>
                  </w:pPr>
                  <w:r w:rsidRPr="00367ECE">
                    <w:rPr>
                      <w:rFonts w:ascii="Times New Roman" w:hAnsi="Times New Roman"/>
                      <w:color w:val="000000"/>
                      <w:sz w:val="20"/>
                      <w:szCs w:val="20"/>
                      <w:lang w:val="ro-MD"/>
                    </w:rPr>
                    <w:t>011</w:t>
                  </w:r>
                  <w:r w:rsidRPr="00367ECE">
                    <w:rPr>
                      <w:rFonts w:ascii="Times New Roman" w:hAnsi="Times New Roman"/>
                      <w:sz w:val="20"/>
                      <w:szCs w:val="20"/>
                      <w:lang w:val="ro-MD"/>
                    </w:rPr>
                    <w:t xml:space="preserve"> Arte</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 xml:space="preserve">041 </w:t>
                  </w:r>
                  <w:proofErr w:type="spellStart"/>
                  <w:r w:rsidRPr="00367ECE">
                    <w:rPr>
                      <w:rFonts w:ascii="Times New Roman" w:hAnsi="Times New Roman"/>
                      <w:b/>
                      <w:sz w:val="20"/>
                      <w:szCs w:val="20"/>
                      <w:lang w:val="ro-MD"/>
                    </w:rPr>
                    <w:t>Ştiinţe</w:t>
                  </w:r>
                  <w:proofErr w:type="spellEnd"/>
                  <w:r w:rsidRPr="00367ECE">
                    <w:rPr>
                      <w:rFonts w:ascii="Times New Roman" w:hAnsi="Times New Roman"/>
                      <w:b/>
                      <w:sz w:val="20"/>
                      <w:szCs w:val="20"/>
                      <w:lang w:val="ro-MD"/>
                    </w:rPr>
                    <w:t xml:space="preserve"> economice</w:t>
                  </w:r>
                </w:p>
                <w:p w:rsidR="00B9044D" w:rsidRPr="00367ECE" w:rsidRDefault="00B9044D" w:rsidP="00B9044D">
                  <w:pPr>
                    <w:keepNext/>
                    <w:keepLines/>
                    <w:spacing w:line="240" w:lineRule="auto"/>
                    <w:rPr>
                      <w:rFonts w:ascii="Times New Roman" w:hAnsi="Times New Roman"/>
                      <w:b/>
                      <w:iCs/>
                      <w:sz w:val="20"/>
                      <w:szCs w:val="20"/>
                      <w:lang w:val="ro-MD"/>
                    </w:rPr>
                  </w:pPr>
                  <w:r w:rsidRPr="00367ECE">
                    <w:rPr>
                      <w:rFonts w:ascii="Times New Roman" w:hAnsi="Times New Roman"/>
                      <w:b/>
                      <w:iCs/>
                      <w:sz w:val="20"/>
                      <w:szCs w:val="20"/>
                      <w:lang w:val="ro-MD"/>
                    </w:rPr>
                    <w:t>042 Drept</w:t>
                  </w:r>
                </w:p>
                <w:p w:rsidR="00B9044D" w:rsidRPr="00367ECE" w:rsidRDefault="00B9044D" w:rsidP="00B9044D">
                  <w:pPr>
                    <w:spacing w:line="240" w:lineRule="auto"/>
                    <w:rPr>
                      <w:rFonts w:ascii="Times New Roman" w:hAnsi="Times New Roman"/>
                      <w:sz w:val="20"/>
                      <w:szCs w:val="20"/>
                      <w:lang w:val="ro-MD"/>
                    </w:rPr>
                  </w:pPr>
                  <w:r w:rsidRPr="00367ECE">
                    <w:rPr>
                      <w:rFonts w:ascii="Times New Roman" w:hAnsi="Times New Roman"/>
                      <w:sz w:val="20"/>
                      <w:szCs w:val="20"/>
                      <w:lang w:val="ro-MD"/>
                    </w:rPr>
                    <w:t xml:space="preserve">061 Tehnologii ale </w:t>
                  </w:r>
                  <w:proofErr w:type="spellStart"/>
                  <w:r w:rsidRPr="00367ECE">
                    <w:rPr>
                      <w:rFonts w:ascii="Times New Roman" w:hAnsi="Times New Roman"/>
                      <w:sz w:val="20"/>
                      <w:szCs w:val="20"/>
                      <w:lang w:val="ro-MD"/>
                    </w:rPr>
                    <w:t>informaţiei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şi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comunicaţiilor</w:t>
                  </w:r>
                  <w:proofErr w:type="spellEnd"/>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 xml:space="preserve">071 Inginerie si </w:t>
                  </w:r>
                  <w:proofErr w:type="spellStart"/>
                  <w:r w:rsidRPr="00367ECE">
                    <w:rPr>
                      <w:rFonts w:ascii="Times New Roman" w:hAnsi="Times New Roman"/>
                      <w:b/>
                      <w:sz w:val="20"/>
                      <w:szCs w:val="20"/>
                      <w:lang w:val="ro-MD"/>
                    </w:rPr>
                    <w:t>acivităţi</w:t>
                  </w:r>
                  <w:proofErr w:type="spellEnd"/>
                  <w:r w:rsidRPr="00367ECE">
                    <w:rPr>
                      <w:rFonts w:ascii="Times New Roman" w:hAnsi="Times New Roman"/>
                      <w:b/>
                      <w:sz w:val="20"/>
                      <w:szCs w:val="20"/>
                      <w:lang w:val="ro-MD"/>
                    </w:rPr>
                    <w:t xml:space="preserve"> </w:t>
                  </w:r>
                  <w:proofErr w:type="spellStart"/>
                  <w:r w:rsidRPr="00367ECE">
                    <w:rPr>
                      <w:rFonts w:ascii="Times New Roman" w:hAnsi="Times New Roman"/>
                      <w:b/>
                      <w:sz w:val="20"/>
                      <w:szCs w:val="20"/>
                      <w:lang w:val="ro-MD"/>
                    </w:rPr>
                    <w:t>ingineresti</w:t>
                  </w:r>
                  <w:proofErr w:type="spellEnd"/>
                </w:p>
                <w:p w:rsidR="00B9044D" w:rsidRPr="00367ECE" w:rsidRDefault="00B9044D" w:rsidP="00B9044D">
                  <w:pPr>
                    <w:spacing w:line="240" w:lineRule="auto"/>
                    <w:rPr>
                      <w:rFonts w:ascii="Times New Roman" w:hAnsi="Times New Roman"/>
                      <w:b/>
                      <w:sz w:val="20"/>
                      <w:szCs w:val="20"/>
                      <w:lang w:val="ro-MD" w:eastAsia="ru-RU"/>
                    </w:rPr>
                  </w:pPr>
                  <w:r w:rsidRPr="00367ECE">
                    <w:rPr>
                      <w:rFonts w:ascii="Times New Roman" w:hAnsi="Times New Roman"/>
                      <w:b/>
                      <w:sz w:val="20"/>
                      <w:szCs w:val="20"/>
                      <w:lang w:val="ro-MD" w:eastAsia="ru-RU"/>
                    </w:rPr>
                    <w:t>072 Tehnologii de fabricare și prelucrare</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eastAsia="ru-RU"/>
                    </w:rPr>
                    <w:t>073 Arhitectură și construcții</w:t>
                  </w:r>
                </w:p>
                <w:p w:rsidR="00B9044D" w:rsidRPr="00367ECE" w:rsidRDefault="00B9044D" w:rsidP="00B9044D">
                  <w:pPr>
                    <w:spacing w:line="240" w:lineRule="auto"/>
                    <w:rPr>
                      <w:rFonts w:ascii="Times New Roman" w:hAnsi="Times New Roman"/>
                      <w:b/>
                      <w:bCs/>
                      <w:sz w:val="20"/>
                      <w:szCs w:val="20"/>
                      <w:lang w:val="ro-MD"/>
                    </w:rPr>
                  </w:pPr>
                  <w:r w:rsidRPr="00367ECE">
                    <w:rPr>
                      <w:rFonts w:ascii="Times New Roman" w:hAnsi="Times New Roman"/>
                      <w:b/>
                      <w:sz w:val="20"/>
                      <w:szCs w:val="20"/>
                      <w:lang w:val="ro-MD"/>
                    </w:rPr>
                    <w:t>101 Servicii publice</w:t>
                  </w:r>
                </w:p>
              </w:tc>
              <w:tc>
                <w:tcPr>
                  <w:tcW w:w="3260"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 xml:space="preserve">041 </w:t>
                  </w:r>
                  <w:proofErr w:type="spellStart"/>
                  <w:r w:rsidRPr="00367ECE">
                    <w:rPr>
                      <w:rFonts w:ascii="Times New Roman" w:hAnsi="Times New Roman"/>
                      <w:b/>
                      <w:sz w:val="20"/>
                      <w:szCs w:val="20"/>
                      <w:lang w:val="ro-MD"/>
                    </w:rPr>
                    <w:t>Ştiinţe</w:t>
                  </w:r>
                  <w:proofErr w:type="spellEnd"/>
                  <w:r w:rsidRPr="00367ECE">
                    <w:rPr>
                      <w:rFonts w:ascii="Times New Roman" w:hAnsi="Times New Roman"/>
                      <w:b/>
                      <w:sz w:val="20"/>
                      <w:szCs w:val="20"/>
                      <w:lang w:val="ro-MD"/>
                    </w:rPr>
                    <w:t xml:space="preserve"> economice</w:t>
                  </w:r>
                  <w:r w:rsidR="006239A6" w:rsidRPr="00367ECE">
                    <w:rPr>
                      <w:rFonts w:ascii="Times New Roman" w:hAnsi="Times New Roman"/>
                      <w:b/>
                      <w:sz w:val="20"/>
                      <w:szCs w:val="20"/>
                      <w:lang w:val="ro-MD"/>
                    </w:rPr>
                    <w:t xml:space="preserve"> (975)</w:t>
                  </w:r>
                </w:p>
                <w:p w:rsidR="00193A4E" w:rsidRPr="00367ECE" w:rsidRDefault="00193A4E" w:rsidP="00193A4E">
                  <w:pPr>
                    <w:keepNext/>
                    <w:keepLines/>
                    <w:spacing w:line="240" w:lineRule="auto"/>
                    <w:rPr>
                      <w:rFonts w:ascii="Times New Roman" w:hAnsi="Times New Roman"/>
                      <w:b/>
                      <w:iCs/>
                      <w:sz w:val="20"/>
                      <w:szCs w:val="20"/>
                      <w:lang w:val="ro-MD"/>
                    </w:rPr>
                  </w:pPr>
                  <w:r w:rsidRPr="00367ECE">
                    <w:rPr>
                      <w:rFonts w:ascii="Times New Roman" w:hAnsi="Times New Roman"/>
                      <w:b/>
                      <w:iCs/>
                      <w:sz w:val="20"/>
                      <w:szCs w:val="20"/>
                      <w:lang w:val="ro-MD"/>
                    </w:rPr>
                    <w:t>042 Drept</w:t>
                  </w:r>
                  <w:r w:rsidR="006239A6" w:rsidRPr="00367ECE">
                    <w:rPr>
                      <w:rFonts w:ascii="Times New Roman" w:hAnsi="Times New Roman"/>
                      <w:b/>
                      <w:iCs/>
                      <w:sz w:val="20"/>
                      <w:szCs w:val="20"/>
                      <w:lang w:val="ro-MD"/>
                    </w:rPr>
                    <w:t xml:space="preserve"> (309)</w:t>
                  </w:r>
                </w:p>
                <w:p w:rsidR="00B9044D" w:rsidRPr="00367ECE" w:rsidRDefault="00B9044D" w:rsidP="00193A4E">
                  <w:pPr>
                    <w:keepNext/>
                    <w:keepLines/>
                    <w:spacing w:line="240" w:lineRule="auto"/>
                    <w:rPr>
                      <w:rFonts w:ascii="Times New Roman" w:hAnsi="Times New Roman"/>
                      <w:bCs/>
                      <w:iCs/>
                      <w:sz w:val="20"/>
                      <w:szCs w:val="20"/>
                      <w:lang w:val="ro-MD"/>
                    </w:rPr>
                  </w:pPr>
                  <w:r w:rsidRPr="00367ECE">
                    <w:rPr>
                      <w:rFonts w:ascii="Times New Roman" w:hAnsi="Times New Roman"/>
                      <w:bCs/>
                      <w:iCs/>
                      <w:sz w:val="20"/>
                      <w:szCs w:val="20"/>
                      <w:lang w:val="ro-MD"/>
                    </w:rPr>
                    <w:t xml:space="preserve">052 </w:t>
                  </w:r>
                  <w:proofErr w:type="spellStart"/>
                  <w:r w:rsidRPr="00367ECE">
                    <w:rPr>
                      <w:rFonts w:ascii="Times New Roman" w:hAnsi="Times New Roman"/>
                      <w:bCs/>
                      <w:iCs/>
                      <w:sz w:val="20"/>
                      <w:szCs w:val="20"/>
                      <w:lang w:val="ro-MD"/>
                    </w:rPr>
                    <w:t>Ştiinţe</w:t>
                  </w:r>
                  <w:proofErr w:type="spellEnd"/>
                  <w:r w:rsidRPr="00367ECE">
                    <w:rPr>
                      <w:rFonts w:ascii="Times New Roman" w:hAnsi="Times New Roman"/>
                      <w:bCs/>
                      <w:iCs/>
                      <w:sz w:val="20"/>
                      <w:szCs w:val="20"/>
                      <w:lang w:val="ro-MD"/>
                    </w:rPr>
                    <w:t xml:space="preserve"> ale mediului</w:t>
                  </w:r>
                  <w:r w:rsidR="006239A6" w:rsidRPr="00367ECE">
                    <w:rPr>
                      <w:rFonts w:ascii="Times New Roman" w:hAnsi="Times New Roman"/>
                      <w:bCs/>
                      <w:iCs/>
                      <w:sz w:val="20"/>
                      <w:szCs w:val="20"/>
                      <w:lang w:val="ro-MD"/>
                    </w:rPr>
                    <w:t xml:space="preserve"> (133)</w:t>
                  </w:r>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
                      <w:bCs/>
                      <w:sz w:val="20"/>
                      <w:szCs w:val="20"/>
                      <w:lang w:val="ro-MD"/>
                    </w:rPr>
                    <w:t xml:space="preserve">071 Inginerie si </w:t>
                  </w:r>
                  <w:proofErr w:type="spellStart"/>
                  <w:r w:rsidRPr="00367ECE">
                    <w:rPr>
                      <w:rFonts w:ascii="Times New Roman" w:hAnsi="Times New Roman"/>
                      <w:b/>
                      <w:bCs/>
                      <w:sz w:val="20"/>
                      <w:szCs w:val="20"/>
                      <w:lang w:val="ro-MD"/>
                    </w:rPr>
                    <w:t>acivităţi</w:t>
                  </w:r>
                  <w:proofErr w:type="spellEnd"/>
                  <w:r w:rsidRPr="00367ECE">
                    <w:rPr>
                      <w:rFonts w:ascii="Times New Roman" w:hAnsi="Times New Roman"/>
                      <w:b/>
                      <w:bCs/>
                      <w:sz w:val="20"/>
                      <w:szCs w:val="20"/>
                      <w:lang w:val="ro-MD"/>
                    </w:rPr>
                    <w:t xml:space="preserve"> </w:t>
                  </w:r>
                  <w:proofErr w:type="spellStart"/>
                  <w:r w:rsidRPr="00367ECE">
                    <w:rPr>
                      <w:rFonts w:ascii="Times New Roman" w:hAnsi="Times New Roman"/>
                      <w:b/>
                      <w:bCs/>
                      <w:sz w:val="20"/>
                      <w:szCs w:val="20"/>
                      <w:lang w:val="ro-MD"/>
                    </w:rPr>
                    <w:t>ingineresti</w:t>
                  </w:r>
                  <w:proofErr w:type="spellEnd"/>
                  <w:r w:rsidR="006239A6" w:rsidRPr="00367ECE">
                    <w:rPr>
                      <w:rFonts w:ascii="Times New Roman" w:hAnsi="Times New Roman"/>
                      <w:b/>
                      <w:bCs/>
                      <w:sz w:val="20"/>
                      <w:szCs w:val="20"/>
                      <w:lang w:val="ro-MD"/>
                    </w:rPr>
                    <w:t xml:space="preserve"> </w:t>
                  </w:r>
                  <w:r w:rsidR="006239A6" w:rsidRPr="00367ECE">
                    <w:rPr>
                      <w:rFonts w:ascii="Times New Roman" w:hAnsi="Times New Roman"/>
                      <w:bCs/>
                      <w:sz w:val="20"/>
                      <w:szCs w:val="20"/>
                      <w:lang w:val="ro-MD"/>
                    </w:rPr>
                    <w:t>(702)</w:t>
                  </w:r>
                </w:p>
                <w:p w:rsidR="00B9044D" w:rsidRPr="00367ECE" w:rsidRDefault="00B9044D" w:rsidP="00B9044D">
                  <w:pPr>
                    <w:spacing w:line="240" w:lineRule="auto"/>
                    <w:rPr>
                      <w:rFonts w:ascii="Times New Roman" w:hAnsi="Times New Roman"/>
                      <w:bCs/>
                      <w:sz w:val="20"/>
                      <w:szCs w:val="20"/>
                      <w:lang w:val="ro-MD" w:eastAsia="ru-RU"/>
                    </w:rPr>
                  </w:pPr>
                  <w:r w:rsidRPr="00367ECE">
                    <w:rPr>
                      <w:rFonts w:ascii="Times New Roman" w:hAnsi="Times New Roman"/>
                      <w:b/>
                      <w:bCs/>
                      <w:sz w:val="20"/>
                      <w:szCs w:val="20"/>
                      <w:lang w:val="ro-MD" w:eastAsia="ru-RU"/>
                    </w:rPr>
                    <w:t>072 Tehnologii de fabricare și prelucrare</w:t>
                  </w:r>
                  <w:r w:rsidR="006239A6" w:rsidRPr="00367ECE">
                    <w:rPr>
                      <w:rFonts w:ascii="Times New Roman" w:hAnsi="Times New Roman"/>
                      <w:b/>
                      <w:bCs/>
                      <w:sz w:val="20"/>
                      <w:szCs w:val="20"/>
                      <w:lang w:val="ro-MD" w:eastAsia="ru-RU"/>
                    </w:rPr>
                    <w:t xml:space="preserve"> </w:t>
                  </w:r>
                  <w:r w:rsidR="006239A6" w:rsidRPr="00367ECE">
                    <w:rPr>
                      <w:rFonts w:ascii="Times New Roman" w:hAnsi="Times New Roman"/>
                      <w:bCs/>
                      <w:sz w:val="20"/>
                      <w:szCs w:val="20"/>
                      <w:lang w:val="ro-MD" w:eastAsia="ru-RU"/>
                    </w:rPr>
                    <w:t>(18)</w:t>
                  </w:r>
                </w:p>
                <w:p w:rsidR="00B9044D" w:rsidRPr="00367ECE" w:rsidRDefault="00B9044D" w:rsidP="00B9044D">
                  <w:pPr>
                    <w:spacing w:line="240" w:lineRule="auto"/>
                    <w:rPr>
                      <w:rFonts w:ascii="Times New Roman" w:hAnsi="Times New Roman"/>
                      <w:b/>
                      <w:bCs/>
                      <w:sz w:val="20"/>
                      <w:szCs w:val="20"/>
                      <w:lang w:val="ro-MD" w:eastAsia="ru-RU"/>
                    </w:rPr>
                  </w:pPr>
                  <w:r w:rsidRPr="00367ECE">
                    <w:rPr>
                      <w:rFonts w:ascii="Times New Roman" w:hAnsi="Times New Roman"/>
                      <w:b/>
                      <w:bCs/>
                      <w:sz w:val="20"/>
                      <w:szCs w:val="20"/>
                      <w:lang w:val="ro-MD" w:eastAsia="ru-RU"/>
                    </w:rPr>
                    <w:t>073 Arhitectură și construcții</w:t>
                  </w:r>
                  <w:r w:rsidR="006239A6" w:rsidRPr="00367ECE">
                    <w:rPr>
                      <w:rFonts w:ascii="Times New Roman" w:hAnsi="Times New Roman"/>
                      <w:b/>
                      <w:bCs/>
                      <w:sz w:val="20"/>
                      <w:szCs w:val="20"/>
                      <w:lang w:val="ro-MD" w:eastAsia="ru-RU"/>
                    </w:rPr>
                    <w:t xml:space="preserve"> (</w:t>
                  </w:r>
                  <w:r w:rsidR="006239A6" w:rsidRPr="00367ECE">
                    <w:rPr>
                      <w:rFonts w:ascii="Times New Roman" w:hAnsi="Times New Roman"/>
                      <w:bCs/>
                      <w:sz w:val="20"/>
                      <w:szCs w:val="20"/>
                      <w:lang w:val="ro-MD" w:eastAsia="ru-RU"/>
                    </w:rPr>
                    <w:t>237)</w:t>
                  </w:r>
                </w:p>
                <w:p w:rsidR="00B9044D" w:rsidRPr="00367ECE" w:rsidRDefault="00B9044D" w:rsidP="00B9044D">
                  <w:pPr>
                    <w:spacing w:line="240" w:lineRule="auto"/>
                    <w:rPr>
                      <w:rFonts w:ascii="Times New Roman" w:hAnsi="Times New Roman"/>
                      <w:bCs/>
                      <w:sz w:val="20"/>
                      <w:szCs w:val="20"/>
                      <w:lang w:val="ro-MD" w:eastAsia="ru-RU"/>
                    </w:rPr>
                  </w:pPr>
                  <w:r w:rsidRPr="00367ECE">
                    <w:rPr>
                      <w:rFonts w:ascii="Times New Roman" w:hAnsi="Times New Roman"/>
                      <w:bCs/>
                      <w:sz w:val="20"/>
                      <w:szCs w:val="20"/>
                      <w:lang w:val="ro-MD" w:eastAsia="ru-RU"/>
                    </w:rPr>
                    <w:t xml:space="preserve">081 </w:t>
                  </w:r>
                  <w:proofErr w:type="spellStart"/>
                  <w:r w:rsidRPr="00367ECE">
                    <w:rPr>
                      <w:rFonts w:ascii="Times New Roman" w:hAnsi="Times New Roman"/>
                      <w:bCs/>
                      <w:sz w:val="20"/>
                      <w:szCs w:val="20"/>
                      <w:lang w:val="ro-MD" w:eastAsia="ru-RU"/>
                    </w:rPr>
                    <w:t>Ştiinţe</w:t>
                  </w:r>
                  <w:proofErr w:type="spellEnd"/>
                  <w:r w:rsidRPr="00367ECE">
                    <w:rPr>
                      <w:rFonts w:ascii="Times New Roman" w:hAnsi="Times New Roman"/>
                      <w:bCs/>
                      <w:sz w:val="20"/>
                      <w:szCs w:val="20"/>
                      <w:lang w:val="ro-MD" w:eastAsia="ru-RU"/>
                    </w:rPr>
                    <w:t xml:space="preserve"> Agricole</w:t>
                  </w:r>
                  <w:r w:rsidR="006239A6" w:rsidRPr="00367ECE">
                    <w:rPr>
                      <w:rFonts w:ascii="Times New Roman" w:hAnsi="Times New Roman"/>
                      <w:bCs/>
                      <w:sz w:val="20"/>
                      <w:szCs w:val="20"/>
                      <w:lang w:val="ro-MD" w:eastAsia="ru-RU"/>
                    </w:rPr>
                    <w:t xml:space="preserve"> (672)</w:t>
                  </w:r>
                </w:p>
                <w:p w:rsidR="00B9044D" w:rsidRPr="00367ECE" w:rsidRDefault="00B9044D" w:rsidP="00B9044D">
                  <w:pPr>
                    <w:spacing w:line="240" w:lineRule="auto"/>
                    <w:rPr>
                      <w:rFonts w:ascii="Times New Roman" w:hAnsi="Times New Roman"/>
                      <w:bCs/>
                      <w:sz w:val="20"/>
                      <w:szCs w:val="20"/>
                      <w:lang w:val="ro-MD" w:eastAsia="ru-RU"/>
                    </w:rPr>
                  </w:pPr>
                  <w:r w:rsidRPr="00367ECE">
                    <w:rPr>
                      <w:rFonts w:ascii="Times New Roman" w:hAnsi="Times New Roman"/>
                      <w:bCs/>
                      <w:sz w:val="20"/>
                      <w:szCs w:val="20"/>
                      <w:lang w:val="ro-MD" w:eastAsia="ru-RU"/>
                    </w:rPr>
                    <w:t>082 Silvicultură</w:t>
                  </w:r>
                  <w:r w:rsidR="006239A6" w:rsidRPr="00367ECE">
                    <w:rPr>
                      <w:rFonts w:ascii="Times New Roman" w:hAnsi="Times New Roman"/>
                      <w:bCs/>
                      <w:sz w:val="20"/>
                      <w:szCs w:val="20"/>
                      <w:lang w:val="ro-MD" w:eastAsia="ru-RU"/>
                    </w:rPr>
                    <w:t xml:space="preserve"> (128)</w:t>
                  </w:r>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Cs/>
                      <w:sz w:val="20"/>
                      <w:szCs w:val="20"/>
                      <w:lang w:val="ro-MD"/>
                    </w:rPr>
                    <w:t>084 Medicină veterinară</w:t>
                  </w:r>
                  <w:r w:rsidR="006239A6" w:rsidRPr="00367ECE">
                    <w:rPr>
                      <w:rFonts w:ascii="Times New Roman" w:hAnsi="Times New Roman"/>
                      <w:bCs/>
                      <w:sz w:val="20"/>
                      <w:szCs w:val="20"/>
                      <w:lang w:val="ro-MD"/>
                    </w:rPr>
                    <w:t xml:space="preserve"> (289)</w:t>
                  </w:r>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
                      <w:bCs/>
                      <w:sz w:val="20"/>
                      <w:szCs w:val="20"/>
                      <w:lang w:val="ro-MD"/>
                    </w:rPr>
                    <w:t>101 Servicii publice</w:t>
                  </w:r>
                  <w:r w:rsidR="006239A6" w:rsidRPr="00367ECE">
                    <w:rPr>
                      <w:rFonts w:ascii="Times New Roman" w:hAnsi="Times New Roman"/>
                      <w:b/>
                      <w:bCs/>
                      <w:sz w:val="20"/>
                      <w:szCs w:val="20"/>
                      <w:lang w:val="ro-MD"/>
                    </w:rPr>
                    <w:t xml:space="preserve"> </w:t>
                  </w:r>
                  <w:r w:rsidR="006239A6" w:rsidRPr="00367ECE">
                    <w:rPr>
                      <w:rFonts w:ascii="Times New Roman" w:hAnsi="Times New Roman"/>
                      <w:bCs/>
                      <w:sz w:val="20"/>
                      <w:szCs w:val="20"/>
                      <w:lang w:val="ro-MD"/>
                    </w:rPr>
                    <w:t>(61)</w:t>
                  </w:r>
                </w:p>
              </w:tc>
              <w:tc>
                <w:tcPr>
                  <w:tcW w:w="3827"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pStyle w:val="ListParagraph"/>
                    <w:numPr>
                      <w:ilvl w:val="0"/>
                      <w:numId w:val="4"/>
                    </w:numPr>
                    <w:spacing w:after="160" w:line="240" w:lineRule="auto"/>
                    <w:rPr>
                      <w:rFonts w:ascii="Times New Roman" w:hAnsi="Times New Roman"/>
                      <w:sz w:val="20"/>
                      <w:szCs w:val="20"/>
                      <w:lang w:val="ro-MD"/>
                    </w:rPr>
                  </w:pPr>
                  <w:r w:rsidRPr="00367ECE">
                    <w:rPr>
                      <w:rFonts w:ascii="Times New Roman" w:hAnsi="Times New Roman"/>
                      <w:sz w:val="20"/>
                      <w:szCs w:val="20"/>
                      <w:lang w:val="ro-MD"/>
                    </w:rPr>
                    <w:t>Institutul de Inginerie Electronică și Nanotehnologii ”</w:t>
                  </w:r>
                  <w:proofErr w:type="spellStart"/>
                  <w:r w:rsidRPr="00367ECE">
                    <w:rPr>
                      <w:rFonts w:ascii="Times New Roman" w:hAnsi="Times New Roman"/>
                      <w:sz w:val="20"/>
                      <w:szCs w:val="20"/>
                      <w:lang w:val="ro-MD"/>
                    </w:rPr>
                    <w:t>D.Ghițu</w:t>
                  </w:r>
                  <w:proofErr w:type="spellEnd"/>
                  <w:r w:rsidRPr="00367ECE">
                    <w:rPr>
                      <w:rFonts w:ascii="Times New Roman" w:hAnsi="Times New Roman"/>
                      <w:sz w:val="20"/>
                      <w:szCs w:val="20"/>
                      <w:lang w:val="ro-MD"/>
                    </w:rPr>
                    <w:t>” (cercetători -43)</w:t>
                  </w:r>
                </w:p>
                <w:p w:rsidR="00B9044D" w:rsidRPr="00367ECE" w:rsidRDefault="00B9044D" w:rsidP="00B9044D">
                  <w:pPr>
                    <w:pStyle w:val="ListParagraph"/>
                    <w:numPr>
                      <w:ilvl w:val="0"/>
                      <w:numId w:val="4"/>
                    </w:numPr>
                    <w:spacing w:after="160" w:line="240" w:lineRule="auto"/>
                    <w:rPr>
                      <w:rFonts w:ascii="Times New Roman" w:hAnsi="Times New Roman"/>
                      <w:sz w:val="20"/>
                      <w:szCs w:val="20"/>
                      <w:lang w:val="ro-MD"/>
                    </w:rPr>
                  </w:pPr>
                  <w:r w:rsidRPr="00367ECE">
                    <w:rPr>
                      <w:rFonts w:ascii="Times New Roman" w:hAnsi="Times New Roman"/>
                      <w:sz w:val="20"/>
                      <w:szCs w:val="20"/>
                      <w:lang w:val="ro-MD"/>
                    </w:rPr>
                    <w:t>Institutul de Energetică (cercetători -32)</w:t>
                  </w:r>
                </w:p>
                <w:p w:rsidR="00B9044D" w:rsidRPr="00367ECE" w:rsidRDefault="00B9044D" w:rsidP="00B9044D">
                  <w:pPr>
                    <w:pStyle w:val="ListParagraph"/>
                    <w:numPr>
                      <w:ilvl w:val="0"/>
                      <w:numId w:val="4"/>
                    </w:numPr>
                    <w:spacing w:after="160" w:line="240" w:lineRule="auto"/>
                    <w:rPr>
                      <w:rFonts w:ascii="Times New Roman" w:hAnsi="Times New Roman"/>
                      <w:sz w:val="20"/>
                      <w:szCs w:val="20"/>
                      <w:lang w:val="ro-MD"/>
                    </w:rPr>
                  </w:pPr>
                  <w:r w:rsidRPr="00367ECE">
                    <w:rPr>
                      <w:rFonts w:ascii="Times New Roman" w:hAnsi="Times New Roman"/>
                      <w:sz w:val="20"/>
                      <w:szCs w:val="20"/>
                      <w:lang w:val="ro-MD"/>
                    </w:rPr>
                    <w:t>Institutul de Microbiologie și Biotehnologie (cercetători -46)</w:t>
                  </w:r>
                </w:p>
                <w:p w:rsidR="00B9044D" w:rsidRPr="00367ECE" w:rsidRDefault="00B9044D" w:rsidP="00B9044D">
                  <w:pPr>
                    <w:pStyle w:val="ListParagraph"/>
                    <w:spacing w:line="240" w:lineRule="auto"/>
                    <w:ind w:left="360"/>
                    <w:rPr>
                      <w:rFonts w:ascii="Times New Roman" w:hAnsi="Times New Roman"/>
                      <w:bCs/>
                      <w:sz w:val="20"/>
                      <w:szCs w:val="20"/>
                      <w:lang w:val="ro-MD"/>
                    </w:rPr>
                  </w:pPr>
                </w:p>
              </w:tc>
            </w:tr>
          </w:tbl>
          <w:p w:rsidR="00B9044D" w:rsidRPr="00367ECE" w:rsidRDefault="00B9044D" w:rsidP="00B9044D">
            <w:pPr>
              <w:pStyle w:val="ListParagraph"/>
              <w:ind w:left="360"/>
              <w:jc w:val="both"/>
              <w:rPr>
                <w:rFonts w:ascii="Times New Roman" w:hAnsi="Times New Roman"/>
                <w:sz w:val="24"/>
                <w:szCs w:val="24"/>
                <w:lang w:val="ro-MD"/>
              </w:rPr>
            </w:pPr>
          </w:p>
          <w:p w:rsidR="00B9044D" w:rsidRPr="00367ECE" w:rsidRDefault="006552FB" w:rsidP="00AF6A75">
            <w:pPr>
              <w:pStyle w:val="ListParagraph"/>
              <w:numPr>
                <w:ilvl w:val="0"/>
                <w:numId w:val="12"/>
              </w:numPr>
              <w:spacing w:after="160"/>
              <w:jc w:val="both"/>
              <w:rPr>
                <w:rFonts w:ascii="Times New Roman" w:hAnsi="Times New Roman"/>
                <w:b/>
                <w:bCs/>
                <w:sz w:val="24"/>
                <w:szCs w:val="24"/>
                <w:lang w:val="ro-MD"/>
              </w:rPr>
            </w:pPr>
            <w:r w:rsidRPr="00367ECE">
              <w:rPr>
                <w:rFonts w:ascii="Times New Roman" w:hAnsi="Times New Roman"/>
                <w:b/>
                <w:bCs/>
                <w:sz w:val="24"/>
                <w:szCs w:val="24"/>
                <w:lang w:val="ro-MD"/>
              </w:rPr>
              <w:t xml:space="preserve">Fuziunea </w:t>
            </w:r>
            <w:r w:rsidR="00B9044D" w:rsidRPr="00367ECE">
              <w:rPr>
                <w:rFonts w:ascii="Times New Roman" w:hAnsi="Times New Roman"/>
                <w:b/>
                <w:bCs/>
                <w:sz w:val="24"/>
                <w:szCs w:val="24"/>
                <w:lang w:val="ro-MD"/>
              </w:rPr>
              <w:t>Universității Pedagogice de Stat  ”</w:t>
            </w:r>
            <w:proofErr w:type="spellStart"/>
            <w:r w:rsidR="00B9044D" w:rsidRPr="00367ECE">
              <w:rPr>
                <w:rFonts w:ascii="Times New Roman" w:hAnsi="Times New Roman"/>
                <w:b/>
                <w:bCs/>
                <w:sz w:val="24"/>
                <w:szCs w:val="24"/>
                <w:lang w:val="ro-MD"/>
              </w:rPr>
              <w:t>I.Creangă</w:t>
            </w:r>
            <w:proofErr w:type="spellEnd"/>
            <w:r w:rsidR="00B9044D" w:rsidRPr="00367ECE">
              <w:rPr>
                <w:rFonts w:ascii="Times New Roman" w:hAnsi="Times New Roman"/>
                <w:b/>
                <w:bCs/>
                <w:sz w:val="24"/>
                <w:szCs w:val="24"/>
                <w:lang w:val="ro-MD"/>
              </w:rPr>
              <w:t xml:space="preserve">” din  Chișinău cu Universitatea de Stat din Tiraspol (UST) și Universitatea din Taraclia, prin absorbție, transformând-o într-o Universitate pedagogică clasică (care include toate </w:t>
            </w:r>
            <w:proofErr w:type="spellStart"/>
            <w:r w:rsidR="00B9044D" w:rsidRPr="00367ECE">
              <w:rPr>
                <w:rFonts w:ascii="Times New Roman" w:hAnsi="Times New Roman"/>
                <w:b/>
                <w:bCs/>
                <w:sz w:val="24"/>
                <w:szCs w:val="24"/>
                <w:lang w:val="ro-MD"/>
              </w:rPr>
              <w:t>specialităţile</w:t>
            </w:r>
            <w:proofErr w:type="spellEnd"/>
            <w:r w:rsidR="00B9044D" w:rsidRPr="00367ECE">
              <w:rPr>
                <w:rFonts w:ascii="Times New Roman" w:hAnsi="Times New Roman"/>
                <w:b/>
                <w:bCs/>
                <w:sz w:val="24"/>
                <w:szCs w:val="24"/>
                <w:lang w:val="ro-MD"/>
              </w:rPr>
              <w:t xml:space="preserve"> pedagogice), fuzi</w:t>
            </w:r>
            <w:r w:rsidRPr="00367ECE">
              <w:rPr>
                <w:rFonts w:ascii="Times New Roman" w:hAnsi="Times New Roman"/>
                <w:b/>
                <w:bCs/>
                <w:sz w:val="24"/>
                <w:szCs w:val="24"/>
                <w:lang w:val="ro-MD"/>
              </w:rPr>
              <w:t>unea</w:t>
            </w:r>
            <w:r w:rsidR="00B9044D" w:rsidRPr="00367ECE">
              <w:rPr>
                <w:rFonts w:ascii="Times New Roman" w:hAnsi="Times New Roman"/>
                <w:b/>
                <w:bCs/>
                <w:sz w:val="24"/>
                <w:szCs w:val="24"/>
                <w:lang w:val="ro-MD"/>
              </w:rPr>
              <w:t xml:space="preserve"> cu Institutul de Științe ale Educației și cu Institutul de Formare Continuă, prin absorbție</w:t>
            </w:r>
            <w:r w:rsidRPr="00367ECE">
              <w:rPr>
                <w:rFonts w:ascii="Times New Roman" w:hAnsi="Times New Roman"/>
                <w:b/>
                <w:bCs/>
                <w:sz w:val="24"/>
                <w:szCs w:val="24"/>
                <w:lang w:val="ro-MD"/>
              </w:rPr>
              <w:t>.</w:t>
            </w:r>
          </w:p>
          <w:p w:rsidR="00B9044D" w:rsidRPr="00367ECE" w:rsidRDefault="00B9044D" w:rsidP="00B9044D">
            <w:pPr>
              <w:pStyle w:val="ListParagraph"/>
              <w:ind w:left="0" w:firstLine="360"/>
              <w:jc w:val="both"/>
              <w:rPr>
                <w:rFonts w:ascii="Times New Roman" w:hAnsi="Times New Roman"/>
                <w:sz w:val="24"/>
                <w:szCs w:val="24"/>
                <w:lang w:val="ro-MD"/>
              </w:rPr>
            </w:pPr>
            <w:r w:rsidRPr="00367ECE">
              <w:rPr>
                <w:rFonts w:ascii="Times New Roman" w:hAnsi="Times New Roman"/>
                <w:sz w:val="24"/>
                <w:szCs w:val="24"/>
                <w:lang w:val="ro-MD"/>
              </w:rPr>
              <w:t xml:space="preserve">Institutul de </w:t>
            </w:r>
            <w:proofErr w:type="spellStart"/>
            <w:r w:rsidRPr="00367ECE">
              <w:rPr>
                <w:rFonts w:ascii="Times New Roman" w:hAnsi="Times New Roman"/>
                <w:sz w:val="24"/>
                <w:szCs w:val="24"/>
                <w:lang w:val="ro-MD"/>
              </w:rPr>
              <w:t>Ştiinţe</w:t>
            </w:r>
            <w:proofErr w:type="spellEnd"/>
            <w:r w:rsidRPr="00367ECE">
              <w:rPr>
                <w:rFonts w:ascii="Times New Roman" w:hAnsi="Times New Roman"/>
                <w:sz w:val="24"/>
                <w:szCs w:val="24"/>
                <w:lang w:val="ro-MD"/>
              </w:rPr>
              <w:t xml:space="preserve"> ale </w:t>
            </w:r>
            <w:proofErr w:type="spellStart"/>
            <w:r w:rsidRPr="00367ECE">
              <w:rPr>
                <w:rFonts w:ascii="Times New Roman" w:hAnsi="Times New Roman"/>
                <w:sz w:val="24"/>
                <w:szCs w:val="24"/>
                <w:lang w:val="ro-MD"/>
              </w:rPr>
              <w:t>Educaţiei</w:t>
            </w:r>
            <w:proofErr w:type="spellEnd"/>
            <w:r w:rsidRPr="00367ECE">
              <w:rPr>
                <w:rFonts w:ascii="Times New Roman" w:hAnsi="Times New Roman"/>
                <w:sz w:val="24"/>
                <w:szCs w:val="24"/>
                <w:lang w:val="ro-MD"/>
              </w:rPr>
              <w:t xml:space="preserve">  (IŞE) este în </w:t>
            </w:r>
            <w:proofErr w:type="spellStart"/>
            <w:r w:rsidRPr="00367ECE">
              <w:rPr>
                <w:rFonts w:ascii="Times New Roman" w:hAnsi="Times New Roman"/>
                <w:sz w:val="24"/>
                <w:szCs w:val="24"/>
                <w:lang w:val="ro-MD"/>
              </w:rPr>
              <w:t>consorţium</w:t>
            </w:r>
            <w:proofErr w:type="spellEnd"/>
            <w:r w:rsidRPr="00367ECE">
              <w:rPr>
                <w:rFonts w:ascii="Times New Roman" w:hAnsi="Times New Roman"/>
                <w:sz w:val="24"/>
                <w:szCs w:val="24"/>
                <w:lang w:val="ro-MD"/>
              </w:rPr>
              <w:t xml:space="preserve"> cu US Tiraspol și se preocupă </w:t>
            </w:r>
            <w:r w:rsidR="006552FB" w:rsidRPr="00367ECE">
              <w:rPr>
                <w:rFonts w:ascii="Times New Roman" w:hAnsi="Times New Roman"/>
                <w:sz w:val="24"/>
                <w:szCs w:val="24"/>
                <w:lang w:val="ro-MD"/>
              </w:rPr>
              <w:t>de</w:t>
            </w:r>
            <w:r w:rsidRPr="00367ECE">
              <w:rPr>
                <w:rFonts w:ascii="Times New Roman" w:hAnsi="Times New Roman"/>
                <w:sz w:val="24"/>
                <w:szCs w:val="24"/>
                <w:lang w:val="ro-MD"/>
              </w:rPr>
              <w:t xml:space="preserve"> formarea continuă a cadrelor didactice.</w:t>
            </w:r>
          </w:p>
          <w:p w:rsidR="00B9044D" w:rsidRPr="00367ECE" w:rsidRDefault="00B9044D" w:rsidP="00B9044D">
            <w:pPr>
              <w:pStyle w:val="ListParagraph"/>
              <w:ind w:left="0" w:firstLine="360"/>
              <w:jc w:val="both"/>
              <w:rPr>
                <w:rFonts w:ascii="Times New Roman" w:hAnsi="Times New Roman"/>
                <w:sz w:val="24"/>
                <w:szCs w:val="24"/>
                <w:lang w:val="ro-MD"/>
              </w:rPr>
            </w:pPr>
            <w:r w:rsidRPr="00367ECE">
              <w:rPr>
                <w:rFonts w:ascii="Times New Roman" w:hAnsi="Times New Roman"/>
                <w:sz w:val="24"/>
                <w:szCs w:val="24"/>
                <w:lang w:val="ro-MD"/>
              </w:rPr>
              <w:t xml:space="preserve">În tabelul de mai jos drept argumente servesc tipurile de programe de studii din </w:t>
            </w:r>
            <w:proofErr w:type="spellStart"/>
            <w:r w:rsidRPr="00367ECE">
              <w:rPr>
                <w:rFonts w:ascii="Times New Roman" w:hAnsi="Times New Roman"/>
                <w:sz w:val="24"/>
                <w:szCs w:val="24"/>
                <w:lang w:val="ro-MD"/>
              </w:rPr>
              <w:t>aceleaşi</w:t>
            </w:r>
            <w:proofErr w:type="spellEnd"/>
            <w:r w:rsidRPr="00367ECE">
              <w:rPr>
                <w:rFonts w:ascii="Times New Roman" w:hAnsi="Times New Roman"/>
                <w:sz w:val="24"/>
                <w:szCs w:val="24"/>
                <w:lang w:val="ro-MD"/>
              </w:rPr>
              <w:t xml:space="preserve"> domenii de formare profesională, numărul mai mic de </w:t>
            </w:r>
            <w:proofErr w:type="spellStart"/>
            <w:r w:rsidRPr="00367ECE">
              <w:rPr>
                <w:rFonts w:ascii="Times New Roman" w:hAnsi="Times New Roman"/>
                <w:sz w:val="24"/>
                <w:szCs w:val="24"/>
                <w:lang w:val="ro-MD"/>
              </w:rPr>
              <w:t>studenţi</w:t>
            </w:r>
            <w:proofErr w:type="spellEnd"/>
            <w:r w:rsidRPr="00367ECE">
              <w:rPr>
                <w:rFonts w:ascii="Times New Roman" w:hAnsi="Times New Roman"/>
                <w:sz w:val="24"/>
                <w:szCs w:val="24"/>
                <w:lang w:val="ro-MD"/>
              </w:rPr>
              <w:t xml:space="preserve"> ale </w:t>
            </w:r>
            <w:proofErr w:type="spellStart"/>
            <w:r w:rsidRPr="00367ECE">
              <w:rPr>
                <w:rFonts w:ascii="Times New Roman" w:hAnsi="Times New Roman"/>
                <w:sz w:val="24"/>
                <w:szCs w:val="24"/>
                <w:lang w:val="ro-MD"/>
              </w:rPr>
              <w:t>universităţilor</w:t>
            </w:r>
            <w:proofErr w:type="spellEnd"/>
            <w:r w:rsidRPr="00367ECE">
              <w:rPr>
                <w:rFonts w:ascii="Times New Roman" w:hAnsi="Times New Roman"/>
                <w:sz w:val="24"/>
                <w:szCs w:val="24"/>
                <w:lang w:val="ro-MD"/>
              </w:rPr>
              <w:t xml:space="preserve"> absorbite/</w:t>
            </w:r>
            <w:r w:rsidR="006552FB" w:rsidRPr="00367ECE">
              <w:rPr>
                <w:rFonts w:ascii="Times New Roman" w:hAnsi="Times New Roman"/>
                <w:sz w:val="24"/>
                <w:szCs w:val="24"/>
                <w:lang w:val="ro-MD"/>
              </w:rPr>
              <w:t>integrate</w:t>
            </w:r>
            <w:r w:rsidRPr="00367ECE">
              <w:rPr>
                <w:rFonts w:ascii="Times New Roman" w:hAnsi="Times New Roman"/>
                <w:sz w:val="24"/>
                <w:szCs w:val="24"/>
                <w:lang w:val="ro-MD"/>
              </w:rPr>
              <w:t>. Această fuzi</w:t>
            </w:r>
            <w:r w:rsidR="006552FB" w:rsidRPr="00367ECE">
              <w:rPr>
                <w:rFonts w:ascii="Times New Roman" w:hAnsi="Times New Roman"/>
                <w:sz w:val="24"/>
                <w:szCs w:val="24"/>
                <w:lang w:val="ro-MD"/>
              </w:rPr>
              <w:t>une</w:t>
            </w:r>
            <w:r w:rsidRPr="00367ECE">
              <w:rPr>
                <w:rFonts w:ascii="Times New Roman" w:hAnsi="Times New Roman"/>
                <w:sz w:val="24"/>
                <w:szCs w:val="24"/>
                <w:lang w:val="ro-MD"/>
              </w:rPr>
              <w:t xml:space="preserve"> va conduce la consolidarea procesului de pregătire a profesorilor, iar integrarea IŞE va consolida </w:t>
            </w:r>
            <w:r w:rsidR="006552FB" w:rsidRPr="00367ECE">
              <w:rPr>
                <w:rFonts w:ascii="Times New Roman" w:hAnsi="Times New Roman"/>
                <w:sz w:val="24"/>
                <w:szCs w:val="24"/>
                <w:lang w:val="ro-MD"/>
              </w:rPr>
              <w:t>ș</w:t>
            </w:r>
            <w:r w:rsidRPr="00367ECE">
              <w:rPr>
                <w:rFonts w:ascii="Times New Roman" w:hAnsi="Times New Roman"/>
                <w:sz w:val="24"/>
                <w:szCs w:val="24"/>
                <w:lang w:val="ro-MD"/>
              </w:rPr>
              <w:t>i procesul de pregătire continuă a profesorilor</w:t>
            </w:r>
            <w:r w:rsidR="005D63F8" w:rsidRPr="00367ECE">
              <w:rPr>
                <w:rFonts w:ascii="Times New Roman" w:hAnsi="Times New Roman"/>
                <w:sz w:val="24"/>
                <w:szCs w:val="24"/>
                <w:lang w:val="ro-MD"/>
              </w:rPr>
              <w:t>.</w:t>
            </w:r>
            <w:r w:rsidRPr="00367ECE">
              <w:rPr>
                <w:rFonts w:ascii="Times New Roman" w:hAnsi="Times New Roman"/>
                <w:sz w:val="24"/>
                <w:szCs w:val="24"/>
                <w:lang w:val="ro-MD"/>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126"/>
              <w:gridCol w:w="1843"/>
              <w:gridCol w:w="2313"/>
            </w:tblGrid>
            <w:tr w:rsidR="00B9044D" w:rsidRPr="00367ECE" w:rsidTr="006F50E2">
              <w:trPr>
                <w:trHeight w:val="665"/>
              </w:trPr>
              <w:tc>
                <w:tcPr>
                  <w:tcW w:w="2360"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US “</w:t>
                  </w:r>
                  <w:proofErr w:type="spellStart"/>
                  <w:r w:rsidRPr="00367ECE">
                    <w:rPr>
                      <w:rFonts w:ascii="Times New Roman" w:hAnsi="Times New Roman"/>
                      <w:b/>
                      <w:sz w:val="20"/>
                      <w:szCs w:val="20"/>
                      <w:lang w:val="ro-MD"/>
                    </w:rPr>
                    <w:t>I.Creangă</w:t>
                  </w:r>
                  <w:proofErr w:type="spellEnd"/>
                  <w:r w:rsidRPr="00367ECE">
                    <w:rPr>
                      <w:rFonts w:ascii="Times New Roman" w:hAnsi="Times New Roman"/>
                      <w:b/>
                      <w:sz w:val="20"/>
                      <w:szCs w:val="20"/>
                      <w:lang w:val="ro-MD"/>
                    </w:rPr>
                    <w:t>”</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sz w:val="20"/>
                      <w:szCs w:val="20"/>
                      <w:lang w:val="ro-MD"/>
                    </w:rPr>
                    <w:t>3472 studenți  licență, master</w:t>
                  </w:r>
                </w:p>
              </w:tc>
              <w:tc>
                <w:tcPr>
                  <w:tcW w:w="2126"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US Tiraspol</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sz w:val="20"/>
                      <w:szCs w:val="20"/>
                      <w:lang w:val="ro-MD"/>
                    </w:rPr>
                    <w:t>2457 studenți  licență, master</w:t>
                  </w:r>
                </w:p>
              </w:tc>
              <w:tc>
                <w:tcPr>
                  <w:tcW w:w="1843"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US Taraclia</w:t>
                  </w:r>
                </w:p>
                <w:p w:rsidR="00B9044D" w:rsidRPr="00367ECE" w:rsidRDefault="00B9044D" w:rsidP="00B9044D">
                  <w:pPr>
                    <w:spacing w:line="240" w:lineRule="auto"/>
                    <w:rPr>
                      <w:rFonts w:ascii="Times New Roman" w:hAnsi="Times New Roman"/>
                      <w:sz w:val="20"/>
                      <w:szCs w:val="20"/>
                      <w:lang w:val="ro-MD"/>
                    </w:rPr>
                  </w:pPr>
                  <w:r w:rsidRPr="00367ECE">
                    <w:rPr>
                      <w:rFonts w:ascii="Times New Roman" w:hAnsi="Times New Roman"/>
                      <w:sz w:val="20"/>
                      <w:szCs w:val="20"/>
                      <w:lang w:val="ro-MD"/>
                    </w:rPr>
                    <w:t>171 studenți licență</w:t>
                  </w:r>
                </w:p>
              </w:tc>
              <w:tc>
                <w:tcPr>
                  <w:tcW w:w="2313"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Institutul de Științe ale Educației</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Institutul de formare continuă</w:t>
                  </w:r>
                </w:p>
              </w:tc>
            </w:tr>
            <w:tr w:rsidR="00B9044D" w:rsidRPr="00367ECE" w:rsidTr="006F50E2">
              <w:trPr>
                <w:trHeight w:val="557"/>
              </w:trPr>
              <w:tc>
                <w:tcPr>
                  <w:tcW w:w="2360"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lastRenderedPageBreak/>
                    <w:t>011 Științe ale educației</w:t>
                  </w:r>
                </w:p>
                <w:p w:rsidR="00B9044D" w:rsidRPr="00367ECE" w:rsidRDefault="00B9044D" w:rsidP="00B9044D">
                  <w:pPr>
                    <w:spacing w:line="240" w:lineRule="auto"/>
                    <w:rPr>
                      <w:rFonts w:ascii="Times New Roman" w:hAnsi="Times New Roman"/>
                      <w:sz w:val="20"/>
                      <w:szCs w:val="20"/>
                      <w:lang w:val="ro-MD"/>
                    </w:rPr>
                  </w:pPr>
                  <w:r w:rsidRPr="00367ECE">
                    <w:rPr>
                      <w:rFonts w:ascii="Times New Roman" w:hAnsi="Times New Roman"/>
                      <w:sz w:val="20"/>
                      <w:szCs w:val="20"/>
                      <w:lang w:val="ro-MD"/>
                    </w:rPr>
                    <w:t xml:space="preserve">021 Arte, 023 Filologie, 031 Științe sociale și comportamentale, 061 Tehnologii ale </w:t>
                  </w:r>
                  <w:proofErr w:type="spellStart"/>
                  <w:r w:rsidRPr="00367ECE">
                    <w:rPr>
                      <w:rFonts w:ascii="Times New Roman" w:hAnsi="Times New Roman"/>
                      <w:sz w:val="20"/>
                      <w:szCs w:val="20"/>
                      <w:lang w:val="ro-MD"/>
                    </w:rPr>
                    <w:t>informaţiei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şi</w:t>
                  </w:r>
                  <w:proofErr w:type="spellEnd"/>
                  <w:r w:rsidRPr="00367ECE">
                    <w:rPr>
                      <w:rFonts w:ascii="Times New Roman" w:hAnsi="Times New Roman"/>
                      <w:sz w:val="20"/>
                      <w:szCs w:val="20"/>
                      <w:lang w:val="ro-MD"/>
                    </w:rPr>
                    <w:t xml:space="preserve"> </w:t>
                  </w:r>
                  <w:proofErr w:type="spellStart"/>
                  <w:r w:rsidRPr="00367ECE">
                    <w:rPr>
                      <w:rFonts w:ascii="Times New Roman" w:hAnsi="Times New Roman"/>
                      <w:sz w:val="20"/>
                      <w:szCs w:val="20"/>
                      <w:lang w:val="ro-MD"/>
                    </w:rPr>
                    <w:t>comuniţiilor</w:t>
                  </w:r>
                  <w:proofErr w:type="spellEnd"/>
                </w:p>
                <w:p w:rsidR="00B9044D" w:rsidRPr="00367ECE" w:rsidRDefault="00B9044D" w:rsidP="00B9044D">
                  <w:pPr>
                    <w:spacing w:line="240" w:lineRule="auto"/>
                    <w:rPr>
                      <w:rFonts w:ascii="Times New Roman" w:hAnsi="Times New Roman"/>
                      <w:sz w:val="20"/>
                      <w:szCs w:val="20"/>
                      <w:lang w:val="ro-MD"/>
                    </w:rPr>
                  </w:pPr>
                </w:p>
              </w:tc>
              <w:tc>
                <w:tcPr>
                  <w:tcW w:w="2126"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color w:val="000000"/>
                      <w:sz w:val="20"/>
                      <w:szCs w:val="20"/>
                      <w:lang w:val="ro-MD"/>
                    </w:rPr>
                    <w:t>011</w:t>
                  </w:r>
                  <w:r w:rsidRPr="00367ECE">
                    <w:rPr>
                      <w:rFonts w:ascii="Times New Roman" w:hAnsi="Times New Roman"/>
                      <w:b/>
                      <w:sz w:val="20"/>
                      <w:szCs w:val="20"/>
                      <w:lang w:val="ro-MD"/>
                    </w:rPr>
                    <w:t xml:space="preserve"> </w:t>
                  </w:r>
                  <w:proofErr w:type="spellStart"/>
                  <w:r w:rsidRPr="00367ECE">
                    <w:rPr>
                      <w:rFonts w:ascii="Times New Roman" w:hAnsi="Times New Roman"/>
                      <w:b/>
                      <w:sz w:val="20"/>
                      <w:szCs w:val="20"/>
                      <w:lang w:val="ro-MD"/>
                    </w:rPr>
                    <w:t>Ştiințe</w:t>
                  </w:r>
                  <w:proofErr w:type="spellEnd"/>
                  <w:r w:rsidRPr="00367ECE">
                    <w:rPr>
                      <w:rFonts w:ascii="Times New Roman" w:hAnsi="Times New Roman"/>
                      <w:b/>
                      <w:sz w:val="20"/>
                      <w:szCs w:val="20"/>
                      <w:lang w:val="ro-MD"/>
                    </w:rPr>
                    <w:t xml:space="preserve"> ale educației, </w:t>
                  </w:r>
                </w:p>
                <w:p w:rsidR="00B9044D" w:rsidRPr="00367ECE" w:rsidRDefault="00B9044D" w:rsidP="00B9044D">
                  <w:pPr>
                    <w:spacing w:line="240" w:lineRule="auto"/>
                    <w:rPr>
                      <w:rFonts w:ascii="Times New Roman" w:hAnsi="Times New Roman"/>
                      <w:sz w:val="20"/>
                      <w:szCs w:val="20"/>
                      <w:lang w:val="ro-MD"/>
                    </w:rPr>
                  </w:pPr>
                  <w:r w:rsidRPr="00367ECE">
                    <w:rPr>
                      <w:rFonts w:ascii="Times New Roman" w:hAnsi="Times New Roman"/>
                      <w:sz w:val="20"/>
                      <w:szCs w:val="20"/>
                      <w:lang w:val="ro-MD"/>
                    </w:rPr>
                    <w:t xml:space="preserve">050 </w:t>
                  </w:r>
                  <w:proofErr w:type="spellStart"/>
                  <w:r w:rsidRPr="00367ECE">
                    <w:rPr>
                      <w:rFonts w:ascii="Times New Roman" w:hAnsi="Times New Roman"/>
                      <w:sz w:val="20"/>
                      <w:szCs w:val="20"/>
                      <w:lang w:val="ro-MD"/>
                    </w:rPr>
                    <w:t>Ştiinţe</w:t>
                  </w:r>
                  <w:proofErr w:type="spellEnd"/>
                  <w:r w:rsidRPr="00367ECE">
                    <w:rPr>
                      <w:rFonts w:ascii="Times New Roman" w:hAnsi="Times New Roman"/>
                      <w:sz w:val="20"/>
                      <w:szCs w:val="20"/>
                      <w:lang w:val="ro-MD"/>
                    </w:rPr>
                    <w:t xml:space="preserve"> chimice,051 Științe biologice, 052 Științe ale mediului, </w:t>
                  </w:r>
                  <w:r w:rsidRPr="00367ECE">
                    <w:rPr>
                      <w:rFonts w:ascii="Times New Roman" w:hAnsi="Times New Roman"/>
                      <w:sz w:val="20"/>
                      <w:szCs w:val="20"/>
                      <w:lang w:val="ro-MD" w:eastAsia="ru-RU"/>
                    </w:rPr>
                    <w:t xml:space="preserve">053 Științe fizice, 054 Matematică și statistică, 061 </w:t>
                  </w:r>
                  <w:r w:rsidR="00193A4E" w:rsidRPr="00367ECE">
                    <w:rPr>
                      <w:rFonts w:ascii="Times New Roman" w:hAnsi="Times New Roman"/>
                      <w:sz w:val="20"/>
                      <w:szCs w:val="20"/>
                      <w:lang w:val="ro-MD" w:eastAsia="ru-RU"/>
                    </w:rPr>
                    <w:t>T</w:t>
                  </w:r>
                  <w:r w:rsidRPr="00367ECE">
                    <w:rPr>
                      <w:rFonts w:ascii="Times New Roman" w:hAnsi="Times New Roman"/>
                      <w:sz w:val="20"/>
                      <w:szCs w:val="20"/>
                      <w:lang w:val="ro-MD" w:eastAsia="ru-RU"/>
                    </w:rPr>
                    <w:t xml:space="preserve">ehnologii ale </w:t>
                  </w:r>
                  <w:proofErr w:type="spellStart"/>
                  <w:r w:rsidRPr="00367ECE">
                    <w:rPr>
                      <w:rFonts w:ascii="Times New Roman" w:hAnsi="Times New Roman"/>
                      <w:sz w:val="20"/>
                      <w:szCs w:val="20"/>
                      <w:lang w:val="ro-MD" w:eastAsia="ru-RU"/>
                    </w:rPr>
                    <w:t>informaţiei</w:t>
                  </w:r>
                  <w:proofErr w:type="spellEnd"/>
                  <w:r w:rsidRPr="00367ECE">
                    <w:rPr>
                      <w:rFonts w:ascii="Times New Roman" w:hAnsi="Times New Roman"/>
                      <w:sz w:val="20"/>
                      <w:szCs w:val="20"/>
                      <w:lang w:val="ro-MD" w:eastAsia="ru-RU"/>
                    </w:rPr>
                    <w:t xml:space="preserve"> </w:t>
                  </w:r>
                  <w:proofErr w:type="spellStart"/>
                  <w:r w:rsidRPr="00367ECE">
                    <w:rPr>
                      <w:rFonts w:ascii="Times New Roman" w:hAnsi="Times New Roman"/>
                      <w:sz w:val="20"/>
                      <w:szCs w:val="20"/>
                      <w:lang w:val="ro-MD" w:eastAsia="ru-RU"/>
                    </w:rPr>
                    <w:t>şi</w:t>
                  </w:r>
                  <w:proofErr w:type="spellEnd"/>
                  <w:r w:rsidRPr="00367ECE">
                    <w:rPr>
                      <w:rFonts w:ascii="Times New Roman" w:hAnsi="Times New Roman"/>
                      <w:sz w:val="20"/>
                      <w:szCs w:val="20"/>
                      <w:lang w:val="ro-MD" w:eastAsia="ru-RU"/>
                    </w:rPr>
                    <w:t xml:space="preserve"> </w:t>
                  </w:r>
                  <w:proofErr w:type="spellStart"/>
                  <w:r w:rsidRPr="00367ECE">
                    <w:rPr>
                      <w:rFonts w:ascii="Times New Roman" w:hAnsi="Times New Roman"/>
                      <w:sz w:val="20"/>
                      <w:szCs w:val="20"/>
                      <w:lang w:val="ro-MD" w:eastAsia="ru-RU"/>
                    </w:rPr>
                    <w:t>comunicaţiilor</w:t>
                  </w:r>
                  <w:proofErr w:type="spellEnd"/>
                  <w:r w:rsidRPr="00367ECE">
                    <w:rPr>
                      <w:rFonts w:ascii="Times New Roman" w:hAnsi="Times New Roman"/>
                      <w:sz w:val="20"/>
                      <w:szCs w:val="20"/>
                      <w:lang w:val="ro-MD" w:eastAsia="ru-RU"/>
                    </w:rPr>
                    <w:t>, 101 Servicii publice</w:t>
                  </w:r>
                </w:p>
              </w:tc>
              <w:tc>
                <w:tcPr>
                  <w:tcW w:w="1843"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color w:val="000000"/>
                      <w:sz w:val="20"/>
                      <w:szCs w:val="20"/>
                      <w:lang w:val="ro-MD"/>
                    </w:rPr>
                    <w:t>011</w:t>
                  </w:r>
                  <w:r w:rsidRPr="00367ECE">
                    <w:rPr>
                      <w:rFonts w:ascii="Times New Roman" w:hAnsi="Times New Roman"/>
                      <w:b/>
                      <w:sz w:val="20"/>
                      <w:szCs w:val="20"/>
                      <w:lang w:val="ro-MD"/>
                    </w:rPr>
                    <w:t xml:space="preserve"> Științe ale </w:t>
                  </w:r>
                  <w:proofErr w:type="spellStart"/>
                  <w:r w:rsidRPr="00367ECE">
                    <w:rPr>
                      <w:rFonts w:ascii="Times New Roman" w:hAnsi="Times New Roman"/>
                      <w:b/>
                      <w:sz w:val="20"/>
                      <w:szCs w:val="20"/>
                      <w:lang w:val="ro-MD"/>
                    </w:rPr>
                    <w:t>Educatiei</w:t>
                  </w:r>
                  <w:proofErr w:type="spellEnd"/>
                </w:p>
                <w:p w:rsidR="00B9044D" w:rsidRPr="00367ECE" w:rsidRDefault="00B9044D" w:rsidP="00B9044D">
                  <w:pPr>
                    <w:spacing w:line="240" w:lineRule="auto"/>
                    <w:rPr>
                      <w:rFonts w:ascii="Times New Roman" w:hAnsi="Times New Roman"/>
                      <w:b/>
                      <w:sz w:val="20"/>
                      <w:szCs w:val="20"/>
                      <w:lang w:val="ro-MD"/>
                    </w:rPr>
                  </w:pPr>
                </w:p>
              </w:tc>
              <w:tc>
                <w:tcPr>
                  <w:tcW w:w="2313"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sz w:val="20"/>
                      <w:szCs w:val="20"/>
                      <w:lang w:val="ro-MD"/>
                    </w:rPr>
                    <w:t xml:space="preserve">Formare continuă </w:t>
                  </w:r>
                  <w:r w:rsidRPr="00367ECE">
                    <w:rPr>
                      <w:rFonts w:ascii="Times New Roman" w:hAnsi="Times New Roman"/>
                      <w:b/>
                      <w:sz w:val="20"/>
                      <w:szCs w:val="20"/>
                      <w:lang w:val="ro-MD"/>
                    </w:rPr>
                    <w:t>pe 011 Științe ale educației</w:t>
                  </w:r>
                </w:p>
                <w:p w:rsidR="00B9044D" w:rsidRPr="00367ECE" w:rsidRDefault="00B9044D" w:rsidP="00B9044D">
                  <w:pPr>
                    <w:spacing w:line="240" w:lineRule="auto"/>
                    <w:rPr>
                      <w:rFonts w:ascii="Times New Roman" w:hAnsi="Times New Roman"/>
                      <w:b/>
                      <w:sz w:val="20"/>
                      <w:szCs w:val="20"/>
                      <w:lang w:val="ro-MD"/>
                    </w:rPr>
                  </w:pPr>
                </w:p>
              </w:tc>
            </w:tr>
          </w:tbl>
          <w:p w:rsidR="00B9044D" w:rsidRPr="00367ECE" w:rsidRDefault="00B9044D" w:rsidP="00B9044D">
            <w:pPr>
              <w:pStyle w:val="ListParagraph"/>
              <w:ind w:left="360"/>
              <w:jc w:val="both"/>
              <w:rPr>
                <w:rFonts w:ascii="Times New Roman" w:hAnsi="Times New Roman"/>
                <w:sz w:val="24"/>
                <w:szCs w:val="24"/>
                <w:lang w:val="ro-MD"/>
              </w:rPr>
            </w:pPr>
          </w:p>
          <w:p w:rsidR="00B9044D" w:rsidRPr="00367ECE" w:rsidRDefault="00B9044D" w:rsidP="00B9044D">
            <w:pPr>
              <w:pStyle w:val="ListParagraph"/>
              <w:numPr>
                <w:ilvl w:val="0"/>
                <w:numId w:val="12"/>
              </w:numPr>
              <w:spacing w:after="160"/>
              <w:rPr>
                <w:rFonts w:ascii="Times New Roman" w:hAnsi="Times New Roman"/>
                <w:b/>
                <w:sz w:val="24"/>
                <w:szCs w:val="24"/>
                <w:lang w:val="ro-MD"/>
              </w:rPr>
            </w:pPr>
            <w:r w:rsidRPr="00367ECE">
              <w:rPr>
                <w:rFonts w:ascii="Times New Roman" w:hAnsi="Times New Roman"/>
                <w:b/>
                <w:sz w:val="24"/>
                <w:szCs w:val="24"/>
                <w:lang w:val="ro-MD"/>
              </w:rPr>
              <w:t>Fuzi</w:t>
            </w:r>
            <w:r w:rsidR="006552FB" w:rsidRPr="00367ECE">
              <w:rPr>
                <w:rFonts w:ascii="Times New Roman" w:hAnsi="Times New Roman"/>
                <w:b/>
                <w:sz w:val="24"/>
                <w:szCs w:val="24"/>
                <w:lang w:val="ro-MD"/>
              </w:rPr>
              <w:t>unea</w:t>
            </w:r>
            <w:r w:rsidRPr="00367ECE">
              <w:rPr>
                <w:rFonts w:ascii="Times New Roman" w:hAnsi="Times New Roman"/>
                <w:b/>
                <w:sz w:val="24"/>
                <w:szCs w:val="24"/>
                <w:lang w:val="ro-MD"/>
              </w:rPr>
              <w:t xml:space="preserve"> Academiei de Studii Economice din Moldova (ASEM) cu Institutul Național de Cercetări Economice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140"/>
            </w:tblGrid>
            <w:tr w:rsidR="00B9044D" w:rsidRPr="00367ECE" w:rsidTr="00E532F4">
              <w:trPr>
                <w:trHeight w:val="414"/>
              </w:trPr>
              <w:tc>
                <w:tcPr>
                  <w:tcW w:w="4531"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ASEM</w:t>
                  </w:r>
                </w:p>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sz w:val="20"/>
                      <w:szCs w:val="20"/>
                      <w:lang w:val="ro-MD"/>
                    </w:rPr>
                    <w:t>4516 studenți  licență, master</w:t>
                  </w:r>
                </w:p>
              </w:tc>
              <w:tc>
                <w:tcPr>
                  <w:tcW w:w="4140"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
                      <w:sz w:val="20"/>
                      <w:szCs w:val="20"/>
                      <w:lang w:val="ro-MD"/>
                    </w:rPr>
                  </w:pPr>
                  <w:r w:rsidRPr="00367ECE">
                    <w:rPr>
                      <w:rFonts w:ascii="Times New Roman" w:hAnsi="Times New Roman"/>
                      <w:b/>
                      <w:sz w:val="20"/>
                      <w:szCs w:val="20"/>
                      <w:lang w:val="ro-MD"/>
                    </w:rPr>
                    <w:t>Institute de cercetare</w:t>
                  </w:r>
                </w:p>
              </w:tc>
            </w:tr>
            <w:tr w:rsidR="00B9044D" w:rsidRPr="00367ECE" w:rsidTr="00E532F4">
              <w:trPr>
                <w:trHeight w:val="3032"/>
              </w:trPr>
              <w:tc>
                <w:tcPr>
                  <w:tcW w:w="4531" w:type="dxa"/>
                  <w:tcBorders>
                    <w:top w:val="single" w:sz="4" w:space="0" w:color="auto"/>
                    <w:left w:val="single" w:sz="4" w:space="0" w:color="auto"/>
                    <w:bottom w:val="single" w:sz="4" w:space="0" w:color="auto"/>
                    <w:right w:val="single" w:sz="4" w:space="0" w:color="auto"/>
                  </w:tcBorders>
                  <w:hideMark/>
                </w:tcPr>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Cs/>
                      <w:sz w:val="20"/>
                      <w:szCs w:val="20"/>
                      <w:lang w:val="ro-MD"/>
                    </w:rPr>
                    <w:t xml:space="preserve">031 Științe sociale și comportamentale </w:t>
                  </w:r>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Cs/>
                      <w:sz w:val="20"/>
                      <w:szCs w:val="20"/>
                      <w:lang w:val="ro-MD"/>
                    </w:rPr>
                    <w:t>040 Științe administrative</w:t>
                  </w:r>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Cs/>
                      <w:sz w:val="20"/>
                      <w:szCs w:val="20"/>
                      <w:lang w:val="ro-MD"/>
                    </w:rPr>
                    <w:t xml:space="preserve">041 </w:t>
                  </w:r>
                  <w:proofErr w:type="spellStart"/>
                  <w:r w:rsidRPr="00367ECE">
                    <w:rPr>
                      <w:rFonts w:ascii="Times New Roman" w:hAnsi="Times New Roman"/>
                      <w:bCs/>
                      <w:sz w:val="20"/>
                      <w:szCs w:val="20"/>
                      <w:lang w:val="ro-MD"/>
                    </w:rPr>
                    <w:t>Ştiinţe</w:t>
                  </w:r>
                  <w:proofErr w:type="spellEnd"/>
                  <w:r w:rsidRPr="00367ECE">
                    <w:rPr>
                      <w:rFonts w:ascii="Times New Roman" w:hAnsi="Times New Roman"/>
                      <w:bCs/>
                      <w:sz w:val="20"/>
                      <w:szCs w:val="20"/>
                      <w:lang w:val="ro-MD"/>
                    </w:rPr>
                    <w:t xml:space="preserve"> economice</w:t>
                  </w:r>
                </w:p>
                <w:p w:rsidR="00B9044D" w:rsidRPr="00367ECE" w:rsidRDefault="00B9044D" w:rsidP="00B9044D">
                  <w:pPr>
                    <w:keepNext/>
                    <w:keepLines/>
                    <w:spacing w:line="240" w:lineRule="auto"/>
                    <w:rPr>
                      <w:rFonts w:ascii="Times New Roman" w:hAnsi="Times New Roman"/>
                      <w:bCs/>
                      <w:iCs/>
                      <w:sz w:val="20"/>
                      <w:szCs w:val="20"/>
                      <w:lang w:val="ro-MD"/>
                    </w:rPr>
                  </w:pPr>
                  <w:r w:rsidRPr="00367ECE">
                    <w:rPr>
                      <w:rFonts w:ascii="Times New Roman" w:hAnsi="Times New Roman"/>
                      <w:bCs/>
                      <w:iCs/>
                      <w:sz w:val="20"/>
                      <w:szCs w:val="20"/>
                      <w:lang w:val="ro-MD"/>
                    </w:rPr>
                    <w:t>042 Drept</w:t>
                  </w:r>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Cs/>
                      <w:sz w:val="20"/>
                      <w:szCs w:val="20"/>
                      <w:lang w:val="ro-MD"/>
                    </w:rPr>
                    <w:t xml:space="preserve">061 Tehnologii ale </w:t>
                  </w:r>
                  <w:proofErr w:type="spellStart"/>
                  <w:r w:rsidRPr="00367ECE">
                    <w:rPr>
                      <w:rFonts w:ascii="Times New Roman" w:hAnsi="Times New Roman"/>
                      <w:bCs/>
                      <w:sz w:val="20"/>
                      <w:szCs w:val="20"/>
                      <w:lang w:val="ro-MD"/>
                    </w:rPr>
                    <w:t>informaţiei</w:t>
                  </w:r>
                  <w:proofErr w:type="spellEnd"/>
                  <w:r w:rsidRPr="00367ECE">
                    <w:rPr>
                      <w:rFonts w:ascii="Times New Roman" w:hAnsi="Times New Roman"/>
                      <w:bCs/>
                      <w:sz w:val="20"/>
                      <w:szCs w:val="20"/>
                      <w:lang w:val="ro-MD"/>
                    </w:rPr>
                    <w:t xml:space="preserve"> </w:t>
                  </w:r>
                  <w:proofErr w:type="spellStart"/>
                  <w:r w:rsidRPr="00367ECE">
                    <w:rPr>
                      <w:rFonts w:ascii="Times New Roman" w:hAnsi="Times New Roman"/>
                      <w:bCs/>
                      <w:sz w:val="20"/>
                      <w:szCs w:val="20"/>
                      <w:lang w:val="ro-MD"/>
                    </w:rPr>
                    <w:t>şi</w:t>
                  </w:r>
                  <w:proofErr w:type="spellEnd"/>
                  <w:r w:rsidRPr="00367ECE">
                    <w:rPr>
                      <w:rFonts w:ascii="Times New Roman" w:hAnsi="Times New Roman"/>
                      <w:bCs/>
                      <w:sz w:val="20"/>
                      <w:szCs w:val="20"/>
                      <w:lang w:val="ro-MD"/>
                    </w:rPr>
                    <w:t xml:space="preserve"> </w:t>
                  </w:r>
                  <w:proofErr w:type="spellStart"/>
                  <w:r w:rsidRPr="00367ECE">
                    <w:rPr>
                      <w:rFonts w:ascii="Times New Roman" w:hAnsi="Times New Roman"/>
                      <w:bCs/>
                      <w:sz w:val="20"/>
                      <w:szCs w:val="20"/>
                      <w:lang w:val="ro-MD"/>
                    </w:rPr>
                    <w:t>comunicaţiilor</w:t>
                  </w:r>
                  <w:proofErr w:type="spellEnd"/>
                </w:p>
                <w:p w:rsidR="00B9044D" w:rsidRPr="00367ECE" w:rsidRDefault="00B9044D" w:rsidP="00B9044D">
                  <w:pPr>
                    <w:spacing w:line="240" w:lineRule="auto"/>
                    <w:rPr>
                      <w:rFonts w:ascii="Times New Roman" w:hAnsi="Times New Roman"/>
                      <w:bCs/>
                      <w:sz w:val="20"/>
                      <w:szCs w:val="20"/>
                      <w:lang w:val="ro-MD"/>
                    </w:rPr>
                  </w:pPr>
                  <w:r w:rsidRPr="00367ECE">
                    <w:rPr>
                      <w:rFonts w:ascii="Times New Roman" w:hAnsi="Times New Roman"/>
                      <w:bCs/>
                      <w:sz w:val="20"/>
                      <w:szCs w:val="20"/>
                      <w:lang w:val="ro-MD" w:eastAsia="ru-RU"/>
                    </w:rPr>
                    <w:t>072 Tehnologii de fabricare și prelucrare</w:t>
                  </w:r>
                </w:p>
                <w:p w:rsidR="00B9044D" w:rsidRPr="00367ECE" w:rsidRDefault="00B9044D" w:rsidP="00193A4E">
                  <w:pPr>
                    <w:keepNext/>
                    <w:keepLines/>
                    <w:spacing w:line="240" w:lineRule="auto"/>
                    <w:rPr>
                      <w:rFonts w:ascii="Times New Roman" w:hAnsi="Times New Roman"/>
                      <w:b/>
                      <w:bCs/>
                      <w:sz w:val="20"/>
                      <w:szCs w:val="20"/>
                      <w:lang w:val="ro-MD"/>
                    </w:rPr>
                  </w:pPr>
                  <w:r w:rsidRPr="00367ECE">
                    <w:rPr>
                      <w:rFonts w:ascii="Times New Roman" w:hAnsi="Times New Roman"/>
                      <w:bCs/>
                      <w:sz w:val="20"/>
                      <w:szCs w:val="20"/>
                      <w:lang w:val="ro-MD"/>
                    </w:rPr>
                    <w:t>101 Servicii publice</w:t>
                  </w:r>
                </w:p>
              </w:tc>
              <w:tc>
                <w:tcPr>
                  <w:tcW w:w="4140" w:type="dxa"/>
                  <w:tcBorders>
                    <w:top w:val="single" w:sz="4" w:space="0" w:color="auto"/>
                    <w:left w:val="single" w:sz="4" w:space="0" w:color="auto"/>
                    <w:bottom w:val="single" w:sz="4" w:space="0" w:color="auto"/>
                    <w:right w:val="single" w:sz="4" w:space="0" w:color="auto"/>
                  </w:tcBorders>
                </w:tcPr>
                <w:p w:rsidR="00B9044D" w:rsidRPr="00367ECE" w:rsidRDefault="00B9044D" w:rsidP="00B9044D">
                  <w:pPr>
                    <w:pStyle w:val="ListParagraph"/>
                    <w:spacing w:line="240" w:lineRule="auto"/>
                    <w:ind w:left="-360"/>
                    <w:jc w:val="center"/>
                    <w:rPr>
                      <w:rFonts w:ascii="Times New Roman" w:hAnsi="Times New Roman"/>
                      <w:sz w:val="20"/>
                      <w:szCs w:val="20"/>
                      <w:lang w:val="ro-MD"/>
                    </w:rPr>
                  </w:pPr>
                  <w:r w:rsidRPr="00367ECE">
                    <w:rPr>
                      <w:rFonts w:ascii="Times New Roman" w:hAnsi="Times New Roman"/>
                      <w:sz w:val="20"/>
                      <w:szCs w:val="20"/>
                      <w:lang w:val="ro-MD"/>
                    </w:rPr>
                    <w:t xml:space="preserve">Institutul Național de Cercetări Economice </w:t>
                  </w:r>
                </w:p>
                <w:p w:rsidR="00B9044D" w:rsidRPr="00367ECE" w:rsidRDefault="00B9044D" w:rsidP="00B9044D">
                  <w:pPr>
                    <w:pStyle w:val="ListParagraph"/>
                    <w:spacing w:line="240" w:lineRule="auto"/>
                    <w:ind w:left="-360"/>
                    <w:jc w:val="center"/>
                    <w:rPr>
                      <w:rFonts w:ascii="Times New Roman" w:hAnsi="Times New Roman"/>
                      <w:sz w:val="20"/>
                      <w:szCs w:val="20"/>
                      <w:lang w:val="ro-MD"/>
                    </w:rPr>
                  </w:pPr>
                  <w:r w:rsidRPr="00367ECE">
                    <w:rPr>
                      <w:rFonts w:ascii="Times New Roman" w:hAnsi="Times New Roman"/>
                      <w:b/>
                      <w:sz w:val="20"/>
                      <w:szCs w:val="20"/>
                      <w:lang w:val="ro-MD"/>
                    </w:rPr>
                    <w:t>(cercetători -81)</w:t>
                  </w:r>
                </w:p>
                <w:p w:rsidR="00B9044D" w:rsidRPr="00367ECE" w:rsidRDefault="00B9044D" w:rsidP="00B9044D">
                  <w:pPr>
                    <w:spacing w:line="240" w:lineRule="auto"/>
                    <w:ind w:left="406" w:firstLine="314"/>
                    <w:rPr>
                      <w:rFonts w:ascii="Times New Roman" w:hAnsi="Times New Roman"/>
                      <w:bCs/>
                      <w:sz w:val="20"/>
                      <w:szCs w:val="20"/>
                      <w:lang w:val="ro-MD"/>
                    </w:rPr>
                  </w:pPr>
                </w:p>
              </w:tc>
            </w:tr>
          </w:tbl>
          <w:p w:rsidR="00E532F4" w:rsidRPr="00367ECE" w:rsidRDefault="00E532F4" w:rsidP="00E532F4">
            <w:pPr>
              <w:pStyle w:val="ListParagraph"/>
              <w:tabs>
                <w:tab w:val="left" w:pos="851"/>
              </w:tabs>
              <w:spacing w:after="0"/>
              <w:jc w:val="both"/>
              <w:rPr>
                <w:rFonts w:ascii="Times New Roman" w:hAnsi="Times New Roman"/>
                <w:sz w:val="24"/>
                <w:szCs w:val="24"/>
                <w:lang w:val="ro-MD"/>
              </w:rPr>
            </w:pPr>
          </w:p>
          <w:p w:rsidR="00B9044D" w:rsidRPr="00367ECE" w:rsidRDefault="00AF6A75" w:rsidP="00AF6A75">
            <w:pPr>
              <w:pStyle w:val="ListParagraph"/>
              <w:numPr>
                <w:ilvl w:val="0"/>
                <w:numId w:val="12"/>
              </w:numPr>
              <w:tabs>
                <w:tab w:val="left" w:pos="851"/>
              </w:tabs>
              <w:spacing w:after="0"/>
              <w:jc w:val="both"/>
              <w:rPr>
                <w:rFonts w:ascii="Times New Roman" w:hAnsi="Times New Roman"/>
                <w:sz w:val="24"/>
                <w:szCs w:val="24"/>
                <w:lang w:val="ro-MD"/>
              </w:rPr>
            </w:pPr>
            <w:r w:rsidRPr="00367ECE">
              <w:rPr>
                <w:rFonts w:ascii="Times New Roman" w:hAnsi="Times New Roman"/>
                <w:b/>
                <w:sz w:val="24"/>
                <w:szCs w:val="24"/>
                <w:lang w:val="ro-MD"/>
              </w:rPr>
              <w:t xml:space="preserve">Acordarea unui statut aparte unor instituții de </w:t>
            </w:r>
            <w:r w:rsidR="00B9044D" w:rsidRPr="00367ECE">
              <w:rPr>
                <w:rFonts w:ascii="Times New Roman" w:hAnsi="Times New Roman"/>
                <w:b/>
                <w:sz w:val="24"/>
                <w:szCs w:val="24"/>
                <w:lang w:val="ro-MD"/>
              </w:rPr>
              <w:t>învățământ superior cu caracter specific de formare profesională - Academiei de Muzică,  Teatru și Arte Plastice (AMTAP) și Institutului Patrimoniului Cultural,  și transferul către alt fondator-Ministerul Culturii.</w:t>
            </w:r>
          </w:p>
          <w:p w:rsidR="00B9044D" w:rsidRPr="00367ECE" w:rsidRDefault="00B9044D" w:rsidP="006F50E2">
            <w:pPr>
              <w:pStyle w:val="ListParagraph"/>
              <w:spacing w:line="240" w:lineRule="auto"/>
              <w:ind w:left="0" w:firstLine="360"/>
              <w:jc w:val="both"/>
              <w:rPr>
                <w:rFonts w:ascii="Times New Roman" w:hAnsi="Times New Roman"/>
                <w:sz w:val="24"/>
                <w:szCs w:val="24"/>
                <w:lang w:val="ro-MD"/>
              </w:rPr>
            </w:pPr>
          </w:p>
          <w:p w:rsidR="00B9044D" w:rsidRPr="00367ECE" w:rsidRDefault="00B9044D" w:rsidP="00E532F4">
            <w:pPr>
              <w:pStyle w:val="ListParagraph"/>
              <w:ind w:left="0" w:firstLine="360"/>
              <w:jc w:val="both"/>
              <w:rPr>
                <w:rFonts w:ascii="Times New Roman" w:hAnsi="Times New Roman"/>
                <w:sz w:val="24"/>
                <w:szCs w:val="24"/>
                <w:lang w:val="ro-MD"/>
              </w:rPr>
            </w:pPr>
            <w:r w:rsidRPr="00367ECE">
              <w:rPr>
                <w:rFonts w:ascii="Times New Roman" w:hAnsi="Times New Roman"/>
                <w:sz w:val="24"/>
                <w:szCs w:val="24"/>
                <w:lang w:val="ro-MD"/>
              </w:rPr>
              <w:t>Proiectul presupune:</w:t>
            </w:r>
          </w:p>
          <w:p w:rsidR="00B9044D" w:rsidRPr="00367ECE" w:rsidRDefault="00B9044D" w:rsidP="00E532F4">
            <w:pPr>
              <w:pStyle w:val="ListParagraph"/>
              <w:numPr>
                <w:ilvl w:val="0"/>
                <w:numId w:val="7"/>
              </w:numPr>
              <w:spacing w:after="160"/>
              <w:jc w:val="both"/>
              <w:rPr>
                <w:rFonts w:ascii="Times New Roman" w:hAnsi="Times New Roman"/>
                <w:sz w:val="24"/>
                <w:szCs w:val="24"/>
                <w:lang w:val="ro-MD"/>
              </w:rPr>
            </w:pPr>
            <w:r w:rsidRPr="00367ECE">
              <w:rPr>
                <w:rFonts w:ascii="Times New Roman" w:hAnsi="Times New Roman"/>
                <w:sz w:val="24"/>
                <w:szCs w:val="24"/>
                <w:lang w:val="ro-MD"/>
              </w:rPr>
              <w:t>transferul tuturor studenților de la universitățile absorbite,</w:t>
            </w:r>
          </w:p>
          <w:p w:rsidR="00B9044D" w:rsidRPr="00367ECE" w:rsidRDefault="00B9044D" w:rsidP="00E532F4">
            <w:pPr>
              <w:pStyle w:val="ListParagraph"/>
              <w:numPr>
                <w:ilvl w:val="0"/>
                <w:numId w:val="7"/>
              </w:numPr>
              <w:spacing w:after="160"/>
              <w:jc w:val="both"/>
              <w:rPr>
                <w:rFonts w:ascii="Times New Roman" w:hAnsi="Times New Roman"/>
                <w:sz w:val="24"/>
                <w:szCs w:val="24"/>
                <w:lang w:val="ro-MD"/>
              </w:rPr>
            </w:pPr>
            <w:r w:rsidRPr="00367ECE">
              <w:rPr>
                <w:rFonts w:ascii="Times New Roman" w:hAnsi="Times New Roman"/>
                <w:sz w:val="24"/>
                <w:szCs w:val="24"/>
                <w:lang w:val="ro-MD"/>
              </w:rPr>
              <w:t>studenții transferați vor finaliza la specialitățile la care au fost înmatriculați inițial și cu respectarea acelorași taxe de studii, stabilite anterior;</w:t>
            </w:r>
          </w:p>
          <w:p w:rsidR="00B9044D" w:rsidRPr="00367ECE" w:rsidRDefault="00B9044D" w:rsidP="00E532F4">
            <w:pPr>
              <w:pStyle w:val="ListParagraph"/>
              <w:numPr>
                <w:ilvl w:val="0"/>
                <w:numId w:val="7"/>
              </w:numPr>
              <w:spacing w:after="160"/>
              <w:jc w:val="both"/>
              <w:rPr>
                <w:rFonts w:ascii="Times New Roman" w:hAnsi="Times New Roman"/>
                <w:sz w:val="24"/>
                <w:szCs w:val="24"/>
                <w:lang w:val="ro-MD"/>
              </w:rPr>
            </w:pPr>
            <w:r w:rsidRPr="00367ECE">
              <w:rPr>
                <w:rFonts w:ascii="Times New Roman" w:hAnsi="Times New Roman"/>
                <w:sz w:val="24"/>
                <w:szCs w:val="24"/>
                <w:lang w:val="ro-MD"/>
              </w:rPr>
              <w:t>studenții absolvenți finalizează studiile la universitățile ce urmează a fi fuzionate,</w:t>
            </w:r>
          </w:p>
          <w:p w:rsidR="00B9044D" w:rsidRPr="00367ECE" w:rsidRDefault="00B9044D" w:rsidP="00E532F4">
            <w:pPr>
              <w:pStyle w:val="ListParagraph"/>
              <w:numPr>
                <w:ilvl w:val="0"/>
                <w:numId w:val="7"/>
              </w:numPr>
              <w:shd w:val="clear" w:color="auto" w:fill="FFFFFF"/>
              <w:spacing w:after="0"/>
              <w:jc w:val="both"/>
              <w:rPr>
                <w:rFonts w:ascii="Times New Roman" w:eastAsia="Times New Roman" w:hAnsi="Times New Roman"/>
                <w:sz w:val="24"/>
                <w:szCs w:val="24"/>
                <w:lang w:val="ro-MD" w:eastAsia="ru-RU"/>
              </w:rPr>
            </w:pPr>
            <w:r w:rsidRPr="00367ECE">
              <w:rPr>
                <w:rFonts w:ascii="Times New Roman" w:hAnsi="Times New Roman"/>
                <w:sz w:val="24"/>
                <w:szCs w:val="24"/>
                <w:lang w:val="ro-MD"/>
              </w:rPr>
              <w:t xml:space="preserve">transferul/reangajarea  din/în funcție a personalului din universitățile reorganizate se va realiza conform legislației muncii in vigoare, cheltuielile </w:t>
            </w:r>
            <w:r w:rsidRPr="00367ECE">
              <w:rPr>
                <w:rFonts w:ascii="Times New Roman" w:eastAsia="Times New Roman" w:hAnsi="Times New Roman"/>
                <w:sz w:val="24"/>
                <w:szCs w:val="24"/>
                <w:lang w:val="ro-MD" w:eastAsia="ru-RU"/>
              </w:rPr>
              <w:t xml:space="preserve">ce </w:t>
            </w:r>
            <w:proofErr w:type="spellStart"/>
            <w:r w:rsidRPr="00367ECE">
              <w:rPr>
                <w:rFonts w:ascii="Times New Roman" w:eastAsia="Times New Roman" w:hAnsi="Times New Roman"/>
                <w:sz w:val="24"/>
                <w:szCs w:val="24"/>
                <w:lang w:val="ro-MD" w:eastAsia="ru-RU"/>
              </w:rPr>
              <w:t>ţin</w:t>
            </w:r>
            <w:proofErr w:type="spellEnd"/>
            <w:r w:rsidRPr="00367ECE">
              <w:rPr>
                <w:rFonts w:ascii="Times New Roman" w:eastAsia="Times New Roman" w:hAnsi="Times New Roman"/>
                <w:sz w:val="24"/>
                <w:szCs w:val="24"/>
                <w:lang w:val="ro-MD" w:eastAsia="ru-RU"/>
              </w:rPr>
              <w:t xml:space="preserve"> de personal în legătură cu reorganizarea instituțiilor publice de învățământ superior vor fi asigurate din contul surselor financiare ale persoanelor juridice absorbite.</w:t>
            </w:r>
          </w:p>
          <w:p w:rsidR="00B9044D" w:rsidRPr="00367ECE" w:rsidRDefault="00B9044D" w:rsidP="00E532F4">
            <w:pPr>
              <w:pStyle w:val="ListParagraph"/>
              <w:numPr>
                <w:ilvl w:val="0"/>
                <w:numId w:val="7"/>
              </w:numPr>
              <w:spacing w:after="160"/>
              <w:jc w:val="both"/>
              <w:rPr>
                <w:rFonts w:ascii="Times New Roman" w:hAnsi="Times New Roman"/>
                <w:sz w:val="24"/>
                <w:szCs w:val="24"/>
                <w:lang w:val="ro-MD"/>
              </w:rPr>
            </w:pPr>
            <w:r w:rsidRPr="00367ECE">
              <w:rPr>
                <w:rFonts w:ascii="Times New Roman" w:hAnsi="Times New Roman"/>
                <w:sz w:val="24"/>
                <w:szCs w:val="24"/>
                <w:lang w:val="ro-MD"/>
              </w:rPr>
              <w:t xml:space="preserve">alegerea organelor de conducere a instituției reorganizate va avea loc conform principiilor autonomiei universitare (art.79 din Codul Educației, </w:t>
            </w:r>
            <w:hyperlink r:id="rId9" w:history="1">
              <w:r w:rsidRPr="00367ECE">
                <w:rPr>
                  <w:rStyle w:val="Hyperlink"/>
                  <w:rFonts w:ascii="Times New Roman" w:hAnsi="Times New Roman"/>
                  <w:sz w:val="24"/>
                  <w:szCs w:val="24"/>
                  <w:bdr w:val="none" w:sz="0" w:space="0" w:color="auto" w:frame="1"/>
                  <w:shd w:val="clear" w:color="auto" w:fill="FFFFFF"/>
                  <w:lang w:val="ro-MD"/>
                </w:rPr>
                <w:t>ordinului nr. 10 din 14 ianuarie 2015</w:t>
              </w:r>
            </w:hyperlink>
            <w:r w:rsidRPr="00367ECE">
              <w:rPr>
                <w:rFonts w:ascii="Times New Roman" w:hAnsi="Times New Roman"/>
                <w:sz w:val="24"/>
                <w:szCs w:val="24"/>
                <w:u w:val="single"/>
                <w:bdr w:val="none" w:sz="0" w:space="0" w:color="auto" w:frame="1"/>
                <w:shd w:val="clear" w:color="auto" w:fill="FFFFFF"/>
                <w:lang w:val="ro-MD"/>
              </w:rPr>
              <w:t> </w:t>
            </w:r>
            <w:r w:rsidRPr="00367ECE">
              <w:rPr>
                <w:rFonts w:ascii="Times New Roman" w:hAnsi="Times New Roman"/>
                <w:sz w:val="24"/>
                <w:szCs w:val="24"/>
                <w:bdr w:val="none" w:sz="0" w:space="0" w:color="auto" w:frame="1"/>
                <w:shd w:val="clear" w:color="auto" w:fill="FFFFFF"/>
                <w:lang w:val="ro-MD"/>
              </w:rPr>
              <w:t>cu privire la aprobarea și punerea în aplicare a Regulamentului-cadru privind organ</w:t>
            </w:r>
            <w:r w:rsidR="006552FB" w:rsidRPr="00367ECE">
              <w:rPr>
                <w:rFonts w:ascii="Times New Roman" w:hAnsi="Times New Roman"/>
                <w:sz w:val="24"/>
                <w:szCs w:val="24"/>
                <w:bdr w:val="none" w:sz="0" w:space="0" w:color="auto" w:frame="1"/>
                <w:shd w:val="clear" w:color="auto" w:fill="FFFFFF"/>
                <w:lang w:val="ro-MD"/>
              </w:rPr>
              <w:t>iza</w:t>
            </w:r>
            <w:r w:rsidRPr="00367ECE">
              <w:rPr>
                <w:rFonts w:ascii="Times New Roman" w:hAnsi="Times New Roman"/>
                <w:sz w:val="24"/>
                <w:szCs w:val="24"/>
                <w:bdr w:val="none" w:sz="0" w:space="0" w:color="auto" w:frame="1"/>
                <w:shd w:val="clear" w:color="auto" w:fill="FFFFFF"/>
                <w:lang w:val="ro-MD"/>
              </w:rPr>
              <w:t>rea și funcționarea organelor de conducere ale instituțiilor de învățământ superior din RM);</w:t>
            </w:r>
          </w:p>
          <w:p w:rsidR="00B9044D" w:rsidRPr="00367ECE" w:rsidRDefault="00B9044D" w:rsidP="00E532F4">
            <w:pPr>
              <w:pStyle w:val="ListParagraph"/>
              <w:numPr>
                <w:ilvl w:val="0"/>
                <w:numId w:val="7"/>
              </w:numPr>
              <w:spacing w:after="160"/>
              <w:jc w:val="both"/>
              <w:rPr>
                <w:rFonts w:ascii="Times New Roman" w:hAnsi="Times New Roman"/>
                <w:sz w:val="24"/>
                <w:szCs w:val="24"/>
                <w:lang w:val="ro-MD"/>
              </w:rPr>
            </w:pPr>
            <w:r w:rsidRPr="00367ECE">
              <w:rPr>
                <w:rFonts w:ascii="Times New Roman" w:hAnsi="Times New Roman"/>
                <w:sz w:val="24"/>
                <w:szCs w:val="24"/>
                <w:lang w:val="ro-MD"/>
              </w:rPr>
              <w:t xml:space="preserve">neacordarea de locuri bugetare la Admiterea 2022 la instituțiile </w:t>
            </w:r>
            <w:r w:rsidR="006552FB" w:rsidRPr="00367ECE">
              <w:rPr>
                <w:rFonts w:ascii="Times New Roman" w:hAnsi="Times New Roman"/>
                <w:sz w:val="24"/>
                <w:szCs w:val="24"/>
                <w:lang w:val="ro-MD"/>
              </w:rPr>
              <w:t>absorbite</w:t>
            </w:r>
            <w:r w:rsidRPr="00367ECE">
              <w:rPr>
                <w:rFonts w:ascii="Times New Roman" w:hAnsi="Times New Roman"/>
                <w:sz w:val="24"/>
                <w:szCs w:val="24"/>
                <w:lang w:val="ro-MD"/>
              </w:rPr>
              <w:t>;</w:t>
            </w:r>
          </w:p>
          <w:p w:rsidR="00B9044D" w:rsidRPr="00367ECE" w:rsidRDefault="00B9044D" w:rsidP="00E532F4">
            <w:pPr>
              <w:pStyle w:val="ListParagraph"/>
              <w:numPr>
                <w:ilvl w:val="0"/>
                <w:numId w:val="7"/>
              </w:numPr>
              <w:spacing w:after="160"/>
              <w:jc w:val="both"/>
              <w:rPr>
                <w:rFonts w:ascii="Times New Roman" w:hAnsi="Times New Roman"/>
                <w:sz w:val="24"/>
                <w:szCs w:val="24"/>
                <w:lang w:val="ro-MD"/>
              </w:rPr>
            </w:pPr>
            <w:r w:rsidRPr="00367ECE">
              <w:rPr>
                <w:rFonts w:ascii="Times New Roman" w:hAnsi="Times New Roman"/>
                <w:sz w:val="24"/>
                <w:szCs w:val="24"/>
                <w:lang w:val="ro-MD"/>
              </w:rPr>
              <w:lastRenderedPageBreak/>
              <w:t>activitatea comisiilor de transmitere a bunurilor etc.</w:t>
            </w:r>
          </w:p>
          <w:p w:rsidR="00B9044D" w:rsidRPr="00367ECE" w:rsidRDefault="00B9044D" w:rsidP="00E532F4">
            <w:pPr>
              <w:tabs>
                <w:tab w:val="left" w:pos="851"/>
              </w:tabs>
              <w:jc w:val="both"/>
              <w:rPr>
                <w:rFonts w:ascii="Times New Roman" w:hAnsi="Times New Roman"/>
                <w:sz w:val="24"/>
                <w:szCs w:val="24"/>
                <w:lang w:val="ro-MD"/>
              </w:rPr>
            </w:pPr>
            <w:r w:rsidRPr="00367ECE">
              <w:rPr>
                <w:rFonts w:ascii="Times New Roman" w:hAnsi="Times New Roman"/>
                <w:sz w:val="24"/>
                <w:szCs w:val="24"/>
                <w:lang w:val="ro-MD"/>
              </w:rPr>
              <w:t xml:space="preserve">Aprobarea acestui proiect de hotărâre va contribui la consolidarea </w:t>
            </w:r>
            <w:r w:rsidR="006552FB" w:rsidRPr="00367ECE">
              <w:rPr>
                <w:rFonts w:ascii="Times New Roman" w:hAnsi="Times New Roman"/>
                <w:sz w:val="24"/>
                <w:szCs w:val="24"/>
                <w:lang w:val="ro-MD"/>
              </w:rPr>
              <w:t xml:space="preserve">resurselor umane, </w:t>
            </w:r>
            <w:r w:rsidRPr="00367ECE">
              <w:rPr>
                <w:rFonts w:ascii="Times New Roman" w:hAnsi="Times New Roman"/>
                <w:sz w:val="24"/>
                <w:szCs w:val="24"/>
                <w:lang w:val="ro-MD"/>
              </w:rPr>
              <w:t xml:space="preserve">mijloacelor financiare prin redistribuirea acestora în conformitate cu programele de formare profesională orientate spre </w:t>
            </w:r>
            <w:proofErr w:type="spellStart"/>
            <w:r w:rsidRPr="00367ECE">
              <w:rPr>
                <w:rFonts w:ascii="Times New Roman" w:hAnsi="Times New Roman"/>
                <w:sz w:val="24"/>
                <w:szCs w:val="24"/>
                <w:lang w:val="ro-MD"/>
              </w:rPr>
              <w:t>performanţe</w:t>
            </w:r>
            <w:proofErr w:type="spellEnd"/>
            <w:r w:rsidRPr="00367ECE">
              <w:rPr>
                <w:rFonts w:ascii="Times New Roman" w:hAnsi="Times New Roman"/>
                <w:sz w:val="24"/>
                <w:szCs w:val="24"/>
                <w:lang w:val="ro-MD"/>
              </w:rPr>
              <w:t xml:space="preserve"> </w:t>
            </w:r>
            <w:proofErr w:type="spellStart"/>
            <w:r w:rsidRPr="00367ECE">
              <w:rPr>
                <w:rFonts w:ascii="Times New Roman" w:hAnsi="Times New Roman"/>
                <w:sz w:val="24"/>
                <w:szCs w:val="24"/>
                <w:lang w:val="ro-MD"/>
              </w:rPr>
              <w:t>şi</w:t>
            </w:r>
            <w:proofErr w:type="spellEnd"/>
            <w:r w:rsidRPr="00367ECE">
              <w:rPr>
                <w:rFonts w:ascii="Times New Roman" w:hAnsi="Times New Roman"/>
                <w:sz w:val="24"/>
                <w:szCs w:val="24"/>
                <w:lang w:val="ro-MD"/>
              </w:rPr>
              <w:t xml:space="preserve"> nu pe </w:t>
            </w:r>
            <w:proofErr w:type="spellStart"/>
            <w:r w:rsidRPr="00367ECE">
              <w:rPr>
                <w:rFonts w:ascii="Times New Roman" w:hAnsi="Times New Roman"/>
                <w:sz w:val="24"/>
                <w:szCs w:val="24"/>
                <w:lang w:val="ro-MD"/>
              </w:rPr>
              <w:t>întreţinerea</w:t>
            </w:r>
            <w:proofErr w:type="spellEnd"/>
            <w:r w:rsidRPr="00367ECE">
              <w:rPr>
                <w:rFonts w:ascii="Times New Roman" w:hAnsi="Times New Roman"/>
                <w:sz w:val="24"/>
                <w:szCs w:val="24"/>
                <w:lang w:val="ro-MD"/>
              </w:rPr>
              <w:t xml:space="preserve"> unor infrastructuri costisitoare sau plăți de arendă etc., pentru pregătirea unei </w:t>
            </w:r>
            <w:proofErr w:type="spellStart"/>
            <w:r w:rsidRPr="00367ECE">
              <w:rPr>
                <w:rFonts w:ascii="Times New Roman" w:hAnsi="Times New Roman"/>
                <w:sz w:val="24"/>
                <w:szCs w:val="24"/>
                <w:lang w:val="ro-MD"/>
              </w:rPr>
              <w:t>forţe</w:t>
            </w:r>
            <w:proofErr w:type="spellEnd"/>
            <w:r w:rsidRPr="00367ECE">
              <w:rPr>
                <w:rFonts w:ascii="Times New Roman" w:hAnsi="Times New Roman"/>
                <w:sz w:val="24"/>
                <w:szCs w:val="24"/>
                <w:lang w:val="ro-MD"/>
              </w:rPr>
              <w:t xml:space="preserve"> de muncă calificată. Absorbția de universități mici și absorbția institutelor de cercetare vor avea un impact economic și fiscal mai mare, redirecționând sursele financiare acumulate spre: </w:t>
            </w:r>
          </w:p>
          <w:p w:rsidR="00B9044D" w:rsidRPr="00367ECE" w:rsidRDefault="00B9044D" w:rsidP="00AF6A75">
            <w:pPr>
              <w:tabs>
                <w:tab w:val="left" w:pos="851"/>
              </w:tabs>
              <w:spacing w:line="240" w:lineRule="auto"/>
              <w:rPr>
                <w:rFonts w:ascii="Times New Roman" w:hAnsi="Times New Roman"/>
                <w:sz w:val="24"/>
                <w:szCs w:val="24"/>
                <w:lang w:val="ro-MD"/>
              </w:rPr>
            </w:pPr>
            <w:r w:rsidRPr="00367ECE">
              <w:rPr>
                <w:rFonts w:ascii="Times New Roman" w:hAnsi="Times New Roman"/>
                <w:sz w:val="24"/>
                <w:szCs w:val="24"/>
                <w:lang w:val="ro-MD"/>
              </w:rPr>
              <w:t xml:space="preserve">a) </w:t>
            </w:r>
            <w:proofErr w:type="spellStart"/>
            <w:r w:rsidRPr="00367ECE">
              <w:rPr>
                <w:rFonts w:ascii="Times New Roman" w:hAnsi="Times New Roman"/>
                <w:sz w:val="24"/>
                <w:szCs w:val="24"/>
                <w:lang w:val="ro-MD"/>
              </w:rPr>
              <w:t>îmbunățățirea</w:t>
            </w:r>
            <w:proofErr w:type="spellEnd"/>
            <w:r w:rsidRPr="00367ECE">
              <w:rPr>
                <w:rFonts w:ascii="Times New Roman" w:hAnsi="Times New Roman"/>
                <w:sz w:val="24"/>
                <w:szCs w:val="24"/>
                <w:lang w:val="ro-MD"/>
              </w:rPr>
              <w:t xml:space="preserve"> </w:t>
            </w:r>
            <w:r w:rsidRPr="00367ECE">
              <w:rPr>
                <w:rFonts w:ascii="Times New Roman" w:hAnsi="Times New Roman"/>
                <w:b/>
                <w:sz w:val="24"/>
                <w:szCs w:val="24"/>
                <w:lang w:val="ro-MD"/>
              </w:rPr>
              <w:t>calității</w:t>
            </w:r>
            <w:r w:rsidRPr="00367ECE">
              <w:rPr>
                <w:rFonts w:ascii="Times New Roman" w:hAnsi="Times New Roman"/>
                <w:sz w:val="24"/>
                <w:szCs w:val="24"/>
                <w:lang w:val="ro-MD"/>
              </w:rPr>
              <w:t xml:space="preserve"> programelor de studii superioare,</w:t>
            </w:r>
          </w:p>
          <w:p w:rsidR="00B9044D" w:rsidRPr="00367ECE" w:rsidRDefault="00B9044D" w:rsidP="00AF6A75">
            <w:pPr>
              <w:tabs>
                <w:tab w:val="left" w:pos="851"/>
              </w:tabs>
              <w:spacing w:line="240" w:lineRule="auto"/>
              <w:rPr>
                <w:rFonts w:ascii="Times New Roman" w:hAnsi="Times New Roman"/>
                <w:sz w:val="24"/>
                <w:szCs w:val="24"/>
                <w:lang w:val="ro-MD"/>
              </w:rPr>
            </w:pPr>
            <w:r w:rsidRPr="00367ECE">
              <w:rPr>
                <w:rFonts w:ascii="Times New Roman" w:hAnsi="Times New Roman"/>
                <w:sz w:val="24"/>
                <w:szCs w:val="24"/>
                <w:lang w:val="ro-MD"/>
              </w:rPr>
              <w:t>b) creșterea profesională a cadrelor universitare</w:t>
            </w:r>
            <w:r w:rsidR="006552FB" w:rsidRPr="00367ECE">
              <w:rPr>
                <w:rFonts w:ascii="Times New Roman" w:hAnsi="Times New Roman"/>
                <w:sz w:val="24"/>
                <w:szCs w:val="24"/>
                <w:lang w:val="ro-MD"/>
              </w:rPr>
              <w:t xml:space="preserve"> și a cercetătorilor</w:t>
            </w:r>
            <w:r w:rsidRPr="00367ECE">
              <w:rPr>
                <w:rFonts w:ascii="Times New Roman" w:hAnsi="Times New Roman"/>
                <w:sz w:val="24"/>
                <w:szCs w:val="24"/>
                <w:lang w:val="ro-MD"/>
              </w:rPr>
              <w:t xml:space="preserve">; </w:t>
            </w:r>
          </w:p>
          <w:p w:rsidR="00B9044D" w:rsidRPr="00367ECE" w:rsidRDefault="00B9044D" w:rsidP="00AF6A75">
            <w:pPr>
              <w:tabs>
                <w:tab w:val="left" w:pos="851"/>
              </w:tabs>
              <w:spacing w:line="240" w:lineRule="auto"/>
              <w:rPr>
                <w:rFonts w:ascii="Times New Roman" w:hAnsi="Times New Roman"/>
                <w:sz w:val="24"/>
                <w:szCs w:val="24"/>
                <w:lang w:val="ro-MD"/>
              </w:rPr>
            </w:pPr>
            <w:r w:rsidRPr="00367ECE">
              <w:rPr>
                <w:rFonts w:ascii="Times New Roman" w:hAnsi="Times New Roman"/>
                <w:sz w:val="24"/>
                <w:szCs w:val="24"/>
                <w:lang w:val="ro-MD"/>
              </w:rPr>
              <w:t>c) creșterea salariilor și remunerarea avansată a performanțelor cadrelor universitare și a cercetătorilor;</w:t>
            </w:r>
          </w:p>
          <w:p w:rsidR="00B9044D" w:rsidRPr="00367ECE" w:rsidRDefault="00B9044D" w:rsidP="00AF6A75">
            <w:pPr>
              <w:tabs>
                <w:tab w:val="left" w:pos="851"/>
              </w:tabs>
              <w:spacing w:line="240" w:lineRule="auto"/>
              <w:rPr>
                <w:rFonts w:ascii="Times New Roman" w:hAnsi="Times New Roman"/>
                <w:sz w:val="24"/>
                <w:szCs w:val="24"/>
                <w:lang w:val="ro-MD"/>
              </w:rPr>
            </w:pPr>
            <w:r w:rsidRPr="00367ECE">
              <w:rPr>
                <w:rFonts w:ascii="Times New Roman" w:hAnsi="Times New Roman"/>
                <w:sz w:val="24"/>
                <w:szCs w:val="24"/>
                <w:lang w:val="ro-MD"/>
              </w:rPr>
              <w:t>d) consolidarea domeniului cercetării în universități;</w:t>
            </w:r>
          </w:p>
          <w:p w:rsidR="00B9044D" w:rsidRPr="00367ECE" w:rsidRDefault="006552FB" w:rsidP="00E532F4">
            <w:pPr>
              <w:spacing w:line="240" w:lineRule="auto"/>
              <w:ind w:right="708"/>
              <w:rPr>
                <w:rFonts w:ascii="Times New Roman" w:hAnsi="Times New Roman"/>
                <w:sz w:val="24"/>
                <w:szCs w:val="24"/>
                <w:lang w:val="ro-MD"/>
              </w:rPr>
            </w:pPr>
            <w:r w:rsidRPr="00367ECE">
              <w:rPr>
                <w:rFonts w:ascii="Times New Roman" w:hAnsi="Times New Roman"/>
                <w:sz w:val="24"/>
                <w:szCs w:val="24"/>
                <w:lang w:val="ro-MD"/>
              </w:rPr>
              <w:t>e) îmbunătățirea bazei</w:t>
            </w:r>
            <w:r w:rsidR="00E532F4" w:rsidRPr="00367ECE">
              <w:rPr>
                <w:rFonts w:ascii="Times New Roman" w:hAnsi="Times New Roman"/>
                <w:sz w:val="24"/>
                <w:szCs w:val="24"/>
                <w:lang w:val="ro-MD"/>
              </w:rPr>
              <w:t xml:space="preserve"> </w:t>
            </w:r>
            <w:proofErr w:type="spellStart"/>
            <w:r w:rsidR="00B9044D" w:rsidRPr="00367ECE">
              <w:rPr>
                <w:rFonts w:ascii="Times New Roman" w:hAnsi="Times New Roman"/>
                <w:sz w:val="24"/>
                <w:szCs w:val="24"/>
                <w:lang w:val="ro-MD"/>
              </w:rPr>
              <w:t>tehnico</w:t>
            </w:r>
            <w:proofErr w:type="spellEnd"/>
            <w:r w:rsidR="00E532F4" w:rsidRPr="00367ECE">
              <w:rPr>
                <w:rFonts w:ascii="Times New Roman" w:hAnsi="Times New Roman"/>
                <w:sz w:val="24"/>
                <w:szCs w:val="24"/>
                <w:lang w:val="ro-MD"/>
              </w:rPr>
              <w:t>-</w:t>
            </w:r>
            <w:r w:rsidR="00B9044D" w:rsidRPr="00367ECE">
              <w:rPr>
                <w:rFonts w:ascii="Times New Roman" w:hAnsi="Times New Roman"/>
                <w:sz w:val="24"/>
                <w:szCs w:val="24"/>
                <w:lang w:val="ro-MD"/>
              </w:rPr>
              <w:t>materiale, în special dotarea cu echipamente IT etc.</w:t>
            </w:r>
          </w:p>
        </w:tc>
      </w:tr>
      <w:tr w:rsidR="00B9044D" w:rsidRPr="00367ECE" w:rsidTr="006F50E2">
        <w:tc>
          <w:tcPr>
            <w:tcW w:w="5000" w:type="pct"/>
          </w:tcPr>
          <w:p w:rsidR="00B9044D" w:rsidRPr="00367ECE" w:rsidRDefault="00B9044D" w:rsidP="006F50E2">
            <w:pPr>
              <w:tabs>
                <w:tab w:val="left" w:pos="884"/>
                <w:tab w:val="left" w:pos="1196"/>
              </w:tabs>
              <w:rPr>
                <w:rFonts w:ascii="Times New Roman" w:hAnsi="Times New Roman"/>
                <w:sz w:val="24"/>
                <w:szCs w:val="24"/>
                <w:lang w:val="ro-MD"/>
              </w:rPr>
            </w:pPr>
            <w:r w:rsidRPr="00367ECE">
              <w:rPr>
                <w:rFonts w:ascii="Times New Roman" w:hAnsi="Times New Roman"/>
                <w:sz w:val="24"/>
                <w:szCs w:val="24"/>
                <w:lang w:val="ro-MD"/>
              </w:rPr>
              <w:lastRenderedPageBreak/>
              <w:t>5</w:t>
            </w:r>
            <w:r w:rsidRPr="00367ECE">
              <w:rPr>
                <w:rFonts w:ascii="Times New Roman" w:hAnsi="Times New Roman"/>
                <w:b/>
                <w:sz w:val="24"/>
                <w:szCs w:val="24"/>
                <w:lang w:val="ro-MD"/>
              </w:rPr>
              <w:t xml:space="preserve">. Fundamentarea </w:t>
            </w:r>
            <w:proofErr w:type="spellStart"/>
            <w:r w:rsidRPr="00367ECE">
              <w:rPr>
                <w:rFonts w:ascii="Times New Roman" w:hAnsi="Times New Roman"/>
                <w:b/>
                <w:sz w:val="24"/>
                <w:szCs w:val="24"/>
                <w:lang w:val="ro-MD"/>
              </w:rPr>
              <w:t>economico</w:t>
            </w:r>
            <w:proofErr w:type="spellEnd"/>
            <w:r w:rsidRPr="00367ECE">
              <w:rPr>
                <w:rFonts w:ascii="Times New Roman" w:hAnsi="Times New Roman"/>
                <w:b/>
                <w:sz w:val="24"/>
                <w:szCs w:val="24"/>
                <w:lang w:val="ro-MD"/>
              </w:rPr>
              <w:t>-financiară</w:t>
            </w:r>
          </w:p>
        </w:tc>
      </w:tr>
      <w:tr w:rsidR="00B9044D" w:rsidRPr="00367ECE" w:rsidTr="006F50E2">
        <w:tc>
          <w:tcPr>
            <w:tcW w:w="5000" w:type="pct"/>
          </w:tcPr>
          <w:p w:rsidR="00B9044D" w:rsidRPr="00367ECE" w:rsidRDefault="00B9044D" w:rsidP="006F50E2">
            <w:pPr>
              <w:pStyle w:val="NormalWeb"/>
              <w:spacing w:line="276" w:lineRule="auto"/>
              <w:ind w:firstLine="0"/>
              <w:textAlignment w:val="baseline"/>
              <w:rPr>
                <w:lang w:val="ro-MD"/>
              </w:rPr>
            </w:pPr>
            <w:r w:rsidRPr="00367ECE">
              <w:rPr>
                <w:lang w:val="ro-MD"/>
              </w:rPr>
              <w:t>Proiectul se  încadrează în limitele alocațiilor bugetare aprobate în acest scop.</w:t>
            </w:r>
          </w:p>
          <w:p w:rsidR="00B9044D" w:rsidRPr="00367ECE" w:rsidRDefault="00B9044D" w:rsidP="006F50E2">
            <w:pPr>
              <w:pStyle w:val="NormalWeb"/>
              <w:spacing w:line="276" w:lineRule="auto"/>
              <w:ind w:firstLine="0"/>
              <w:textAlignment w:val="baseline"/>
              <w:rPr>
                <w:lang w:val="ro-MD"/>
              </w:rPr>
            </w:pPr>
          </w:p>
        </w:tc>
      </w:tr>
      <w:tr w:rsidR="00B9044D" w:rsidRPr="00367ECE" w:rsidTr="006F50E2">
        <w:tc>
          <w:tcPr>
            <w:tcW w:w="5000" w:type="pct"/>
          </w:tcPr>
          <w:p w:rsidR="00B9044D" w:rsidRPr="00367ECE" w:rsidRDefault="00B9044D" w:rsidP="006F50E2">
            <w:pPr>
              <w:tabs>
                <w:tab w:val="left" w:pos="884"/>
                <w:tab w:val="left" w:pos="1196"/>
              </w:tabs>
              <w:rPr>
                <w:rFonts w:ascii="Times New Roman" w:hAnsi="Times New Roman"/>
                <w:sz w:val="24"/>
                <w:szCs w:val="24"/>
                <w:lang w:val="ro-MD"/>
              </w:rPr>
            </w:pPr>
            <w:r w:rsidRPr="00367ECE">
              <w:rPr>
                <w:rFonts w:ascii="Times New Roman" w:hAnsi="Times New Roman"/>
                <w:sz w:val="24"/>
                <w:szCs w:val="24"/>
                <w:lang w:val="ro-MD"/>
              </w:rPr>
              <w:t>6</w:t>
            </w:r>
            <w:r w:rsidRPr="00367ECE">
              <w:rPr>
                <w:rFonts w:ascii="Times New Roman" w:hAnsi="Times New Roman"/>
                <w:b/>
                <w:sz w:val="24"/>
                <w:szCs w:val="24"/>
                <w:lang w:val="ro-MD"/>
              </w:rPr>
              <w:t>. Modul de încorporare a actului în cadrul normativ în vigoare</w:t>
            </w:r>
          </w:p>
        </w:tc>
      </w:tr>
      <w:tr w:rsidR="00B9044D" w:rsidRPr="00367ECE" w:rsidTr="006F50E2">
        <w:tc>
          <w:tcPr>
            <w:tcW w:w="5000" w:type="pct"/>
          </w:tcPr>
          <w:p w:rsidR="00B9044D" w:rsidRPr="00367ECE" w:rsidRDefault="00B9044D" w:rsidP="006F50E2">
            <w:pPr>
              <w:tabs>
                <w:tab w:val="left" w:pos="884"/>
                <w:tab w:val="left" w:pos="1196"/>
              </w:tabs>
              <w:jc w:val="both"/>
              <w:rPr>
                <w:rFonts w:ascii="Times New Roman" w:hAnsi="Times New Roman"/>
                <w:sz w:val="24"/>
                <w:szCs w:val="24"/>
                <w:lang w:val="ro-MD"/>
              </w:rPr>
            </w:pPr>
            <w:r w:rsidRPr="00367ECE">
              <w:rPr>
                <w:rFonts w:ascii="Times New Roman" w:hAnsi="Times New Roman"/>
                <w:sz w:val="24"/>
                <w:szCs w:val="24"/>
                <w:lang w:val="ro-MD"/>
              </w:rPr>
              <w:t>Proiectul se încorporează în sistemul actelor normative și nu necesita abrogarea unor acte normative. Totodată, a fi  urmează a fi introduse modificări în Hotărârea Guvernului nr.351/2005 cu privire la aprobarea listei bunurilor imobile proprietate publică a statului și la transmiterea unor imobile.</w:t>
            </w:r>
          </w:p>
        </w:tc>
      </w:tr>
      <w:tr w:rsidR="00B9044D" w:rsidRPr="00367ECE" w:rsidTr="006F50E2">
        <w:tc>
          <w:tcPr>
            <w:tcW w:w="5000" w:type="pct"/>
          </w:tcPr>
          <w:p w:rsidR="00B9044D" w:rsidRPr="00367ECE" w:rsidRDefault="00B9044D" w:rsidP="006F50E2">
            <w:pPr>
              <w:tabs>
                <w:tab w:val="left" w:pos="884"/>
                <w:tab w:val="left" w:pos="1196"/>
              </w:tabs>
              <w:rPr>
                <w:rFonts w:ascii="Times New Roman" w:hAnsi="Times New Roman"/>
                <w:sz w:val="24"/>
                <w:szCs w:val="24"/>
                <w:lang w:val="ro-MD"/>
              </w:rPr>
            </w:pPr>
            <w:r w:rsidRPr="00367ECE">
              <w:rPr>
                <w:rFonts w:ascii="Times New Roman" w:hAnsi="Times New Roman"/>
                <w:sz w:val="24"/>
                <w:szCs w:val="24"/>
                <w:lang w:val="ro-MD"/>
              </w:rPr>
              <w:t xml:space="preserve">7. </w:t>
            </w:r>
            <w:r w:rsidRPr="00367ECE">
              <w:rPr>
                <w:rFonts w:ascii="Times New Roman" w:hAnsi="Times New Roman"/>
                <w:b/>
                <w:sz w:val="24"/>
                <w:szCs w:val="24"/>
                <w:lang w:val="ro-MD"/>
              </w:rPr>
              <w:t xml:space="preserve">Avizarea </w:t>
            </w:r>
            <w:proofErr w:type="spellStart"/>
            <w:r w:rsidRPr="00367ECE">
              <w:rPr>
                <w:rFonts w:ascii="Times New Roman" w:hAnsi="Times New Roman"/>
                <w:b/>
                <w:sz w:val="24"/>
                <w:szCs w:val="24"/>
                <w:lang w:val="ro-MD"/>
              </w:rPr>
              <w:t>şi</w:t>
            </w:r>
            <w:proofErr w:type="spellEnd"/>
            <w:r w:rsidRPr="00367ECE">
              <w:rPr>
                <w:rFonts w:ascii="Times New Roman" w:hAnsi="Times New Roman"/>
                <w:b/>
                <w:sz w:val="24"/>
                <w:szCs w:val="24"/>
                <w:lang w:val="ro-MD"/>
              </w:rPr>
              <w:t xml:space="preserve"> consultarea publică a proiectului</w:t>
            </w:r>
          </w:p>
        </w:tc>
      </w:tr>
      <w:tr w:rsidR="00B9044D" w:rsidRPr="00367ECE" w:rsidTr="006F50E2">
        <w:tc>
          <w:tcPr>
            <w:tcW w:w="5000" w:type="pct"/>
          </w:tcPr>
          <w:p w:rsidR="00B9044D" w:rsidRPr="00367ECE" w:rsidRDefault="00B9044D" w:rsidP="006F50E2">
            <w:pPr>
              <w:tabs>
                <w:tab w:val="left" w:pos="884"/>
                <w:tab w:val="left" w:pos="1196"/>
              </w:tabs>
              <w:jc w:val="both"/>
              <w:rPr>
                <w:rFonts w:ascii="Times New Roman" w:hAnsi="Times New Roman"/>
                <w:sz w:val="24"/>
                <w:szCs w:val="24"/>
                <w:lang w:val="ro-MD"/>
              </w:rPr>
            </w:pPr>
            <w:r w:rsidRPr="00367ECE">
              <w:rPr>
                <w:rFonts w:ascii="Times New Roman" w:hAnsi="Times New Roman"/>
                <w:sz w:val="24"/>
                <w:szCs w:val="24"/>
                <w:lang w:val="ro-MD"/>
              </w:rPr>
              <w:t xml:space="preserve">Proiectul este plasat online pentru consultări publice, avizat în conformitate cu </w:t>
            </w:r>
            <w:proofErr w:type="spellStart"/>
            <w:r w:rsidRPr="00367ECE">
              <w:rPr>
                <w:rFonts w:ascii="Times New Roman" w:hAnsi="Times New Roman"/>
                <w:sz w:val="24"/>
                <w:szCs w:val="24"/>
                <w:lang w:val="ro-MD"/>
              </w:rPr>
              <w:t>legislaţia</w:t>
            </w:r>
            <w:proofErr w:type="spellEnd"/>
            <w:r w:rsidRPr="00367ECE">
              <w:rPr>
                <w:rFonts w:ascii="Times New Roman" w:hAnsi="Times New Roman"/>
                <w:sz w:val="24"/>
                <w:szCs w:val="24"/>
                <w:lang w:val="ro-MD"/>
              </w:rPr>
              <w:t xml:space="preserve"> în vigoare.</w:t>
            </w:r>
          </w:p>
          <w:p w:rsidR="00E532F4" w:rsidRPr="00367ECE" w:rsidRDefault="00E532F4" w:rsidP="005D63F8">
            <w:pPr>
              <w:tabs>
                <w:tab w:val="left" w:pos="884"/>
                <w:tab w:val="left" w:pos="1196"/>
              </w:tabs>
              <w:jc w:val="both"/>
              <w:rPr>
                <w:rFonts w:ascii="Times New Roman" w:hAnsi="Times New Roman"/>
                <w:sz w:val="24"/>
                <w:szCs w:val="24"/>
                <w:lang w:val="ro-MD"/>
              </w:rPr>
            </w:pPr>
            <w:r w:rsidRPr="00367ECE">
              <w:rPr>
                <w:rFonts w:ascii="Times New Roman" w:hAnsi="Times New Roman"/>
                <w:sz w:val="24"/>
                <w:szCs w:val="24"/>
                <w:lang w:val="ro-MD"/>
              </w:rPr>
              <w:t xml:space="preserve">Consultări au avut loc într-o reuniune comună cu directorii de institute și rectorii instituțiilor de învățământ superior publice (se anexează proces-verbal), cu grupuri de reprezentanți ai universităților absorbite, cu reprezentanții sindicatele  de ramură, cu grupuri de studenți, esența proiectului prezentată în </w:t>
            </w:r>
            <w:r w:rsidR="005D63F8" w:rsidRPr="00367ECE">
              <w:rPr>
                <w:rFonts w:ascii="Times New Roman" w:hAnsi="Times New Roman"/>
                <w:sz w:val="24"/>
                <w:szCs w:val="24"/>
                <w:lang w:val="ro-MD"/>
              </w:rPr>
              <w:t>3</w:t>
            </w:r>
            <w:r w:rsidRPr="00367ECE">
              <w:rPr>
                <w:rFonts w:ascii="Times New Roman" w:hAnsi="Times New Roman"/>
                <w:sz w:val="24"/>
                <w:szCs w:val="24"/>
                <w:lang w:val="ro-MD"/>
              </w:rPr>
              <w:t xml:space="preserve"> emisiuni televizate și Radio Moldova.</w:t>
            </w:r>
          </w:p>
        </w:tc>
      </w:tr>
      <w:tr w:rsidR="00B9044D" w:rsidRPr="00367ECE" w:rsidTr="006F50E2">
        <w:tc>
          <w:tcPr>
            <w:tcW w:w="5000" w:type="pct"/>
          </w:tcPr>
          <w:p w:rsidR="00B9044D" w:rsidRPr="00367ECE" w:rsidRDefault="00B9044D" w:rsidP="006F50E2">
            <w:pPr>
              <w:tabs>
                <w:tab w:val="left" w:pos="884"/>
                <w:tab w:val="left" w:pos="1196"/>
              </w:tabs>
              <w:rPr>
                <w:rFonts w:ascii="Times New Roman" w:hAnsi="Times New Roman"/>
                <w:sz w:val="24"/>
                <w:szCs w:val="24"/>
                <w:lang w:val="ro-MD"/>
              </w:rPr>
            </w:pPr>
            <w:r w:rsidRPr="00367ECE">
              <w:rPr>
                <w:rFonts w:ascii="Times New Roman" w:hAnsi="Times New Roman"/>
                <w:sz w:val="24"/>
                <w:szCs w:val="24"/>
                <w:lang w:val="ro-MD"/>
              </w:rPr>
              <w:t xml:space="preserve">8. </w:t>
            </w:r>
            <w:r w:rsidRPr="00367ECE">
              <w:rPr>
                <w:rFonts w:ascii="Times New Roman" w:hAnsi="Times New Roman"/>
                <w:b/>
                <w:sz w:val="24"/>
                <w:szCs w:val="24"/>
                <w:lang w:val="ro-MD"/>
              </w:rPr>
              <w:t>Constatările expertizei anticorupție</w:t>
            </w:r>
          </w:p>
        </w:tc>
      </w:tr>
      <w:tr w:rsidR="00B9044D" w:rsidRPr="00367ECE" w:rsidTr="006F50E2">
        <w:tc>
          <w:tcPr>
            <w:tcW w:w="5000" w:type="pct"/>
          </w:tcPr>
          <w:p w:rsidR="00B9044D" w:rsidRPr="00367ECE" w:rsidRDefault="00B9044D" w:rsidP="006F50E2">
            <w:pPr>
              <w:tabs>
                <w:tab w:val="left" w:pos="884"/>
                <w:tab w:val="left" w:pos="1196"/>
              </w:tabs>
              <w:rPr>
                <w:rFonts w:ascii="Times New Roman" w:hAnsi="Times New Roman"/>
                <w:sz w:val="24"/>
                <w:szCs w:val="24"/>
                <w:lang w:val="ro-MD"/>
              </w:rPr>
            </w:pPr>
          </w:p>
        </w:tc>
      </w:tr>
      <w:tr w:rsidR="00B9044D" w:rsidRPr="00367ECE" w:rsidTr="006F50E2">
        <w:tc>
          <w:tcPr>
            <w:tcW w:w="5000" w:type="pct"/>
            <w:tcBorders>
              <w:top w:val="single" w:sz="4" w:space="0" w:color="auto"/>
              <w:left w:val="single" w:sz="4" w:space="0" w:color="auto"/>
              <w:bottom w:val="single" w:sz="4" w:space="0" w:color="auto"/>
              <w:right w:val="single" w:sz="4" w:space="0" w:color="auto"/>
            </w:tcBorders>
            <w:shd w:val="clear" w:color="auto" w:fill="D9E2F3"/>
          </w:tcPr>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 xml:space="preserve">9. </w:t>
            </w:r>
            <w:r w:rsidRPr="00367ECE">
              <w:rPr>
                <w:rFonts w:ascii="Times New Roman" w:hAnsi="Times New Roman"/>
                <w:b/>
                <w:sz w:val="24"/>
                <w:szCs w:val="24"/>
                <w:lang w:val="ro-MD"/>
              </w:rPr>
              <w:t>Constatările expertizei de compatibilitate</w:t>
            </w:r>
          </w:p>
        </w:tc>
      </w:tr>
      <w:tr w:rsidR="00B9044D" w:rsidRPr="00367ECE" w:rsidTr="006F50E2">
        <w:tc>
          <w:tcPr>
            <w:tcW w:w="5000" w:type="pct"/>
            <w:tcBorders>
              <w:top w:val="single" w:sz="4" w:space="0" w:color="auto"/>
              <w:left w:val="single" w:sz="4" w:space="0" w:color="auto"/>
              <w:bottom w:val="single" w:sz="4" w:space="0" w:color="auto"/>
              <w:right w:val="single" w:sz="4" w:space="0" w:color="auto"/>
            </w:tcBorders>
          </w:tcPr>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Nu necesită efectuarea expertizei de compatibilitate, dat fiind faptul că proiectul de hotărâre nu prezintă relevanță UE.</w:t>
            </w:r>
          </w:p>
        </w:tc>
      </w:tr>
      <w:tr w:rsidR="00B9044D" w:rsidRPr="00367ECE" w:rsidTr="006F50E2">
        <w:tc>
          <w:tcPr>
            <w:tcW w:w="5000" w:type="pct"/>
            <w:tcBorders>
              <w:top w:val="single" w:sz="4" w:space="0" w:color="auto"/>
              <w:left w:val="single" w:sz="4" w:space="0" w:color="auto"/>
              <w:bottom w:val="single" w:sz="4" w:space="0" w:color="auto"/>
              <w:right w:val="single" w:sz="4" w:space="0" w:color="auto"/>
            </w:tcBorders>
            <w:shd w:val="clear" w:color="auto" w:fill="D9E2F3"/>
          </w:tcPr>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 xml:space="preserve">10. </w:t>
            </w:r>
            <w:r w:rsidRPr="00367ECE">
              <w:rPr>
                <w:rFonts w:ascii="Times New Roman" w:hAnsi="Times New Roman"/>
                <w:b/>
                <w:sz w:val="24"/>
                <w:szCs w:val="24"/>
                <w:lang w:val="ro-MD"/>
              </w:rPr>
              <w:t>Constatările expertizei juridice</w:t>
            </w:r>
          </w:p>
        </w:tc>
      </w:tr>
      <w:tr w:rsidR="00B9044D" w:rsidRPr="00367ECE" w:rsidTr="006F50E2">
        <w:tc>
          <w:tcPr>
            <w:tcW w:w="5000" w:type="pct"/>
            <w:tcBorders>
              <w:top w:val="single" w:sz="4" w:space="0" w:color="auto"/>
              <w:left w:val="single" w:sz="4" w:space="0" w:color="auto"/>
              <w:bottom w:val="single" w:sz="4" w:space="0" w:color="auto"/>
              <w:right w:val="single" w:sz="4" w:space="0" w:color="auto"/>
            </w:tcBorders>
          </w:tcPr>
          <w:p w:rsidR="00B9044D" w:rsidRPr="00367ECE" w:rsidRDefault="00B9044D" w:rsidP="006F50E2">
            <w:pPr>
              <w:rPr>
                <w:rFonts w:ascii="Times New Roman" w:hAnsi="Times New Roman"/>
                <w:sz w:val="24"/>
                <w:szCs w:val="24"/>
                <w:lang w:val="ro-MD"/>
              </w:rPr>
            </w:pPr>
          </w:p>
        </w:tc>
      </w:tr>
      <w:tr w:rsidR="00B9044D" w:rsidRPr="00367ECE" w:rsidTr="006F50E2">
        <w:tc>
          <w:tcPr>
            <w:tcW w:w="5000" w:type="pct"/>
            <w:tcBorders>
              <w:top w:val="single" w:sz="4" w:space="0" w:color="auto"/>
              <w:left w:val="single" w:sz="4" w:space="0" w:color="auto"/>
              <w:bottom w:val="single" w:sz="4" w:space="0" w:color="auto"/>
              <w:right w:val="single" w:sz="4" w:space="0" w:color="auto"/>
            </w:tcBorders>
            <w:shd w:val="clear" w:color="auto" w:fill="D9E2F3"/>
          </w:tcPr>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lastRenderedPageBreak/>
              <w:t xml:space="preserve">11. </w:t>
            </w:r>
            <w:r w:rsidRPr="00367ECE">
              <w:rPr>
                <w:rFonts w:ascii="Times New Roman" w:hAnsi="Times New Roman"/>
                <w:b/>
                <w:sz w:val="24"/>
                <w:szCs w:val="24"/>
                <w:lang w:val="ro-MD"/>
              </w:rPr>
              <w:t>Constatările altor expertize</w:t>
            </w:r>
          </w:p>
        </w:tc>
      </w:tr>
      <w:tr w:rsidR="00B9044D" w:rsidRPr="00367ECE" w:rsidTr="006F50E2">
        <w:tc>
          <w:tcPr>
            <w:tcW w:w="5000" w:type="pct"/>
            <w:tcBorders>
              <w:top w:val="single" w:sz="4" w:space="0" w:color="auto"/>
              <w:left w:val="single" w:sz="4" w:space="0" w:color="auto"/>
              <w:bottom w:val="single" w:sz="4" w:space="0" w:color="auto"/>
              <w:right w:val="single" w:sz="4" w:space="0" w:color="auto"/>
            </w:tcBorders>
          </w:tcPr>
          <w:p w:rsidR="00B9044D" w:rsidRPr="00367ECE" w:rsidRDefault="00B9044D" w:rsidP="006F50E2">
            <w:pPr>
              <w:rPr>
                <w:rFonts w:ascii="Times New Roman" w:hAnsi="Times New Roman"/>
                <w:sz w:val="24"/>
                <w:szCs w:val="24"/>
                <w:lang w:val="ro-MD"/>
              </w:rPr>
            </w:pPr>
            <w:r w:rsidRPr="00367ECE">
              <w:rPr>
                <w:rFonts w:ascii="Times New Roman" w:hAnsi="Times New Roman"/>
                <w:sz w:val="24"/>
                <w:szCs w:val="24"/>
                <w:lang w:val="ro-MD"/>
              </w:rPr>
              <w:t>Proiectul de hotărâre  nu  necesită  a fi supus  altor expertize.</w:t>
            </w:r>
          </w:p>
        </w:tc>
      </w:tr>
    </w:tbl>
    <w:p w:rsidR="00B9044D" w:rsidRPr="00367ECE" w:rsidRDefault="00B9044D" w:rsidP="00B9044D">
      <w:pPr>
        <w:tabs>
          <w:tab w:val="left" w:pos="884"/>
          <w:tab w:val="left" w:pos="1196"/>
        </w:tabs>
        <w:ind w:firstLine="540"/>
        <w:rPr>
          <w:rFonts w:ascii="Times New Roman" w:hAnsi="Times New Roman"/>
          <w:b/>
          <w:sz w:val="24"/>
          <w:szCs w:val="24"/>
          <w:lang w:val="ro-MD"/>
        </w:rPr>
      </w:pPr>
      <w:r w:rsidRPr="00367ECE">
        <w:rPr>
          <w:rFonts w:ascii="Times New Roman" w:hAnsi="Times New Roman"/>
          <w:b/>
          <w:sz w:val="28"/>
          <w:szCs w:val="28"/>
          <w:lang w:val="ro-MD"/>
        </w:rPr>
        <w:t xml:space="preserve">Ministru                                 Anatolie </w:t>
      </w:r>
      <w:proofErr w:type="spellStart"/>
      <w:r w:rsidRPr="00367ECE">
        <w:rPr>
          <w:rFonts w:ascii="Times New Roman" w:hAnsi="Times New Roman"/>
          <w:b/>
          <w:sz w:val="28"/>
          <w:szCs w:val="28"/>
          <w:lang w:val="ro-MD"/>
        </w:rPr>
        <w:t>Topală</w:t>
      </w:r>
      <w:proofErr w:type="spellEnd"/>
    </w:p>
    <w:p w:rsidR="00E1042E" w:rsidRPr="00367ECE" w:rsidRDefault="00E1042E">
      <w:pPr>
        <w:rPr>
          <w:lang w:val="ro-MD"/>
        </w:rPr>
      </w:pPr>
    </w:p>
    <w:sectPr w:rsidR="00E1042E" w:rsidRPr="00367ECE" w:rsidSect="006B60CC">
      <w:pgSz w:w="11906" w:h="16838"/>
      <w:pgMar w:top="540" w:right="74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5E0B"/>
    <w:multiLevelType w:val="hybridMultilevel"/>
    <w:tmpl w:val="4C84EA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B61ADB"/>
    <w:multiLevelType w:val="hybridMultilevel"/>
    <w:tmpl w:val="E3A48662"/>
    <w:lvl w:ilvl="0" w:tplc="88EE98CA">
      <w:start w:val="4"/>
      <w:numFmt w:val="lowerLetter"/>
      <w:lvlText w:val="%1)"/>
      <w:lvlJc w:val="left"/>
      <w:pPr>
        <w:ind w:left="689" w:hanging="360"/>
      </w:pPr>
      <w:rPr>
        <w:rFonts w:eastAsia="Calibri"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2">
    <w:nsid w:val="333A6745"/>
    <w:multiLevelType w:val="hybridMultilevel"/>
    <w:tmpl w:val="BEECD750"/>
    <w:lvl w:ilvl="0" w:tplc="C0761D42">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6F63D06"/>
    <w:multiLevelType w:val="hybridMultilevel"/>
    <w:tmpl w:val="1C58D47E"/>
    <w:lvl w:ilvl="0" w:tplc="B156B5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3F1764"/>
    <w:multiLevelType w:val="hybridMultilevel"/>
    <w:tmpl w:val="F934D8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C52D77"/>
    <w:multiLevelType w:val="hybridMultilevel"/>
    <w:tmpl w:val="7D466D2E"/>
    <w:lvl w:ilvl="0" w:tplc="10F265DA">
      <w:start w:val="1"/>
      <w:numFmt w:val="decimal"/>
      <w:lvlText w:val="%1."/>
      <w:lvlJc w:val="left"/>
      <w:pPr>
        <w:ind w:left="360" w:hanging="360"/>
      </w:pPr>
      <w:rPr>
        <w:rFonts w:hint="default"/>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D123FE3"/>
    <w:multiLevelType w:val="hybridMultilevel"/>
    <w:tmpl w:val="1C58D47E"/>
    <w:lvl w:ilvl="0" w:tplc="B156B5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7137D6"/>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73875204"/>
    <w:multiLevelType w:val="hybridMultilevel"/>
    <w:tmpl w:val="2660A6C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501"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F021B8"/>
    <w:multiLevelType w:val="hybridMultilevel"/>
    <w:tmpl w:val="1C58D47E"/>
    <w:lvl w:ilvl="0" w:tplc="B156B5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10"/>
  </w:num>
  <w:num w:numId="4">
    <w:abstractNumId w:val="5"/>
  </w:num>
  <w:num w:numId="5">
    <w:abstractNumId w:val="2"/>
  </w:num>
  <w:num w:numId="6">
    <w:abstractNumId w:val="6"/>
  </w:num>
  <w:num w:numId="7">
    <w:abstractNumId w:val="0"/>
  </w:num>
  <w:num w:numId="8">
    <w:abstractNumId w:val="9"/>
  </w:num>
  <w:num w:numId="9">
    <w:abstractNumId w:val="1"/>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4D"/>
    <w:rsid w:val="00193A4E"/>
    <w:rsid w:val="00367ECE"/>
    <w:rsid w:val="00547DCE"/>
    <w:rsid w:val="005D63F8"/>
    <w:rsid w:val="006239A6"/>
    <w:rsid w:val="006552FB"/>
    <w:rsid w:val="00945B1D"/>
    <w:rsid w:val="00A837D4"/>
    <w:rsid w:val="00AF6A75"/>
    <w:rsid w:val="00B9044D"/>
    <w:rsid w:val="00E1042E"/>
    <w:rsid w:val="00E207E1"/>
    <w:rsid w:val="00E532F4"/>
    <w:rsid w:val="00F43D42"/>
    <w:rsid w:val="00F67A88"/>
    <w:rsid w:val="00F71E19"/>
    <w:rsid w:val="00FB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8B262-479F-47C9-B379-D96B3937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44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9044D"/>
    <w:pPr>
      <w:ind w:left="720"/>
      <w:contextualSpacing/>
    </w:pPr>
  </w:style>
  <w:style w:type="paragraph" w:styleId="NormalWeb">
    <w:name w:val="Normal (Web)"/>
    <w:basedOn w:val="Normal"/>
    <w:uiPriority w:val="99"/>
    <w:rsid w:val="00B9044D"/>
    <w:pPr>
      <w:spacing w:after="0" w:line="240" w:lineRule="auto"/>
      <w:ind w:firstLine="567"/>
      <w:jc w:val="both"/>
    </w:pPr>
    <w:rPr>
      <w:rFonts w:ascii="Times New Roman" w:eastAsia="Times New Roman" w:hAnsi="Times New Roman"/>
      <w:sz w:val="24"/>
      <w:szCs w:val="24"/>
      <w:lang w:val="ru-RU" w:eastAsia="ru-RU"/>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B9044D"/>
    <w:rPr>
      <w:rFonts w:ascii="Calibri" w:eastAsia="Calibri" w:hAnsi="Calibri" w:cs="Times New Roman"/>
      <w:lang w:val="ro-RO"/>
    </w:rPr>
  </w:style>
  <w:style w:type="character" w:styleId="Hyperlink">
    <w:name w:val="Hyperlink"/>
    <w:uiPriority w:val="99"/>
    <w:unhideWhenUsed/>
    <w:rsid w:val="00B9044D"/>
    <w:rPr>
      <w:color w:val="0000FF"/>
      <w:u w:val="single"/>
    </w:rPr>
  </w:style>
  <w:style w:type="paragraph" w:styleId="BalloonText">
    <w:name w:val="Balloon Text"/>
    <w:basedOn w:val="Normal"/>
    <w:link w:val="BalloonTextChar"/>
    <w:uiPriority w:val="99"/>
    <w:semiHidden/>
    <w:unhideWhenUsed/>
    <w:rsid w:val="005D6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3F8"/>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forum.org/reports/global-competitiveness-report-201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cc.gov.md/sites/default/files/conducer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36AEF-E91B-4E22-901E-77F32726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Usaci Doina</cp:lastModifiedBy>
  <cp:revision>3</cp:revision>
  <cp:lastPrinted>2022-06-29T17:50:00Z</cp:lastPrinted>
  <dcterms:created xsi:type="dcterms:W3CDTF">2022-06-30T06:23:00Z</dcterms:created>
  <dcterms:modified xsi:type="dcterms:W3CDTF">2022-06-30T09:51:00Z</dcterms:modified>
</cp:coreProperties>
</file>