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4C27C" w14:textId="77777777" w:rsidR="005A6977" w:rsidRPr="0003155F" w:rsidRDefault="005A6977" w:rsidP="00993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14:paraId="2C05F6AD" w14:textId="19AED880" w:rsidR="005A6977" w:rsidRPr="0003155F" w:rsidRDefault="005A6977" w:rsidP="005A69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r w:rsidR="00000D0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proiectul h</w:t>
      </w:r>
      <w:r w:rsidR="00FC3B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otărâ</w:t>
      </w:r>
      <w:r w:rsidR="009834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rii de Guvern</w:t>
      </w:r>
      <w:r w:rsidR="001622D3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386FE5FB" w14:textId="6071F557" w:rsidR="00277CDC" w:rsidRDefault="00C95833" w:rsidP="00C95833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</w:pPr>
      <w:r w:rsidRPr="00C9583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c</w:t>
      </w:r>
      <w:r w:rsidRPr="00C95833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 xml:space="preserve">u privire </w:t>
      </w:r>
      <w:r w:rsidR="00B13853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 xml:space="preserve">la </w:t>
      </w:r>
      <w:r w:rsidR="00277CDC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>aprobarea Programului Național privind învățarea limbii române de către minoritățile naționale, inclusiv populația adultă (2022-2025)</w:t>
      </w:r>
    </w:p>
    <w:p w14:paraId="3D8C074C" w14:textId="77777777" w:rsidR="00277CDC" w:rsidRPr="00277CDC" w:rsidRDefault="00277CDC" w:rsidP="00C95833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3155F" w:rsidRPr="0003155F" w14:paraId="0B5870CB" w14:textId="77777777" w:rsidTr="0099364C">
        <w:trPr>
          <w:trHeight w:val="620"/>
        </w:trPr>
        <w:tc>
          <w:tcPr>
            <w:tcW w:w="9747" w:type="dxa"/>
            <w:shd w:val="clear" w:color="auto" w:fill="DBDBDB" w:themeFill="accent3" w:themeFillTint="66"/>
          </w:tcPr>
          <w:p w14:paraId="462EC56B" w14:textId="5C7CAE03" w:rsidR="005A6977" w:rsidRPr="0003155F" w:rsidRDefault="00B13853" w:rsidP="009F5F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Autorul și, după caz, participanții</w:t>
            </w:r>
            <w:r w:rsidR="005A6977"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la elaborarea proiectului</w:t>
            </w:r>
          </w:p>
        </w:tc>
      </w:tr>
      <w:tr w:rsidR="0003155F" w:rsidRPr="0003155F" w14:paraId="21C4A30A" w14:textId="77777777" w:rsidTr="0099364C">
        <w:tc>
          <w:tcPr>
            <w:tcW w:w="9747" w:type="dxa"/>
          </w:tcPr>
          <w:p w14:paraId="3A3DE76E" w14:textId="3EC4F892" w:rsidR="00005ABD" w:rsidRDefault="00C95833" w:rsidP="00616B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B1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Hotărâ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 Guvernului</w:t>
            </w:r>
            <w:r w:rsidR="00A8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Republicii Moldova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77CDC" w:rsidRPr="002712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c</w:t>
            </w:r>
            <w:r w:rsidR="00277CDC"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u privire la aprobarea Programului Național privind învățarea limbii române de către minoritățile naționale, inclusiv populația adultă (2022-2025)</w:t>
            </w:r>
            <w:r w:rsidR="0027126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val="ro-RO"/>
              </w:rPr>
              <w:t xml:space="preserve"> </w:t>
            </w:r>
            <w:r w:rsidR="005A697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FD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ucației</w:t>
            </w:r>
            <w:r w:rsidR="004C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Cercetării.</w:t>
            </w:r>
          </w:p>
          <w:p w14:paraId="5AEBC3D5" w14:textId="19AE06D6" w:rsidR="00157FE5" w:rsidRPr="00271264" w:rsidRDefault="00157FE5" w:rsidP="00616B3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val="ro-RO"/>
              </w:rPr>
            </w:pPr>
          </w:p>
        </w:tc>
      </w:tr>
      <w:tr w:rsidR="0003155F" w:rsidRPr="0003155F" w14:paraId="595830E4" w14:textId="77777777" w:rsidTr="000A2453">
        <w:trPr>
          <w:trHeight w:val="429"/>
        </w:trPr>
        <w:tc>
          <w:tcPr>
            <w:tcW w:w="9747" w:type="dxa"/>
            <w:shd w:val="clear" w:color="auto" w:fill="DBDBDB" w:themeFill="accent3" w:themeFillTint="66"/>
          </w:tcPr>
          <w:p w14:paraId="0FAF7640" w14:textId="568BD863" w:rsidR="005A6977" w:rsidRPr="0003155F" w:rsidRDefault="00A825CB" w:rsidP="009F5F8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care au determinat</w:t>
            </w:r>
            <w:r w:rsidR="005A6977"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elaborarea proiectului de act normativ și finalitățile urmărite</w:t>
            </w:r>
          </w:p>
        </w:tc>
      </w:tr>
      <w:tr w:rsidR="0003155F" w:rsidRPr="00277CDC" w14:paraId="7F698B47" w14:textId="77777777" w:rsidTr="0099364C">
        <w:tc>
          <w:tcPr>
            <w:tcW w:w="9747" w:type="dxa"/>
          </w:tcPr>
          <w:p w14:paraId="6C831FFC" w14:textId="24234236" w:rsidR="00687976" w:rsidRDefault="00025894" w:rsidP="00616B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</w:t>
            </w:r>
            <w:r w:rsidR="00687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baza elaborării p</w:t>
            </w:r>
            <w:r w:rsidR="005A697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roiectul H</w:t>
            </w:r>
            <w:r w:rsidR="00FC3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otărâ</w:t>
            </w:r>
            <w:r w:rsidR="005A697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rii Guvernului </w:t>
            </w:r>
            <w:r w:rsidR="00271264" w:rsidRPr="002712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c</w:t>
            </w:r>
            <w:r w:rsidR="00271264"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u privire la aprobarea Programului Național privind învățarea limbii române de către minoritățile naționale, inclusiv populația adultă (2022-2025)</w:t>
            </w:r>
            <w:r w:rsidR="00687976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 xml:space="preserve"> </w:t>
            </w:r>
            <w:r w:rsidR="00687976">
              <w:rPr>
                <w:rFonts w:ascii="Times New Roman" w:eastAsia="Calibri" w:hAnsi="Times New Roman" w:cs="Times New Roman"/>
                <w:color w:val="000000"/>
                <w:sz w:val="24"/>
                <w:lang w:val="ro-RO"/>
              </w:rPr>
              <w:t xml:space="preserve">au stat un șir de factori: </w:t>
            </w:r>
            <w:r w:rsidR="00687976" w:rsidRP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discrepanța între așteptările societății și </w:t>
            </w:r>
            <w:r w:rsid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calitatea educației lingvistice,</w:t>
            </w:r>
            <w:r w:rsidR="00687976" w:rsidRP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între politica lingvistică de stat, protecția și predarea limbii oficiale a statului și creșterea rolului limb</w:t>
            </w:r>
            <w:r w:rsid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 române în economia națională,</w:t>
            </w:r>
            <w:r w:rsidR="00687976" w:rsidRP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între modul cum percep individul și societatea limba ca o </w:t>
            </w:r>
            <w:r w:rsid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valoare națională, inclusiv </w:t>
            </w:r>
            <w:r w:rsidR="00687976" w:rsidRPr="0068797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discrepanța între procesele de globalizare, internaționalizare, digitalizare a educației și prioritățile sistemului educațional din R. Moldova.</w:t>
            </w:r>
          </w:p>
          <w:p w14:paraId="6DB5EA2F" w14:textId="2BEE3F3C" w:rsidR="00616B3F" w:rsidRDefault="0094794C" w:rsidP="00616B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E10FD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Viziunea generală</w:t>
            </w:r>
            <w:bookmarkStart w:id="0" w:name="_GoBack"/>
            <w:bookmarkEnd w:id="0"/>
            <w:r w:rsidR="00616B3F" w:rsidRP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al Program</w:t>
            </w:r>
            <w:r w:rsid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ului</w:t>
            </w:r>
            <w:r w:rsidR="00616B3F" w:rsidRP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constă în realizarea unui scop tridimensional</w:t>
            </w:r>
            <w:r w:rsid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 a)</w:t>
            </w:r>
            <w:r w:rsidR="00616B3F" w:rsidRP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asigurarea sustenabilității limbii române și utilizarea acesteia în toate domeniile de activitate ale societății, </w:t>
            </w:r>
            <w:r w:rsid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="00616B3F" w:rsidRP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promovarea și dezvoltarea resur</w:t>
            </w:r>
            <w:r w:rsid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selor lingvistice digitalizate și c) </w:t>
            </w:r>
            <w:r w:rsidR="00616B3F" w:rsidRP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sporirea responsabilității individuale pentru cunoașterea și utilizarea limbii oficiale a statului</w:t>
            </w:r>
            <w:r w:rsidR="00616B3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14:paraId="0DE8029E" w14:textId="51E1482B" w:rsidR="0094794C" w:rsidRPr="0094794C" w:rsidRDefault="0094794C" w:rsidP="00616B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Implementarea </w:t>
            </w:r>
            <w:r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Programului Național privind învățarea limbii române de către minoritățile naționale, inclusiv populația adultă (2022-2025)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o-RO"/>
              </w:rPr>
              <w:t>va avea un șir de finalități:</w:t>
            </w:r>
          </w:p>
          <w:p w14:paraId="3A200008" w14:textId="7137C221" w:rsidR="0094794C" w:rsidRPr="008301CE" w:rsidRDefault="0094794C" w:rsidP="00A825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301C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de condiții necesare pentru toate categoriile de elevi/studenți/adulți, care să conducă la rezultate relevante și eficiente ale învățării limbii române de către minoritățile naționale;</w:t>
            </w:r>
          </w:p>
          <w:p w14:paraId="78ADF6A3" w14:textId="77777777" w:rsidR="0094794C" w:rsidRPr="0094794C" w:rsidRDefault="0094794C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4794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creșterea substanțiala a numărului de tineri și adulți care au achiziționat competențe lingvistice în limba română relevante pentru angajare în câmpul muncii;</w:t>
            </w:r>
          </w:p>
          <w:p w14:paraId="37307BEA" w14:textId="77777777" w:rsidR="00A825CB" w:rsidRPr="008255E5" w:rsidRDefault="00A825CB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accesul egal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persoanelor </w:t>
            </w:r>
            <w:proofErr w:type="spellStart"/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alolingve</w:t>
            </w:r>
            <w:proofErr w:type="spellEnd"/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toate nivelurile de învățământ și formare profesională;</w:t>
            </w:r>
          </w:p>
          <w:p w14:paraId="6FEBEA14" w14:textId="77777777" w:rsidR="00A825CB" w:rsidRPr="008255E5" w:rsidRDefault="00A825CB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sporirea calității sistemului de formare inițială și continuă a cadrelor didactice, creșterea atractivității carierei didactice și a autorității cadrului didactic, fapt care va contribui la asigurarea sistemului de învățământ cu numărul necesar de cadre didactice și de alți specialiști de calitate prin restructurarea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sistemului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formare profesională inițială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continu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87FF1F5" w14:textId="77777777" w:rsidR="00A825CB" w:rsidRPr="008255E5" w:rsidRDefault="00A825CB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unui sistem sinergic de integrare a noilor tehnologii informaționale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comunicație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cele didactice, fapt care va asigura un nivel înalt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învățare a  limbii române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F722509" w14:textId="77777777" w:rsidR="00A825CB" w:rsidRPr="008255E5" w:rsidRDefault="00A825CB" w:rsidP="00A825C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conexiunea și interconexiunea cu piața muncii și comunitatea, ca o condiție de eficientizare a politicii lingvistice;</w:t>
            </w:r>
          </w:p>
          <w:p w14:paraId="0903ACBB" w14:textId="77777777" w:rsidR="00A825CB" w:rsidRPr="008255E5" w:rsidRDefault="00A825CB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unui 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favorabil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învățare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limbii române, care va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asigura dezvoltarea competențelor de comunicare în limba oficială a statului ale celor ce învață, în raport cu potențialul, oportunitățile și interesele proprii;</w:t>
            </w:r>
          </w:p>
          <w:p w14:paraId="641FE0B3" w14:textId="77777777" w:rsidR="0094794C" w:rsidRPr="0094794C" w:rsidRDefault="0094794C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4794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constituirea și dezvoltarea unui demers de educație </w:t>
            </w:r>
            <w:proofErr w:type="spellStart"/>
            <w:r w:rsidRPr="0094794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nonformală</w:t>
            </w:r>
            <w:proofErr w:type="spellEnd"/>
            <w:r w:rsidRPr="0094794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 copiilor, elevilor, tinerilor și a adulților ca o formă de realizare a educației pe parcursul întregii vieți;</w:t>
            </w:r>
          </w:p>
          <w:p w14:paraId="20646407" w14:textId="77777777" w:rsidR="00A825CB" w:rsidRPr="008255E5" w:rsidRDefault="00A825CB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coeziunea și protecția socială în promovarea unei educații lingvistice de calitate și responsabilizarea societății, comunității, familiei privind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necesitatea 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limbii oficiale a statului;</w:t>
            </w:r>
          </w:p>
          <w:p w14:paraId="4EFDF33F" w14:textId="4699ABBF" w:rsidR="004C20E6" w:rsidRPr="00D72373" w:rsidRDefault="0094794C" w:rsidP="00A825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794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promovarea unei politici echilibrate de educație bilingvă/multilingvă și crearea de condiții de integrare a minorităților conlocuito</w:t>
            </w:r>
            <w:r w:rsidR="00157FE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are în societatea moldovenească</w:t>
            </w:r>
            <w:r w:rsidR="00F561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C3373" w:rsidRPr="00FC3373" w14:paraId="0609F367" w14:textId="77777777" w:rsidTr="00FC3373">
        <w:tc>
          <w:tcPr>
            <w:tcW w:w="9747" w:type="dxa"/>
            <w:shd w:val="clear" w:color="auto" w:fill="E7E6E6" w:themeFill="background2"/>
          </w:tcPr>
          <w:p w14:paraId="4656ABCF" w14:textId="0D6FE9AD" w:rsidR="00FC3373" w:rsidRPr="00AD2C2A" w:rsidRDefault="00AD2C2A" w:rsidP="00AD2C2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Descrierea gradului de compatibilitate pentru proiectele care au ca scop armonizarea legislației naționale cu legislația Uniunii Europene</w:t>
            </w:r>
          </w:p>
        </w:tc>
      </w:tr>
      <w:tr w:rsidR="00FC3373" w:rsidRPr="00FC3373" w14:paraId="48C08501" w14:textId="77777777" w:rsidTr="0099364C">
        <w:tc>
          <w:tcPr>
            <w:tcW w:w="9747" w:type="dxa"/>
          </w:tcPr>
          <w:p w14:paraId="307DE668" w14:textId="77777777" w:rsidR="00FC3373" w:rsidRDefault="000D05CA" w:rsidP="001727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Proiectul nu conține norme de armonizare a legislației naționale cu legislația Uniunii Europene.</w:t>
            </w:r>
          </w:p>
          <w:p w14:paraId="04A1A841" w14:textId="3E78B5DF" w:rsidR="00157FE5" w:rsidRPr="0003155F" w:rsidRDefault="00157FE5" w:rsidP="001727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3155F" w:rsidRPr="0003155F" w14:paraId="206CB751" w14:textId="77777777" w:rsidTr="0099364C">
        <w:tc>
          <w:tcPr>
            <w:tcW w:w="9747" w:type="dxa"/>
            <w:shd w:val="clear" w:color="auto" w:fill="DBDBDB" w:themeFill="accent3" w:themeFillTint="66"/>
          </w:tcPr>
          <w:p w14:paraId="0F11295E" w14:textId="77777777" w:rsidR="005A6977" w:rsidRPr="0003155F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  <w:r w:rsidR="008D75E6"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3155F" w:rsidRPr="00A825CB" w14:paraId="4D2DFC3F" w14:textId="77777777" w:rsidTr="0099364C">
        <w:tc>
          <w:tcPr>
            <w:tcW w:w="9747" w:type="dxa"/>
          </w:tcPr>
          <w:p w14:paraId="383141A2" w14:textId="34BA4465" w:rsidR="00A76841" w:rsidRDefault="004B51E3" w:rsidP="009031F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</w:t>
            </w:r>
            <w:r w:rsidR="00BB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Principalele prevederi ale proiectului</w:t>
            </w:r>
            <w:r w:rsidR="00A76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76841" w:rsidRPr="0066722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Hotărârii Guvernului</w:t>
            </w:r>
            <w:r w:rsidR="00A76841" w:rsidRPr="00667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A76841" w:rsidRPr="003B531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cu privire la</w:t>
            </w:r>
            <w:r w:rsidR="00A768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3B5318"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aprobarea Programului Național privind învățarea limbii române de către minoritățile naționale, inclusiv populația adultă (2022-2025)</w:t>
            </w:r>
            <w:r w:rsidR="003B531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val="ro-RO"/>
              </w:rPr>
              <w:t xml:space="preserve"> </w:t>
            </w:r>
            <w:r w:rsidR="003B5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D54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vizează</w:t>
            </w:r>
            <w:r w:rsidR="00A768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  <w:p w14:paraId="580084A9" w14:textId="66E5741C" w:rsidR="004D6551" w:rsidRDefault="00AA203B" w:rsidP="00903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="009110B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</w:t>
            </w:r>
            <w:r w:rsidRPr="00AA203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naliza problematizată a situației în sectorul educației lingvistice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14:paraId="0C653C30" w14:textId="41FC9D5E" w:rsidR="004B7E46" w:rsidRDefault="004B7E46" w:rsidP="00903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scopul Programului;</w:t>
            </w:r>
          </w:p>
          <w:p w14:paraId="77245617" w14:textId="195810A0" w:rsidR="009110B1" w:rsidRDefault="009110B1" w:rsidP="00903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obiectivele generale și specifice ale Programului;</w:t>
            </w:r>
          </w:p>
          <w:p w14:paraId="194CDCAB" w14:textId="791858CE" w:rsidR="00802E68" w:rsidRDefault="004B7E46" w:rsidP="00903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802E6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impactul Programului în urma realizării </w:t>
            </w:r>
            <w:r w:rsidR="00802E68" w:rsidRPr="00802E6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o-RO"/>
              </w:rPr>
              <w:t>obiectivelor specifice și a direcțiilor de acțiune stabilite</w:t>
            </w:r>
            <w:r w:rsidR="00802E6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14:paraId="3613DC22" w14:textId="065518E2" w:rsidR="00802E68" w:rsidRDefault="00802E68" w:rsidP="00903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- </w:t>
            </w:r>
            <w:r w:rsidR="00723E6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</w:t>
            </w:r>
            <w:r w:rsidR="00723E65" w:rsidRPr="00723E6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inanțarea acț</w:t>
            </w:r>
            <w:r w:rsidR="00723E6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iunilor prevăzute în Program;</w:t>
            </w:r>
          </w:p>
          <w:p w14:paraId="213CEB7D" w14:textId="1E1E6208" w:rsidR="009B2AA3" w:rsidRDefault="002B374F" w:rsidP="00903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9B2AA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="009B2AA3" w:rsidRPr="009B2AA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iscurile în implementarea Programului</w:t>
            </w:r>
            <w:r w:rsidR="009B2AA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și prevenirea acestora;</w:t>
            </w:r>
          </w:p>
          <w:p w14:paraId="0EA396DE" w14:textId="32002C77" w:rsidR="009B2AA3" w:rsidRDefault="009B2AA3" w:rsidP="00903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responsabilitatea </w:t>
            </w:r>
            <w:r w:rsidRPr="009B2AA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pentru implementarea Programului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14:paraId="4BB6A693" w14:textId="4640C739" w:rsidR="009B2AA3" w:rsidRDefault="009B2AA3" w:rsidP="00903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9031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procedura de raportare pe marginea implementării Programului;</w:t>
            </w:r>
          </w:p>
          <w:p w14:paraId="3E279E76" w14:textId="3441C076" w:rsidR="009031FD" w:rsidRPr="009B2AA3" w:rsidRDefault="00A825CB" w:rsidP="009031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Planul de acțiuni pentru implementarea </w:t>
            </w:r>
            <w:r w:rsidR="009031FD"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Programului Național privind învățarea limbii române de către minoritățile naționale, inclusiv populația adultă (2022-2025)</w:t>
            </w:r>
            <w:r w:rsidR="009031F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val="ro-RO"/>
              </w:rPr>
              <w:t xml:space="preserve"> </w:t>
            </w:r>
            <w:r w:rsidR="009031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8FCEF62" w14:textId="2C279AB0" w:rsidR="00005ABD" w:rsidRDefault="009031FD" w:rsidP="001A43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Ca element</w:t>
            </w:r>
            <w:r w:rsidR="00795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de noutate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A8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raport cu</w:t>
            </w:r>
            <w:r w:rsidR="00F01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Programul anterior</w:t>
            </w:r>
            <w:r w:rsidR="00BF1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F1D7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Programul</w:t>
            </w:r>
            <w:r w:rsidR="00E65867" w:rsidRPr="008255E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național pentru îmbunătățirea calității învățării limbii române în instituțiile de învățământ general cu instruire în limbile minorităților naționale (2016-2020)</w:t>
            </w:r>
            <w:r w:rsidR="00E65867" w:rsidRPr="00825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aprobat prin HG nr.904/2015</w:t>
            </w:r>
            <w:r w:rsidR="00BF1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este </w:t>
            </w:r>
            <w:r w:rsidR="00F01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menționat</w:t>
            </w:r>
            <w:r w:rsidR="00F01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faptul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că, în proiectul </w:t>
            </w:r>
            <w:r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Programului Național privind învățarea limbii române de către minoritățile naționale, inclusiv populația adultă (2022-2025)</w:t>
            </w:r>
            <w:r w:rsidR="00F01001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 xml:space="preserve">, </w:t>
            </w:r>
            <w:r w:rsidR="00F01001" w:rsidRPr="00F01001">
              <w:rPr>
                <w:rFonts w:ascii="Times New Roman" w:eastAsia="Calibri" w:hAnsi="Times New Roman" w:cs="Times New Roman"/>
                <w:color w:val="000000"/>
                <w:sz w:val="24"/>
                <w:lang w:val="ro-RO"/>
              </w:rPr>
              <w:t>sunt</w:t>
            </w:r>
            <w:r w:rsidR="00F010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prevăzute</w:t>
            </w:r>
            <w:r w:rsidR="00900A87" w:rsidRPr="00F010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9555E" w:rsidRPr="00F010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instruirea populației adulte, în vederea îmbunătățirii competențelor lingvistice în limb</w:t>
            </w:r>
            <w:r w:rsidR="007955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 română, implementarea învățământului multilingv</w:t>
            </w:r>
            <w:r w:rsidR="001A4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="001A43A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evaluarea și certificarea nivelului de  </w:t>
            </w:r>
            <w:r w:rsidR="001A43A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competențe</w:t>
            </w:r>
            <w:r w:rsidR="001A43AC" w:rsidRPr="008255E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lingvistice de cunoaștere a limbii române</w:t>
            </w:r>
            <w:r w:rsidR="001A43A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10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 către</w:t>
            </w:r>
            <w:r w:rsidR="001A43AC" w:rsidRPr="008255E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populația adultă</w:t>
            </w:r>
            <w:r w:rsidR="001A43A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10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din rândul</w:t>
            </w:r>
            <w:r w:rsidR="001A43A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minorităților naționale</w:t>
            </w:r>
            <w:r w:rsidR="00F010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  <w:r w:rsidR="001A43A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conformitate cu </w:t>
            </w:r>
            <w:r w:rsidR="001A43AC" w:rsidRPr="008255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Cadrul European Comun de Referință pentru Limbi</w:t>
            </w:r>
            <w:r w:rsidR="001A43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95DC3D0" w14:textId="3334C93C" w:rsidR="00157FE5" w:rsidRPr="0003155F" w:rsidRDefault="00157FE5" w:rsidP="001A43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3155F" w:rsidRPr="0003155F" w14:paraId="514D7047" w14:textId="77777777" w:rsidTr="0099364C">
        <w:tc>
          <w:tcPr>
            <w:tcW w:w="9747" w:type="dxa"/>
            <w:shd w:val="clear" w:color="auto" w:fill="DBDBDB" w:themeFill="accent3" w:themeFillTint="66"/>
          </w:tcPr>
          <w:p w14:paraId="7832D620" w14:textId="77777777" w:rsidR="005A6977" w:rsidRPr="0003155F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economico</w:t>
            </w:r>
            <w:proofErr w:type="spellEnd"/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-financiară</w:t>
            </w:r>
          </w:p>
        </w:tc>
      </w:tr>
      <w:tr w:rsidR="0003155F" w:rsidRPr="0003155F" w14:paraId="7FDDFB59" w14:textId="77777777" w:rsidTr="0099364C">
        <w:trPr>
          <w:trHeight w:val="483"/>
        </w:trPr>
        <w:tc>
          <w:tcPr>
            <w:tcW w:w="9747" w:type="dxa"/>
          </w:tcPr>
          <w:p w14:paraId="55A65A39" w14:textId="7AA70657" w:rsidR="00765E7E" w:rsidRPr="00765E7E" w:rsidRDefault="005215D7" w:rsidP="005215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65E7E" w:rsidRP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Finanțarea acț</w:t>
            </w:r>
            <w:r w:rsid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iunilor prevăzute în </w:t>
            </w:r>
            <w:r w:rsidR="00765E7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Programul</w:t>
            </w:r>
            <w:r w:rsidR="00765E7E" w:rsidRPr="00271264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 xml:space="preserve"> Național privind învățarea limbii române de către minoritățile naționale, inclu</w:t>
            </w:r>
            <w:r w:rsidR="00F01001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o-RO"/>
              </w:rPr>
              <w:t>siv populația adultă (2022-2025),</w:t>
            </w:r>
            <w:r w:rsidR="00765E7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val="ro-RO"/>
              </w:rPr>
              <w:t xml:space="preserve"> </w:t>
            </w:r>
            <w:r w:rsidR="00765E7E" w:rsidRP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va efectua pe principii de sinergie și complementaritate, din contul și în limitele mijloacelor aprobate anual în bugetul public național și a</w:t>
            </w:r>
            <w:r w:rsidR="00F010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 celor obținute</w:t>
            </w:r>
            <w:r w:rsidR="00765E7E" w:rsidRP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inclusiv de la partenerii de dezvoltare, ș.a. Estimarea generală a costurilor 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entru implementarea </w:t>
            </w:r>
            <w:r w:rsidR="00765E7E" w:rsidRP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ului</w:t>
            </w:r>
            <w:r w:rsidR="00765E7E" w:rsidRPr="00765E7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este efectuată în baza priorităților strategice și a acțiunilor identificate și formulate în Planul de acțiuni. </w:t>
            </w:r>
          </w:p>
          <w:p w14:paraId="4A786701" w14:textId="6862848A" w:rsidR="00801D21" w:rsidRDefault="005215D7" w:rsidP="00F61A4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5215D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Costul total al </w:t>
            </w:r>
            <w:r w:rsidRPr="005215D7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Programului </w:t>
            </w:r>
            <w:r w:rsidRPr="005215D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pentru perioada 2022-2025 este de </w:t>
            </w:r>
            <w:r w:rsidR="005A1B3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….</w:t>
            </w:r>
            <w:r w:rsidR="00F61A4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mil. </w:t>
            </w:r>
            <w:r w:rsidRPr="005215D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lei, de la bugetul de stat</w:t>
            </w:r>
            <w:r w:rsidR="00F61A4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5215D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2D927F1" w14:textId="5E1C499E" w:rsidR="00157FE5" w:rsidRPr="00433BCF" w:rsidRDefault="00157FE5" w:rsidP="00F61A49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55F" w:rsidRPr="0003155F" w14:paraId="69EFE06D" w14:textId="77777777" w:rsidTr="0099364C">
        <w:trPr>
          <w:trHeight w:val="345"/>
        </w:trPr>
        <w:tc>
          <w:tcPr>
            <w:tcW w:w="9747" w:type="dxa"/>
            <w:shd w:val="clear" w:color="auto" w:fill="DBDBDB" w:themeFill="accent3" w:themeFillTint="66"/>
          </w:tcPr>
          <w:p w14:paraId="02008B62" w14:textId="77777777" w:rsidR="005A6977" w:rsidRPr="0003155F" w:rsidRDefault="005A6977" w:rsidP="004726B7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  <w:r w:rsidR="008D75E6"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3155F" w:rsidRPr="0003155F" w14:paraId="33F4CFFD" w14:textId="77777777" w:rsidTr="0099364C">
        <w:tc>
          <w:tcPr>
            <w:tcW w:w="9747" w:type="dxa"/>
          </w:tcPr>
          <w:p w14:paraId="08147A7E" w14:textId="77777777" w:rsidR="00DC1184" w:rsidRDefault="00CF35CE" w:rsidP="00157FE5">
            <w:pPr>
              <w:ind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implementarea prezentului proiect nu va fi necesară modificarea altor</w:t>
            </w:r>
            <w:r w:rsidR="00F22B3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acte normative.</w:t>
            </w:r>
          </w:p>
          <w:p w14:paraId="3281ADC9" w14:textId="57F5B15D" w:rsidR="00157FE5" w:rsidRPr="0003155F" w:rsidRDefault="00157FE5" w:rsidP="00157F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3155F" w:rsidRPr="0003155F" w14:paraId="7A406757" w14:textId="77777777" w:rsidTr="0099364C">
        <w:tc>
          <w:tcPr>
            <w:tcW w:w="9747" w:type="dxa"/>
            <w:shd w:val="clear" w:color="auto" w:fill="DBDBDB" w:themeFill="accent3" w:themeFillTint="66"/>
          </w:tcPr>
          <w:p w14:paraId="51DBD9D3" w14:textId="77777777" w:rsidR="005A6977" w:rsidRPr="0003155F" w:rsidRDefault="005A6977" w:rsidP="004726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consultarea publică a proiectului</w:t>
            </w:r>
            <w:r w:rsidR="008D75E6" w:rsidRPr="00031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03155F" w14:paraId="2F6E1F29" w14:textId="77777777" w:rsidTr="0099364C">
        <w:tc>
          <w:tcPr>
            <w:tcW w:w="9747" w:type="dxa"/>
          </w:tcPr>
          <w:p w14:paraId="1730CBA5" w14:textId="12AB3F58" w:rsidR="0002060C" w:rsidRDefault="008B2D82" w:rsidP="008B2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02589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 respect</w:t>
            </w:r>
            <w:r w:rsidR="00F810B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prevederilor</w:t>
            </w:r>
            <w:r w:rsidR="00F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</w:t>
            </w:r>
            <w:r w:rsidR="00764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egii nr.100/2017 </w:t>
            </w:r>
            <w:r w:rsidR="00764316" w:rsidRPr="005E6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cu privire la actele normative</w:t>
            </w:r>
            <w:r w:rsidR="005E6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</w:t>
            </w:r>
            <w:r w:rsidR="00F810B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Legii nr. 239/</w:t>
            </w:r>
            <w:r w:rsidR="0002589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</w:t>
            </w:r>
            <w:r w:rsidR="00025894" w:rsidRPr="005E6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privind </w:t>
            </w:r>
            <w:r w:rsidRPr="005E6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025894" w:rsidRPr="005E6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în</w:t>
            </w:r>
            <w:r w:rsidR="00753595" w:rsidRPr="005E6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procesul decizional</w:t>
            </w:r>
            <w:r w:rsidR="00753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proiectul </w:t>
            </w:r>
            <w:r w:rsidR="0011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nota </w:t>
            </w:r>
            <w:r w:rsidR="00FE1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informativă au fost</w:t>
            </w:r>
            <w:r w:rsidR="00F22B3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</w:t>
            </w:r>
            <w:r w:rsidR="0011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  <w:r w:rsidR="00F22B3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</w:t>
            </w:r>
            <w:r w:rsidR="00025894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oficială a </w:t>
            </w:r>
            <w:r w:rsidR="00924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Ministerului Educației</w:t>
            </w:r>
            <w:r w:rsidR="005A697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Cercetării </w:t>
            </w:r>
            <w:hyperlink r:id="rId7" w:history="1">
              <w:r w:rsidR="00801D21" w:rsidRPr="00BA6C8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www.mec.gov.md</w:t>
              </w:r>
            </w:hyperlink>
            <w:r w:rsidR="00F810B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F01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capitolul</w:t>
            </w:r>
            <w:r w:rsidR="005A6977" w:rsidRPr="00031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Transparență, directoriul Transparență decizională, secțiunea Modul de participare. </w:t>
            </w:r>
          </w:p>
          <w:p w14:paraId="46013F86" w14:textId="77777777" w:rsidR="00157FE5" w:rsidRDefault="00157FE5" w:rsidP="008B2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3C95FD5" w14:textId="7581198B" w:rsidR="00157FE5" w:rsidRPr="0003155F" w:rsidRDefault="00157FE5" w:rsidP="008B2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75AE9" w:rsidRPr="0003155F" w14:paraId="0AD4F451" w14:textId="77777777" w:rsidTr="00675AE9">
        <w:tc>
          <w:tcPr>
            <w:tcW w:w="9747" w:type="dxa"/>
            <w:shd w:val="clear" w:color="auto" w:fill="E7E6E6" w:themeFill="background2"/>
          </w:tcPr>
          <w:p w14:paraId="7D5040DA" w14:textId="09F290C6" w:rsidR="00675AE9" w:rsidRPr="00675AE9" w:rsidRDefault="001E2ECD" w:rsidP="00675AE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Consta</w:t>
            </w:r>
            <w:r w:rsidR="00675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tările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anticorupție</w:t>
            </w:r>
            <w:proofErr w:type="spellEnd"/>
          </w:p>
        </w:tc>
      </w:tr>
      <w:tr w:rsidR="00675AE9" w:rsidRPr="0003155F" w14:paraId="22EDFDDB" w14:textId="77777777" w:rsidTr="0099364C">
        <w:tc>
          <w:tcPr>
            <w:tcW w:w="9747" w:type="dxa"/>
          </w:tcPr>
          <w:p w14:paraId="6C9B7540" w14:textId="77777777" w:rsidR="00675AE9" w:rsidRPr="00675AE9" w:rsidRDefault="00675AE9" w:rsidP="008B2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AE9" w:rsidRPr="0003155F" w14:paraId="1550BD7A" w14:textId="77777777" w:rsidTr="00675AE9">
        <w:tc>
          <w:tcPr>
            <w:tcW w:w="9747" w:type="dxa"/>
            <w:shd w:val="clear" w:color="auto" w:fill="E7E6E6" w:themeFill="background2"/>
          </w:tcPr>
          <w:p w14:paraId="5B77930A" w14:textId="2BEB1197" w:rsidR="00675AE9" w:rsidRPr="001E2ECD" w:rsidRDefault="001E2ECD" w:rsidP="001E2E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5AE9" w:rsidRPr="0003155F" w14:paraId="1655A081" w14:textId="77777777" w:rsidTr="0099364C">
        <w:tc>
          <w:tcPr>
            <w:tcW w:w="9747" w:type="dxa"/>
          </w:tcPr>
          <w:p w14:paraId="6AA6A6B0" w14:textId="2F88C3D5" w:rsidR="00675AE9" w:rsidRPr="00675AE9" w:rsidRDefault="000E186A" w:rsidP="007477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1E2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Proiectul</w:t>
            </w:r>
            <w:proofErr w:type="spellEnd"/>
            <w:r w:rsidR="001E2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="001E2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="001E2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expertiza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fiind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faptul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relevanță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74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C125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niun</w:t>
            </w:r>
            <w:r w:rsidR="0074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</w:t>
            </w:r>
            <w:proofErr w:type="spellEnd"/>
            <w:r w:rsidR="00C125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C125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urope</w:t>
            </w:r>
            <w:r w:rsidR="0074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C125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747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75AE9" w:rsidRPr="0003155F" w14:paraId="4AE184B0" w14:textId="77777777" w:rsidTr="00675AE9">
        <w:tc>
          <w:tcPr>
            <w:tcW w:w="9747" w:type="dxa"/>
            <w:shd w:val="clear" w:color="auto" w:fill="E7E6E6" w:themeFill="background2"/>
          </w:tcPr>
          <w:p w14:paraId="34736B20" w14:textId="1AB4C0E3" w:rsidR="00675AE9" w:rsidRPr="000E186A" w:rsidRDefault="000E186A" w:rsidP="000E18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juridice</w:t>
            </w:r>
            <w:proofErr w:type="spellEnd"/>
          </w:p>
        </w:tc>
      </w:tr>
      <w:tr w:rsidR="00675AE9" w:rsidRPr="0003155F" w14:paraId="480BBA88" w14:textId="77777777" w:rsidTr="0099364C">
        <w:tc>
          <w:tcPr>
            <w:tcW w:w="9747" w:type="dxa"/>
          </w:tcPr>
          <w:p w14:paraId="124DA6FC" w14:textId="3F3932EE" w:rsidR="00675AE9" w:rsidRPr="00675AE9" w:rsidRDefault="000E186A" w:rsidP="00A025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675AE9" w:rsidRPr="0003155F" w14:paraId="19D31036" w14:textId="77777777" w:rsidTr="00675AE9">
        <w:tc>
          <w:tcPr>
            <w:tcW w:w="9747" w:type="dxa"/>
            <w:shd w:val="clear" w:color="auto" w:fill="E7E6E6" w:themeFill="background2"/>
          </w:tcPr>
          <w:p w14:paraId="0D192CA9" w14:textId="6D357EF0" w:rsidR="00675AE9" w:rsidRPr="000E186A" w:rsidRDefault="0079186D" w:rsidP="000E18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expertize</w:t>
            </w:r>
          </w:p>
        </w:tc>
      </w:tr>
      <w:tr w:rsidR="00675AE9" w:rsidRPr="0003155F" w14:paraId="4E8AE854" w14:textId="77777777" w:rsidTr="0099364C">
        <w:tc>
          <w:tcPr>
            <w:tcW w:w="9747" w:type="dxa"/>
          </w:tcPr>
          <w:p w14:paraId="667FC3E4" w14:textId="2798CAFD" w:rsidR="00675AE9" w:rsidRPr="00675AE9" w:rsidRDefault="0079186D" w:rsidP="008B2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expertize.</w:t>
            </w:r>
          </w:p>
        </w:tc>
      </w:tr>
    </w:tbl>
    <w:p w14:paraId="2EAE24E3" w14:textId="77777777" w:rsidR="001D1A2C" w:rsidRPr="0003155F" w:rsidRDefault="001D1A2C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8828696" w14:textId="4D1C765D" w:rsidR="006E6C81" w:rsidRPr="000E41A3" w:rsidRDefault="008D75E6" w:rsidP="000E41A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br/>
      </w:r>
      <w:r w:rsidR="00025894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977" w:rsidRPr="0003155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3D044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Anatolie </w:t>
      </w:r>
      <w:r w:rsidR="000E41A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TOPALĂ</w:t>
      </w:r>
    </w:p>
    <w:p w14:paraId="07A225FD" w14:textId="77777777" w:rsidR="000E41A3" w:rsidRDefault="000E41A3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2CADE307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25EB51FF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4FB55DEE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7BE1596F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0F30FFB2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65CE199E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2EB9A6F4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2346AF57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69C16822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3BC4BDCA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05B1B545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0D83C51A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132D304B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47A2696A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3CB2DBE1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34AA0E72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7AF8FEBB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3D514B89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72CBAD7E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0ACBBC1A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44FBF8B4" w14:textId="77777777" w:rsidR="00055465" w:rsidRDefault="00055465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6835F275" w14:textId="77777777" w:rsidR="00F261B3" w:rsidRDefault="00F261B3" w:rsidP="003D16E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29E2C75C" w14:textId="77777777" w:rsidR="00055465" w:rsidRPr="0001754B" w:rsidRDefault="00055465" w:rsidP="00055465">
      <w:pPr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01754B">
        <w:rPr>
          <w:rFonts w:ascii="Times New Roman" w:hAnsi="Times New Roman"/>
          <w:sz w:val="18"/>
          <w:szCs w:val="18"/>
          <w:lang w:val="fr-FR"/>
        </w:rPr>
        <w:t>Executant: Daniela Tîrsînă</w:t>
      </w:r>
    </w:p>
    <w:p w14:paraId="7C06D1DC" w14:textId="77777777" w:rsidR="00055465" w:rsidRDefault="00055465" w:rsidP="00055465">
      <w:pPr>
        <w:spacing w:line="240" w:lineRule="auto"/>
      </w:pPr>
      <w:r w:rsidRPr="001B4623">
        <w:rPr>
          <w:rFonts w:ascii="Times New Roman" w:hAnsi="Times New Roman"/>
          <w:sz w:val="18"/>
          <w:szCs w:val="18"/>
        </w:rPr>
        <w:sym w:font="Wingdings" w:char="F028"/>
      </w:r>
      <w:r w:rsidRPr="0001754B">
        <w:rPr>
          <w:rFonts w:ascii="Times New Roman" w:eastAsia="Times New Roman" w:hAnsi="Times New Roman"/>
          <w:sz w:val="18"/>
          <w:szCs w:val="18"/>
          <w:lang w:val="fr-FR" w:eastAsia="ru-RU"/>
        </w:rPr>
        <w:t xml:space="preserve"> 022-234-623</w:t>
      </w:r>
    </w:p>
    <w:p w14:paraId="58D9FACC" w14:textId="2B71053D" w:rsidR="001D1A2C" w:rsidRPr="006D40F8" w:rsidRDefault="001D1A2C" w:rsidP="000554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sectPr w:rsidR="001D1A2C" w:rsidRPr="006D40F8" w:rsidSect="00F261B3">
      <w:footerReference w:type="default" r:id="rId8"/>
      <w:pgSz w:w="11906" w:h="16838" w:code="9"/>
      <w:pgMar w:top="851" w:right="56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EA6CD" w14:textId="77777777" w:rsidR="0080465B" w:rsidRDefault="0080465B" w:rsidP="009139A1">
      <w:pPr>
        <w:spacing w:after="0" w:line="240" w:lineRule="auto"/>
      </w:pPr>
      <w:r>
        <w:separator/>
      </w:r>
    </w:p>
  </w:endnote>
  <w:endnote w:type="continuationSeparator" w:id="0">
    <w:p w14:paraId="4100FEEB" w14:textId="77777777" w:rsidR="0080465B" w:rsidRDefault="0080465B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84074" w14:textId="77777777" w:rsidR="009139A1" w:rsidRDefault="009139A1">
    <w:pPr>
      <w:pStyle w:val="aa"/>
      <w:jc w:val="right"/>
    </w:pPr>
  </w:p>
  <w:p w14:paraId="668D9CA5" w14:textId="77777777" w:rsidR="009139A1" w:rsidRDefault="009139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93808" w14:textId="77777777" w:rsidR="0080465B" w:rsidRDefault="0080465B" w:rsidP="009139A1">
      <w:pPr>
        <w:spacing w:after="0" w:line="240" w:lineRule="auto"/>
      </w:pPr>
      <w:r>
        <w:separator/>
      </w:r>
    </w:p>
  </w:footnote>
  <w:footnote w:type="continuationSeparator" w:id="0">
    <w:p w14:paraId="14EAC942" w14:textId="77777777" w:rsidR="0080465B" w:rsidRDefault="0080465B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4A55"/>
    <w:multiLevelType w:val="hybridMultilevel"/>
    <w:tmpl w:val="AA3EA338"/>
    <w:lvl w:ilvl="0" w:tplc="B2CE0F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950D5"/>
    <w:multiLevelType w:val="hybridMultilevel"/>
    <w:tmpl w:val="31A8889A"/>
    <w:lvl w:ilvl="0" w:tplc="272668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56444E"/>
    <w:multiLevelType w:val="hybridMultilevel"/>
    <w:tmpl w:val="1EE8F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0D08"/>
    <w:rsid w:val="00005ABD"/>
    <w:rsid w:val="0002060C"/>
    <w:rsid w:val="00021EC8"/>
    <w:rsid w:val="00022C40"/>
    <w:rsid w:val="00025894"/>
    <w:rsid w:val="00025B2C"/>
    <w:rsid w:val="0003155F"/>
    <w:rsid w:val="00035FAE"/>
    <w:rsid w:val="000456C6"/>
    <w:rsid w:val="000471EA"/>
    <w:rsid w:val="00050127"/>
    <w:rsid w:val="00055465"/>
    <w:rsid w:val="00097FF3"/>
    <w:rsid w:val="000A2453"/>
    <w:rsid w:val="000A3872"/>
    <w:rsid w:val="000C1396"/>
    <w:rsid w:val="000D05CA"/>
    <w:rsid w:val="000D612E"/>
    <w:rsid w:val="000D74F1"/>
    <w:rsid w:val="000E186A"/>
    <w:rsid w:val="000E41A3"/>
    <w:rsid w:val="000E7F0D"/>
    <w:rsid w:val="000F79F7"/>
    <w:rsid w:val="001011EA"/>
    <w:rsid w:val="00105121"/>
    <w:rsid w:val="00107C27"/>
    <w:rsid w:val="00110AAC"/>
    <w:rsid w:val="00114F11"/>
    <w:rsid w:val="0011736A"/>
    <w:rsid w:val="001232D9"/>
    <w:rsid w:val="00123607"/>
    <w:rsid w:val="00125E8F"/>
    <w:rsid w:val="00132EEC"/>
    <w:rsid w:val="0013332C"/>
    <w:rsid w:val="00133A5A"/>
    <w:rsid w:val="00136656"/>
    <w:rsid w:val="0014554B"/>
    <w:rsid w:val="00157FE5"/>
    <w:rsid w:val="001622D3"/>
    <w:rsid w:val="001727D3"/>
    <w:rsid w:val="00176412"/>
    <w:rsid w:val="00196ED0"/>
    <w:rsid w:val="001A2902"/>
    <w:rsid w:val="001A43AC"/>
    <w:rsid w:val="001A7A07"/>
    <w:rsid w:val="001C45EC"/>
    <w:rsid w:val="001D1A2C"/>
    <w:rsid w:val="001D2277"/>
    <w:rsid w:val="001D2491"/>
    <w:rsid w:val="001E2ECD"/>
    <w:rsid w:val="001E72A9"/>
    <w:rsid w:val="0020403C"/>
    <w:rsid w:val="00211ABB"/>
    <w:rsid w:val="00213A42"/>
    <w:rsid w:val="00226E3E"/>
    <w:rsid w:val="0024232A"/>
    <w:rsid w:val="002657AF"/>
    <w:rsid w:val="00271264"/>
    <w:rsid w:val="00277CDC"/>
    <w:rsid w:val="002B2CC0"/>
    <w:rsid w:val="002B374F"/>
    <w:rsid w:val="002C4B8A"/>
    <w:rsid w:val="002C7CFD"/>
    <w:rsid w:val="002E08DE"/>
    <w:rsid w:val="002F1D27"/>
    <w:rsid w:val="002F4D6E"/>
    <w:rsid w:val="0030150D"/>
    <w:rsid w:val="00312841"/>
    <w:rsid w:val="00320339"/>
    <w:rsid w:val="0034421F"/>
    <w:rsid w:val="00345E5E"/>
    <w:rsid w:val="003575BD"/>
    <w:rsid w:val="00357B05"/>
    <w:rsid w:val="00366EDA"/>
    <w:rsid w:val="00371792"/>
    <w:rsid w:val="00380EBC"/>
    <w:rsid w:val="00382910"/>
    <w:rsid w:val="003914EE"/>
    <w:rsid w:val="003A1C6A"/>
    <w:rsid w:val="003A2B5D"/>
    <w:rsid w:val="003A539E"/>
    <w:rsid w:val="003B5318"/>
    <w:rsid w:val="003B77C3"/>
    <w:rsid w:val="003D044E"/>
    <w:rsid w:val="003D16E0"/>
    <w:rsid w:val="003D34AA"/>
    <w:rsid w:val="003E292E"/>
    <w:rsid w:val="003E5BEB"/>
    <w:rsid w:val="003E6CB7"/>
    <w:rsid w:val="003F7406"/>
    <w:rsid w:val="00401EE2"/>
    <w:rsid w:val="00410F08"/>
    <w:rsid w:val="00411F9F"/>
    <w:rsid w:val="00412AF9"/>
    <w:rsid w:val="00414277"/>
    <w:rsid w:val="0041482D"/>
    <w:rsid w:val="004207A4"/>
    <w:rsid w:val="00425AF8"/>
    <w:rsid w:val="00433BCF"/>
    <w:rsid w:val="00451A97"/>
    <w:rsid w:val="004543A5"/>
    <w:rsid w:val="00456DAE"/>
    <w:rsid w:val="00471126"/>
    <w:rsid w:val="004726B7"/>
    <w:rsid w:val="004855E8"/>
    <w:rsid w:val="00490D36"/>
    <w:rsid w:val="004B3125"/>
    <w:rsid w:val="004B51E3"/>
    <w:rsid w:val="004B52DD"/>
    <w:rsid w:val="004B7E46"/>
    <w:rsid w:val="004C20E6"/>
    <w:rsid w:val="004C37F9"/>
    <w:rsid w:val="004D1B32"/>
    <w:rsid w:val="004D23F1"/>
    <w:rsid w:val="004D6551"/>
    <w:rsid w:val="004E572E"/>
    <w:rsid w:val="004F131E"/>
    <w:rsid w:val="005001D4"/>
    <w:rsid w:val="00512467"/>
    <w:rsid w:val="00517760"/>
    <w:rsid w:val="005215D7"/>
    <w:rsid w:val="00522DC1"/>
    <w:rsid w:val="00535966"/>
    <w:rsid w:val="005409CC"/>
    <w:rsid w:val="00562191"/>
    <w:rsid w:val="0056548B"/>
    <w:rsid w:val="00580777"/>
    <w:rsid w:val="005A1B38"/>
    <w:rsid w:val="005A6977"/>
    <w:rsid w:val="005B215D"/>
    <w:rsid w:val="005C3D40"/>
    <w:rsid w:val="005D5494"/>
    <w:rsid w:val="005E2403"/>
    <w:rsid w:val="005E6792"/>
    <w:rsid w:val="005F3B97"/>
    <w:rsid w:val="00601A4C"/>
    <w:rsid w:val="006073A4"/>
    <w:rsid w:val="006163DA"/>
    <w:rsid w:val="00616B3F"/>
    <w:rsid w:val="00621FC5"/>
    <w:rsid w:val="00646F55"/>
    <w:rsid w:val="00656313"/>
    <w:rsid w:val="0066722F"/>
    <w:rsid w:val="0067388C"/>
    <w:rsid w:val="00675AE9"/>
    <w:rsid w:val="0068133C"/>
    <w:rsid w:val="00687323"/>
    <w:rsid w:val="00687976"/>
    <w:rsid w:val="006A5BFC"/>
    <w:rsid w:val="006B110B"/>
    <w:rsid w:val="006B195A"/>
    <w:rsid w:val="006B6FD1"/>
    <w:rsid w:val="006D40F8"/>
    <w:rsid w:val="006E6C81"/>
    <w:rsid w:val="006F601E"/>
    <w:rsid w:val="0071348F"/>
    <w:rsid w:val="007134A3"/>
    <w:rsid w:val="0072019C"/>
    <w:rsid w:val="00723E65"/>
    <w:rsid w:val="00740D39"/>
    <w:rsid w:val="00740EC6"/>
    <w:rsid w:val="007421F0"/>
    <w:rsid w:val="0074775F"/>
    <w:rsid w:val="00753595"/>
    <w:rsid w:val="007554CD"/>
    <w:rsid w:val="00760219"/>
    <w:rsid w:val="0076025C"/>
    <w:rsid w:val="00764316"/>
    <w:rsid w:val="00765E7E"/>
    <w:rsid w:val="007669D5"/>
    <w:rsid w:val="00784F36"/>
    <w:rsid w:val="0079186D"/>
    <w:rsid w:val="0079279F"/>
    <w:rsid w:val="0079555E"/>
    <w:rsid w:val="007956D5"/>
    <w:rsid w:val="007B3A09"/>
    <w:rsid w:val="007D1514"/>
    <w:rsid w:val="007F32D8"/>
    <w:rsid w:val="00801D21"/>
    <w:rsid w:val="00802E68"/>
    <w:rsid w:val="0080465B"/>
    <w:rsid w:val="008301CE"/>
    <w:rsid w:val="00834A40"/>
    <w:rsid w:val="00836438"/>
    <w:rsid w:val="00855940"/>
    <w:rsid w:val="00860F83"/>
    <w:rsid w:val="008626EE"/>
    <w:rsid w:val="00864EC3"/>
    <w:rsid w:val="008660C1"/>
    <w:rsid w:val="00866FAE"/>
    <w:rsid w:val="00874D9B"/>
    <w:rsid w:val="00884B4C"/>
    <w:rsid w:val="00885F88"/>
    <w:rsid w:val="00892F89"/>
    <w:rsid w:val="008A4B05"/>
    <w:rsid w:val="008A5902"/>
    <w:rsid w:val="008B2A84"/>
    <w:rsid w:val="008B2D82"/>
    <w:rsid w:val="008C1F30"/>
    <w:rsid w:val="008D1FD8"/>
    <w:rsid w:val="008D75E6"/>
    <w:rsid w:val="008E56AB"/>
    <w:rsid w:val="00900A87"/>
    <w:rsid w:val="009031FD"/>
    <w:rsid w:val="0090373E"/>
    <w:rsid w:val="00910C3F"/>
    <w:rsid w:val="009110B1"/>
    <w:rsid w:val="009139A1"/>
    <w:rsid w:val="009223DD"/>
    <w:rsid w:val="00924E29"/>
    <w:rsid w:val="009272D3"/>
    <w:rsid w:val="00942F3C"/>
    <w:rsid w:val="00944330"/>
    <w:rsid w:val="0094794C"/>
    <w:rsid w:val="00951BFD"/>
    <w:rsid w:val="009545B3"/>
    <w:rsid w:val="00956471"/>
    <w:rsid w:val="0096077D"/>
    <w:rsid w:val="00964E73"/>
    <w:rsid w:val="009670CA"/>
    <w:rsid w:val="00972644"/>
    <w:rsid w:val="009829EA"/>
    <w:rsid w:val="00983422"/>
    <w:rsid w:val="00985306"/>
    <w:rsid w:val="0099364C"/>
    <w:rsid w:val="00993957"/>
    <w:rsid w:val="009A0DFA"/>
    <w:rsid w:val="009B0E8F"/>
    <w:rsid w:val="009B2AA3"/>
    <w:rsid w:val="009D2116"/>
    <w:rsid w:val="009E0171"/>
    <w:rsid w:val="009F238F"/>
    <w:rsid w:val="009F271B"/>
    <w:rsid w:val="00A02539"/>
    <w:rsid w:val="00A045A6"/>
    <w:rsid w:val="00A04CED"/>
    <w:rsid w:val="00A0637F"/>
    <w:rsid w:val="00A06896"/>
    <w:rsid w:val="00A161C2"/>
    <w:rsid w:val="00A2190A"/>
    <w:rsid w:val="00A332AF"/>
    <w:rsid w:val="00A34618"/>
    <w:rsid w:val="00A36EB1"/>
    <w:rsid w:val="00A40967"/>
    <w:rsid w:val="00A43EEC"/>
    <w:rsid w:val="00A61877"/>
    <w:rsid w:val="00A66131"/>
    <w:rsid w:val="00A6677E"/>
    <w:rsid w:val="00A7202F"/>
    <w:rsid w:val="00A76748"/>
    <w:rsid w:val="00A76841"/>
    <w:rsid w:val="00A76AC3"/>
    <w:rsid w:val="00A825CB"/>
    <w:rsid w:val="00A86E22"/>
    <w:rsid w:val="00A878E3"/>
    <w:rsid w:val="00A94E35"/>
    <w:rsid w:val="00AA203B"/>
    <w:rsid w:val="00AA477C"/>
    <w:rsid w:val="00AC1A88"/>
    <w:rsid w:val="00AD2C2A"/>
    <w:rsid w:val="00AE294C"/>
    <w:rsid w:val="00AE4657"/>
    <w:rsid w:val="00AF3D2F"/>
    <w:rsid w:val="00B010CC"/>
    <w:rsid w:val="00B13853"/>
    <w:rsid w:val="00B2200A"/>
    <w:rsid w:val="00B22734"/>
    <w:rsid w:val="00B301FA"/>
    <w:rsid w:val="00B31967"/>
    <w:rsid w:val="00B47CF3"/>
    <w:rsid w:val="00B82094"/>
    <w:rsid w:val="00B83A0C"/>
    <w:rsid w:val="00B85396"/>
    <w:rsid w:val="00B92B52"/>
    <w:rsid w:val="00BB0B72"/>
    <w:rsid w:val="00BB0D73"/>
    <w:rsid w:val="00BB363C"/>
    <w:rsid w:val="00BC65EC"/>
    <w:rsid w:val="00BE41DB"/>
    <w:rsid w:val="00BE67D8"/>
    <w:rsid w:val="00BF1D79"/>
    <w:rsid w:val="00C1256D"/>
    <w:rsid w:val="00C15397"/>
    <w:rsid w:val="00C21A46"/>
    <w:rsid w:val="00C3592D"/>
    <w:rsid w:val="00C467A5"/>
    <w:rsid w:val="00C46B25"/>
    <w:rsid w:val="00C64714"/>
    <w:rsid w:val="00C659AB"/>
    <w:rsid w:val="00C71C89"/>
    <w:rsid w:val="00C77F89"/>
    <w:rsid w:val="00C816BF"/>
    <w:rsid w:val="00C828A2"/>
    <w:rsid w:val="00C82E82"/>
    <w:rsid w:val="00C84ADC"/>
    <w:rsid w:val="00C8790D"/>
    <w:rsid w:val="00C911F2"/>
    <w:rsid w:val="00C954D8"/>
    <w:rsid w:val="00C95833"/>
    <w:rsid w:val="00CB502C"/>
    <w:rsid w:val="00CC3EFF"/>
    <w:rsid w:val="00CC5248"/>
    <w:rsid w:val="00CD796F"/>
    <w:rsid w:val="00CE0D5E"/>
    <w:rsid w:val="00CE1AD4"/>
    <w:rsid w:val="00CE660D"/>
    <w:rsid w:val="00CF35CE"/>
    <w:rsid w:val="00D02EB6"/>
    <w:rsid w:val="00D1770B"/>
    <w:rsid w:val="00D1773E"/>
    <w:rsid w:val="00D3009F"/>
    <w:rsid w:val="00D341B6"/>
    <w:rsid w:val="00D36043"/>
    <w:rsid w:val="00D519B2"/>
    <w:rsid w:val="00D707D9"/>
    <w:rsid w:val="00D71D44"/>
    <w:rsid w:val="00D72373"/>
    <w:rsid w:val="00D74085"/>
    <w:rsid w:val="00D741F3"/>
    <w:rsid w:val="00DA0DAA"/>
    <w:rsid w:val="00DA7327"/>
    <w:rsid w:val="00DA755E"/>
    <w:rsid w:val="00DB1872"/>
    <w:rsid w:val="00DC1184"/>
    <w:rsid w:val="00DC1359"/>
    <w:rsid w:val="00DD741E"/>
    <w:rsid w:val="00DE28B9"/>
    <w:rsid w:val="00DF5F5E"/>
    <w:rsid w:val="00E10FDF"/>
    <w:rsid w:val="00E17016"/>
    <w:rsid w:val="00E35209"/>
    <w:rsid w:val="00E36A93"/>
    <w:rsid w:val="00E505F5"/>
    <w:rsid w:val="00E53469"/>
    <w:rsid w:val="00E60755"/>
    <w:rsid w:val="00E63660"/>
    <w:rsid w:val="00E65867"/>
    <w:rsid w:val="00EB77AD"/>
    <w:rsid w:val="00EC4A34"/>
    <w:rsid w:val="00EC557F"/>
    <w:rsid w:val="00EC75B5"/>
    <w:rsid w:val="00F01001"/>
    <w:rsid w:val="00F0552C"/>
    <w:rsid w:val="00F16D23"/>
    <w:rsid w:val="00F21CB5"/>
    <w:rsid w:val="00F22B34"/>
    <w:rsid w:val="00F261B3"/>
    <w:rsid w:val="00F27F6D"/>
    <w:rsid w:val="00F329B9"/>
    <w:rsid w:val="00F32D8A"/>
    <w:rsid w:val="00F4285E"/>
    <w:rsid w:val="00F44BB2"/>
    <w:rsid w:val="00F5618F"/>
    <w:rsid w:val="00F61A49"/>
    <w:rsid w:val="00F77111"/>
    <w:rsid w:val="00F810B7"/>
    <w:rsid w:val="00F81E01"/>
    <w:rsid w:val="00F91FDD"/>
    <w:rsid w:val="00FA0274"/>
    <w:rsid w:val="00FB1690"/>
    <w:rsid w:val="00FB405B"/>
    <w:rsid w:val="00FB66F8"/>
    <w:rsid w:val="00FC3373"/>
    <w:rsid w:val="00FC3B9B"/>
    <w:rsid w:val="00FD19CE"/>
    <w:rsid w:val="00FD34E4"/>
    <w:rsid w:val="00FE1426"/>
    <w:rsid w:val="00FE3643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A0B4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Абзац списка1,List Paragraph11,Абзац списка2"/>
    <w:basedOn w:val="a"/>
    <w:link w:val="a5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"/>
    <w:basedOn w:val="a0"/>
    <w:link w:val="a4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ac">
    <w:name w:val="Hyperlink"/>
    <w:basedOn w:val="a0"/>
    <w:uiPriority w:val="99"/>
    <w:unhideWhenUsed/>
    <w:rsid w:val="00F810B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4B52DD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B52DD"/>
    <w:rPr>
      <w:rFonts w:eastAsia="Times New Roman" w:cstheme="minorBidi"/>
      <w:sz w:val="28"/>
      <w:szCs w:val="28"/>
      <w:lang w:val="en-US"/>
    </w:rPr>
  </w:style>
  <w:style w:type="character" w:styleId="af">
    <w:name w:val="footnote reference"/>
    <w:basedOn w:val="a0"/>
    <w:uiPriority w:val="99"/>
    <w:unhideWhenUsed/>
    <w:rsid w:val="003A5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</dc:creator>
  <cp:lastModifiedBy>MECC</cp:lastModifiedBy>
  <cp:revision>26</cp:revision>
  <cp:lastPrinted>2022-04-15T07:51:00Z</cp:lastPrinted>
  <dcterms:created xsi:type="dcterms:W3CDTF">2022-04-14T07:51:00Z</dcterms:created>
  <dcterms:modified xsi:type="dcterms:W3CDTF">2022-05-30T10:56:00Z</dcterms:modified>
</cp:coreProperties>
</file>