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EB" w:rsidRPr="007F4AC7" w:rsidRDefault="00486FEB" w:rsidP="002B417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AC7">
        <w:rPr>
          <w:rFonts w:ascii="Times New Roman" w:hAnsi="Times New Roman" w:cs="Times New Roman"/>
          <w:b/>
          <w:sz w:val="26"/>
          <w:szCs w:val="26"/>
        </w:rPr>
        <w:t>Notă informativă</w:t>
      </w:r>
    </w:p>
    <w:p w:rsidR="00A30B52" w:rsidRPr="007F4AC7" w:rsidRDefault="00F07C43" w:rsidP="00D401CD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4AC7">
        <w:rPr>
          <w:rFonts w:ascii="Times New Roman" w:hAnsi="Times New Roman" w:cs="Times New Roman"/>
          <w:b/>
          <w:sz w:val="26"/>
          <w:szCs w:val="26"/>
        </w:rPr>
        <w:t xml:space="preserve">la proiectul </w:t>
      </w:r>
      <w:r w:rsidR="00A30B52" w:rsidRPr="007F4AC7">
        <w:rPr>
          <w:rFonts w:ascii="Times New Roman" w:hAnsi="Times New Roman"/>
          <w:b/>
          <w:sz w:val="26"/>
          <w:szCs w:val="26"/>
        </w:rPr>
        <w:t xml:space="preserve">hotărârii de Guvern </w:t>
      </w:r>
      <w:r w:rsidR="00D401CD" w:rsidRPr="007F4AC7">
        <w:rPr>
          <w:rFonts w:ascii="Times New Roman" w:hAnsi="Times New Roman"/>
          <w:b/>
          <w:sz w:val="26"/>
          <w:szCs w:val="26"/>
        </w:rPr>
        <w:t>pentru aprobarea modului de acordare a mijloacelor Fondului național de dezvoltare a agriculturii și mediului rural pentru compensarea parțială a accizelor la motorină utilizată de producătorii agricoli în anul 2022</w:t>
      </w:r>
    </w:p>
    <w:p w:rsidR="00FB1926" w:rsidRPr="007F4AC7" w:rsidRDefault="00FB1926" w:rsidP="00D401CD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09"/>
      </w:tblGrid>
      <w:tr w:rsidR="008A26FE" w:rsidRPr="007F4AC7" w:rsidTr="00FB1926">
        <w:tc>
          <w:tcPr>
            <w:tcW w:w="9209" w:type="dxa"/>
          </w:tcPr>
          <w:p w:rsidR="008A26FE" w:rsidRPr="007F4AC7" w:rsidRDefault="005F4DA9" w:rsidP="00821F18">
            <w:pPr>
              <w:spacing w:after="0"/>
              <w:rPr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1. </w:t>
            </w:r>
            <w:r w:rsidR="00B404B6" w:rsidRPr="007F4AC7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Denumirea autorului </w:t>
            </w:r>
            <w:proofErr w:type="spellStart"/>
            <w:r w:rsidR="00B404B6" w:rsidRPr="007F4AC7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şi</w:t>
            </w:r>
            <w:proofErr w:type="spellEnd"/>
            <w:r w:rsidR="00B404B6" w:rsidRPr="007F4AC7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, după caz, a </w:t>
            </w:r>
            <w:r w:rsidR="00A30B52" w:rsidRPr="007F4AC7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participanților</w:t>
            </w:r>
            <w:r w:rsidR="00B404B6" w:rsidRPr="007F4AC7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 la elaborarea proiectului</w:t>
            </w:r>
          </w:p>
        </w:tc>
      </w:tr>
      <w:tr w:rsidR="008A26FE" w:rsidRPr="007F4AC7" w:rsidTr="00FB1926">
        <w:tc>
          <w:tcPr>
            <w:tcW w:w="9209" w:type="dxa"/>
          </w:tcPr>
          <w:p w:rsidR="008A26FE" w:rsidRPr="007F4AC7" w:rsidRDefault="004F1C6C" w:rsidP="0082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Ministerul Agricu</w:t>
            </w:r>
            <w:r w:rsidR="00D401CD" w:rsidRPr="007F4AC7">
              <w:rPr>
                <w:rFonts w:ascii="Times New Roman" w:hAnsi="Times New Roman" w:cs="Times New Roman"/>
                <w:sz w:val="26"/>
                <w:szCs w:val="26"/>
              </w:rPr>
              <w:t>lturii și Industriei Alimentare</w:t>
            </w:r>
          </w:p>
        </w:tc>
      </w:tr>
      <w:tr w:rsidR="008A26FE" w:rsidRPr="007F4AC7" w:rsidTr="00FB1926">
        <w:tc>
          <w:tcPr>
            <w:tcW w:w="9209" w:type="dxa"/>
          </w:tcPr>
          <w:p w:rsidR="008A26FE" w:rsidRPr="007F4AC7" w:rsidRDefault="00B404B6" w:rsidP="00821F18">
            <w:pPr>
              <w:pStyle w:val="NoSpacing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>Condițiile ce au impus elaborarea proiectului de act normativ și finalitățile urmărite</w:t>
            </w:r>
          </w:p>
        </w:tc>
      </w:tr>
      <w:tr w:rsidR="008A26FE" w:rsidRPr="007F4AC7" w:rsidTr="00FB1926">
        <w:tc>
          <w:tcPr>
            <w:tcW w:w="9209" w:type="dxa"/>
          </w:tcPr>
          <w:p w:rsidR="00D401CD" w:rsidRPr="007F4AC7" w:rsidRDefault="00D401CD" w:rsidP="002E12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În contextul scumpirii galopante a inputurilor, în special a motorinei, atât în plan internațional, regional, cât și național, Ministerul a consultat cu toate părțile interesate intervențiile ce urmează a fi întreprinse în acest scop. </w:t>
            </w:r>
          </w:p>
          <w:p w:rsidR="003528C8" w:rsidRPr="007F4AC7" w:rsidRDefault="003528C8" w:rsidP="002E12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De menționat că, prețul unui litru de motorină la moment trece de ci</w:t>
            </w:r>
            <w:r w:rsidR="00264F70" w:rsidRPr="007F4AC7">
              <w:rPr>
                <w:rFonts w:ascii="Times New Roman" w:hAnsi="Times New Roman" w:cs="Times New Roman"/>
                <w:sz w:val="26"/>
                <w:szCs w:val="26"/>
              </w:rPr>
              <w:t>fr</w:t>
            </w: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a de 27 lei, ceea ce constituie mai mult cu cca 15 lei față de prețurile din anul precedent, atunci când pentru 1 litru de motorină procurată angro, producătorii agricoli achitau cca 12 lei.</w:t>
            </w:r>
          </w:p>
          <w:p w:rsidR="00264F70" w:rsidRPr="007F4AC7" w:rsidRDefault="00264F70" w:rsidP="002E12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Astfel, prețurile mari la motorină vor </w:t>
            </w:r>
            <w:r w:rsidR="002E1253" w:rsidRPr="007F4AC7">
              <w:rPr>
                <w:rFonts w:ascii="Times New Roman" w:hAnsi="Times New Roman" w:cs="Times New Roman"/>
                <w:sz w:val="26"/>
                <w:szCs w:val="26"/>
              </w:rPr>
              <w:t>majora sine – costul materiei prime cu cel puțin 40%, față de anul trecut, creând astfel majorări în lanț a prețurilor pentru produsele finite, în special pentru produsele social importante.</w:t>
            </w:r>
          </w:p>
          <w:p w:rsidR="002E1253" w:rsidRPr="007F4AC7" w:rsidRDefault="002E1253" w:rsidP="002E12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Totodată, pe lângă prețurile mari la motorină, prețurile la îngrășăminte au crescut de peste 3 ori față de anul trecut, iar producătorii agricoli sunt în situația în care necesită surse financiare suplimentare pentru efectuarea lucrărilor de sezon și întreținerea exploatațiilor agricole.</w:t>
            </w:r>
          </w:p>
          <w:p w:rsidR="002E1253" w:rsidRPr="007F4AC7" w:rsidRDefault="002E1253" w:rsidP="002E12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La fel, din cauza insuficienței precipitațiilor, în perioada optimă de semănat în toamna anului 2021, precum și din cauza întârzierii campaniei de recoltare a culturilor de câmp cu 2-3 săptămâni, suprafețele de toamnă semănate cu grâu, constituie cel mai mic indicator din ultimii 10 ani (cca 255 mii ha). </w:t>
            </w:r>
          </w:p>
          <w:p w:rsidR="008A26FE" w:rsidRPr="007F4AC7" w:rsidRDefault="00D401CD" w:rsidP="002E1253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Astfel, </w:t>
            </w:r>
            <w:r w:rsidR="002E1253"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pentru asigurarea necondiționată a securității alimentare a țării, </w:t>
            </w: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reieșind din sursele disponibile la Buget </w:t>
            </w:r>
            <w:r w:rsidR="00C244DB" w:rsidRPr="007F4AC7">
              <w:rPr>
                <w:rFonts w:ascii="Times New Roman" w:hAnsi="Times New Roman" w:cs="Times New Roman"/>
                <w:sz w:val="26"/>
                <w:szCs w:val="26"/>
              </w:rPr>
              <w:t>se propune</w:t>
            </w: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 acordarea a 200 mil lei din Fondul național de dezvoltare a agriculturii și mediului rural, pentru compensarea a 30% din cota accizei pentru motorină din anul 2022, ceea ce constituie 894 lei/tonă.</w:t>
            </w:r>
            <w:r w:rsidR="00B404B6" w:rsidRPr="007F4AC7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</w:p>
          <w:p w:rsidR="002E1253" w:rsidRPr="007F4AC7" w:rsidRDefault="002E1253" w:rsidP="00C244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AC7">
              <w:rPr>
                <w:rFonts w:ascii="Times New Roman" w:eastAsia="Arial Unicode MS" w:hAnsi="Times New Roman" w:cs="Times New Roman"/>
                <w:sz w:val="26"/>
                <w:szCs w:val="26"/>
              </w:rPr>
              <w:t>Sursele financiare direcționate spre compensarea accizei pentru motorină va asigura producătorii agricoli cu surse financiare, în contextul efectuării lucrărilor agricole de sezon și întreținerea exploatațiilor agricole.</w:t>
            </w:r>
          </w:p>
        </w:tc>
      </w:tr>
      <w:tr w:rsidR="008A26FE" w:rsidRPr="007F4AC7" w:rsidTr="00FB1926">
        <w:tc>
          <w:tcPr>
            <w:tcW w:w="9209" w:type="dxa"/>
          </w:tcPr>
          <w:p w:rsidR="008A26FE" w:rsidRPr="007F4AC7" w:rsidRDefault="00B404B6" w:rsidP="00821F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8A26FE" w:rsidRPr="007F4AC7" w:rsidTr="00FB1926">
        <w:tc>
          <w:tcPr>
            <w:tcW w:w="9209" w:type="dxa"/>
          </w:tcPr>
          <w:p w:rsidR="008A26FE" w:rsidRPr="007F4AC7" w:rsidRDefault="00B404B6" w:rsidP="00D401CD">
            <w:pPr>
              <w:pStyle w:val="NoSpacing"/>
              <w:spacing w:after="24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Proiectul nominalizat </w:t>
            </w:r>
            <w:r w:rsidRPr="007F4AC7">
              <w:rPr>
                <w:rFonts w:ascii="Times New Roman" w:hAnsi="Times New Roman" w:cs="Times New Roman"/>
                <w:sz w:val="26"/>
                <w:szCs w:val="26"/>
                <w:lang w:bidi="ro-RO"/>
              </w:rPr>
              <w:t>nu conține norme privind armonizarea legislației național</w:t>
            </w:r>
            <w:r w:rsidR="00D401CD" w:rsidRPr="007F4AC7">
              <w:rPr>
                <w:rFonts w:ascii="Times New Roman" w:hAnsi="Times New Roman" w:cs="Times New Roman"/>
                <w:sz w:val="26"/>
                <w:szCs w:val="26"/>
                <w:lang w:bidi="ro-RO"/>
              </w:rPr>
              <w:t>e cu legislația Uniunii Europene</w:t>
            </w:r>
          </w:p>
        </w:tc>
      </w:tr>
      <w:tr w:rsidR="008A26FE" w:rsidRPr="007F4AC7" w:rsidTr="00FB1926">
        <w:tc>
          <w:tcPr>
            <w:tcW w:w="9209" w:type="dxa"/>
          </w:tcPr>
          <w:p w:rsidR="008A26FE" w:rsidRPr="007F4AC7" w:rsidRDefault="00B404B6" w:rsidP="00821F18">
            <w:pPr>
              <w:pStyle w:val="NoSpacing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>Principalele prevederi ale proiectului și evidențierea elementelor noi</w:t>
            </w:r>
          </w:p>
        </w:tc>
      </w:tr>
      <w:tr w:rsidR="00FB1926" w:rsidRPr="007F4AC7" w:rsidTr="00FB1926">
        <w:tc>
          <w:tcPr>
            <w:tcW w:w="9209" w:type="dxa"/>
          </w:tcPr>
          <w:p w:rsidR="00FB1926" w:rsidRPr="007F4AC7" w:rsidRDefault="00FB1926" w:rsidP="000B0A3D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Proiectul hotărârii pentru aprobarea modului de acordare a mijloacelor Fondului național de dezvoltare a agriculturii și mediului rural pentru compensarea parțială a accizelor la motorină utilizată de producătorii agricoli în anul 2022, </w:t>
            </w:r>
            <w:proofErr w:type="spellStart"/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stabileşte</w:t>
            </w:r>
            <w:proofErr w:type="spellEnd"/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 modul de acordare a mijloacelor financiare destinate compensării </w:t>
            </w:r>
            <w:proofErr w:type="spellStart"/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parţiale</w:t>
            </w:r>
            <w:proofErr w:type="spellEnd"/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 a accizelor la motorină utilizată de producătorii agricoli în anul 2022 pentru efectuarea lucrărilor în exploatațiile agricole. </w:t>
            </w:r>
          </w:p>
          <w:p w:rsidR="00FB1926" w:rsidRPr="007F4AC7" w:rsidRDefault="00FB1926" w:rsidP="000B0A3D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În acest scop, din Fondul național de dezvoltare a agriculturii și mediului rural vor fi alocate surse financiare de 200 mil lei, care urmează a fi distribuite prin intermediul Agenției de Intervenție și Plăți pentru Agricultură.</w:t>
            </w:r>
          </w:p>
          <w:p w:rsidR="00FB1926" w:rsidRPr="007F4AC7" w:rsidRDefault="00FB1926" w:rsidP="000B0A3D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Accizele la motorină vo</w:t>
            </w:r>
            <w:r w:rsidR="00C244DB" w:rsidRPr="007F4AC7">
              <w:rPr>
                <w:rFonts w:ascii="Times New Roman" w:hAnsi="Times New Roman" w:cs="Times New Roman"/>
                <w:sz w:val="26"/>
                <w:szCs w:val="26"/>
              </w:rPr>
              <w:t>r fi compensate în mărime de 30</w:t>
            </w: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% din cota stabilită pentru anul 2022 sau 894 lei per tonă.</w:t>
            </w:r>
          </w:p>
          <w:p w:rsidR="00FB1926" w:rsidRPr="007F4AC7" w:rsidRDefault="00FB1926" w:rsidP="000B0A3D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De menționat că, în cadrul prezentului Regulament vor fi eligibili toate categoriile de producători agricoli, în sensul Legii nr. 276/2016 (micro, mici, mijlocii și mari).</w:t>
            </w:r>
          </w:p>
          <w:p w:rsidR="00FB1926" w:rsidRPr="007F4AC7" w:rsidRDefault="00FB1926" w:rsidP="000B0A3D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La fel, compensațiile respective urmează a fi distribuite pentru producătorii agricoli atât din sectorul vegetal, cât și pentru cei din sectorul </w:t>
            </w:r>
            <w:r w:rsidR="00B14A60" w:rsidRPr="007F4AC7">
              <w:rPr>
                <w:rFonts w:ascii="Times New Roman" w:hAnsi="Times New Roman" w:cs="Times New Roman"/>
                <w:sz w:val="26"/>
                <w:szCs w:val="26"/>
              </w:rPr>
              <w:t>zootehnic</w:t>
            </w: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, în baza unor norme care stabilesc cuantumul mediu necesar a motorinei pentru 1 ha și per cap de animal, specificat pentru fiecare în parte.</w:t>
            </w:r>
          </w:p>
          <w:p w:rsidR="000B0A3D" w:rsidRPr="007F4AC7" w:rsidRDefault="000B0A3D" w:rsidP="000B0A3D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Pentru a fi eligibile compensării, solicitanții trebuie:</w:t>
            </w:r>
          </w:p>
          <w:p w:rsidR="000B0A3D" w:rsidRPr="007F4AC7" w:rsidRDefault="000B0A3D" w:rsidP="000B0A3D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1) să fie înregistrați în modul stabilit, nu mai târziu de data depunerii cererii de solicitare a </w:t>
            </w:r>
            <w:r w:rsidR="00965703" w:rsidRPr="007F4AC7">
              <w:rPr>
                <w:rFonts w:ascii="Times New Roman" w:hAnsi="Times New Roman" w:cs="Times New Roman"/>
                <w:sz w:val="26"/>
                <w:szCs w:val="26"/>
              </w:rPr>
              <w:t>compensațiilor</w:t>
            </w: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0A3D" w:rsidRPr="007F4AC7" w:rsidRDefault="000B0A3D" w:rsidP="000B0A3D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2) să dețină legal terenurile agricole, exploatațiile zootehnice și alte exploatații agricole; </w:t>
            </w:r>
          </w:p>
          <w:p w:rsidR="000B0A3D" w:rsidRPr="007F4AC7" w:rsidRDefault="000B0A3D" w:rsidP="000B0A3D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3) exploatațiile agricole să fie cu termenul de </w:t>
            </w:r>
            <w:r w:rsidR="00605609" w:rsidRPr="007F4AC7">
              <w:rPr>
                <w:rFonts w:ascii="Times New Roman" w:hAnsi="Times New Roman" w:cs="Times New Roman"/>
                <w:sz w:val="26"/>
                <w:szCs w:val="26"/>
              </w:rPr>
              <w:t>funcționare</w:t>
            </w: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 utilă neexpirat;</w:t>
            </w:r>
          </w:p>
          <w:p w:rsidR="000B0A3D" w:rsidRPr="007F4AC7" w:rsidRDefault="000B0A3D" w:rsidP="000B0A3D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4) motorina să fie utilizată pentru efectuarea lucrărilor în exploatațiile agricole.</w:t>
            </w:r>
          </w:p>
          <w:p w:rsidR="000B0A3D" w:rsidRPr="007F4AC7" w:rsidRDefault="000B0A3D" w:rsidP="00C244DB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La fel, </w:t>
            </w:r>
            <w:r w:rsidR="00C244DB" w:rsidRPr="007F4AC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osarul de acordare a compensației va conține un șir de documente obligatorii în contextul solicitării compensației pentru sectorul vegetal și zootehnic.</w:t>
            </w:r>
          </w:p>
          <w:p w:rsidR="007F4AC7" w:rsidRPr="007F4AC7" w:rsidRDefault="007F4AC7" w:rsidP="007D5E9B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Subsidiar, pentru implementarea Regulamentului respectiv, la elaborarea proiectului de modificare a Legii bugetului de stat nr. 205/2021, Ministerul Agriculturii și </w:t>
            </w:r>
            <w:r w:rsidR="007D5E9B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bookmarkStart w:id="0" w:name="_GoBack"/>
            <w:bookmarkEnd w:id="0"/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ndustriei Alimentare va înainta propuneri de modificare a Legii nr. 276/2016 cu privire la principiile de subvenționare în dezvoltarea agriculturii și mediului rural, prin includerea unor derogări de la prevederile prezentei legi, unde mijloacele Fondului național de dezvoltare a agriculturii și mediului rural vor fi utilizate, în mărimea și modul stabilite de către Guvern, pentru compensarea parțială a accizelor la motorină utilizată de producătorii agricoli în anul 2022.</w:t>
            </w:r>
          </w:p>
        </w:tc>
      </w:tr>
      <w:tr w:rsidR="008A26FE" w:rsidRPr="007F4AC7" w:rsidTr="00FB1926">
        <w:trPr>
          <w:trHeight w:val="426"/>
        </w:trPr>
        <w:tc>
          <w:tcPr>
            <w:tcW w:w="9209" w:type="dxa"/>
            <w:vAlign w:val="center"/>
          </w:tcPr>
          <w:p w:rsidR="008A26FE" w:rsidRPr="007F4AC7" w:rsidRDefault="007B777A" w:rsidP="00821F18">
            <w:pPr>
              <w:pStyle w:val="NoSpacing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Fundamentarea </w:t>
            </w:r>
            <w:proofErr w:type="spellStart"/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>economico</w:t>
            </w:r>
            <w:proofErr w:type="spellEnd"/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>-financiară</w:t>
            </w:r>
          </w:p>
        </w:tc>
      </w:tr>
      <w:tr w:rsidR="008A26FE" w:rsidRPr="007F4AC7" w:rsidTr="00FB1926">
        <w:trPr>
          <w:trHeight w:val="702"/>
        </w:trPr>
        <w:tc>
          <w:tcPr>
            <w:tcW w:w="9209" w:type="dxa"/>
          </w:tcPr>
          <w:p w:rsidR="008A26FE" w:rsidRPr="007F4AC7" w:rsidRDefault="00174A89" w:rsidP="00C70BA5">
            <w:pPr>
              <w:pStyle w:val="NoSpacing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Pentru implementare acestui proiect vor fi alocate surse financiare în mărime de 200 mil lei din Fondul național a agriculturii și mediului rural.</w:t>
            </w:r>
          </w:p>
        </w:tc>
      </w:tr>
      <w:tr w:rsidR="008A26FE" w:rsidRPr="007F4AC7" w:rsidTr="00FB1926">
        <w:trPr>
          <w:trHeight w:val="472"/>
        </w:trPr>
        <w:tc>
          <w:tcPr>
            <w:tcW w:w="9209" w:type="dxa"/>
            <w:vAlign w:val="center"/>
          </w:tcPr>
          <w:p w:rsidR="008A26FE" w:rsidRPr="007F4AC7" w:rsidRDefault="007B777A" w:rsidP="00821F18">
            <w:pPr>
              <w:pStyle w:val="NoSpacing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>Modul de încorporare a actului în cadrul normativ în vigoare</w:t>
            </w:r>
          </w:p>
        </w:tc>
      </w:tr>
      <w:tr w:rsidR="008A26FE" w:rsidRPr="007F4AC7" w:rsidTr="00FB1926">
        <w:tc>
          <w:tcPr>
            <w:tcW w:w="9209" w:type="dxa"/>
          </w:tcPr>
          <w:p w:rsidR="008A26FE" w:rsidRPr="007F4AC7" w:rsidRDefault="007B777A" w:rsidP="00174A89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Proiectul este elaborat </w:t>
            </w:r>
            <w:r w:rsidR="00174A89"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în temeiul art. 2 lit. e) din Legea bugetului de stat pentru anul 2022 nr. </w:t>
            </w:r>
            <w:r w:rsidR="00C244DB"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205/2021 </w:t>
            </w:r>
            <w:r w:rsidR="00174A89" w:rsidRPr="007F4AC7">
              <w:rPr>
                <w:rFonts w:ascii="Times New Roman" w:hAnsi="Times New Roman" w:cs="Times New Roman"/>
                <w:sz w:val="26"/>
                <w:szCs w:val="26"/>
              </w:rPr>
              <w:t>(Monitorul Oficial al Republicii Moldova</w:t>
            </w:r>
            <w:r w:rsidR="00C244DB"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, 2021, </w:t>
            </w:r>
            <w:r w:rsidR="00174A89" w:rsidRPr="007F4AC7">
              <w:rPr>
                <w:rFonts w:ascii="Times New Roman" w:hAnsi="Times New Roman" w:cs="Times New Roman"/>
                <w:sz w:val="26"/>
                <w:szCs w:val="26"/>
              </w:rPr>
              <w:t>nr. 315-324, art. 478)</w:t>
            </w:r>
          </w:p>
        </w:tc>
      </w:tr>
      <w:tr w:rsidR="008A26FE" w:rsidRPr="007F4AC7" w:rsidTr="00FB1926">
        <w:trPr>
          <w:trHeight w:val="459"/>
        </w:trPr>
        <w:tc>
          <w:tcPr>
            <w:tcW w:w="9209" w:type="dxa"/>
            <w:vAlign w:val="center"/>
          </w:tcPr>
          <w:p w:rsidR="008A26FE" w:rsidRPr="007F4AC7" w:rsidRDefault="007B777A" w:rsidP="00821F18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Avizarea </w:t>
            </w:r>
            <w:proofErr w:type="spellStart"/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consultarea publică a proiectului</w:t>
            </w:r>
          </w:p>
        </w:tc>
      </w:tr>
      <w:tr w:rsidR="008A26FE" w:rsidRPr="007F4AC7" w:rsidTr="00FB1926">
        <w:tc>
          <w:tcPr>
            <w:tcW w:w="9209" w:type="dxa"/>
          </w:tcPr>
          <w:p w:rsidR="008A26FE" w:rsidRPr="007F4AC7" w:rsidRDefault="00174A89" w:rsidP="00F82C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Proiectul </w:t>
            </w:r>
            <w:r w:rsidR="00F82CA1"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a fost plasat spre consultări publice pe pagina web a Ministerului și particip.gov.md </w:t>
            </w:r>
          </w:p>
        </w:tc>
      </w:tr>
      <w:tr w:rsidR="00D371A8" w:rsidRPr="007F4AC7" w:rsidTr="00FB1926">
        <w:tc>
          <w:tcPr>
            <w:tcW w:w="9209" w:type="dxa"/>
          </w:tcPr>
          <w:p w:rsidR="00D371A8" w:rsidRPr="007F4AC7" w:rsidRDefault="00D371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>8. Constatările expertizei anticorupție</w:t>
            </w:r>
          </w:p>
        </w:tc>
      </w:tr>
      <w:tr w:rsidR="00D371A8" w:rsidRPr="007F4AC7" w:rsidTr="00FB1926">
        <w:tc>
          <w:tcPr>
            <w:tcW w:w="9209" w:type="dxa"/>
          </w:tcPr>
          <w:p w:rsidR="00D371A8" w:rsidRPr="007F4AC7" w:rsidRDefault="00D371A8" w:rsidP="00E53DA7">
            <w:pPr>
              <w:tabs>
                <w:tab w:val="left" w:pos="884"/>
                <w:tab w:val="left" w:pos="119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A8" w:rsidRPr="007F4AC7" w:rsidTr="00FB1926">
        <w:tc>
          <w:tcPr>
            <w:tcW w:w="9209" w:type="dxa"/>
          </w:tcPr>
          <w:p w:rsidR="00D371A8" w:rsidRPr="007F4AC7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>9. Constatările expertizei de compatibilitate</w:t>
            </w:r>
          </w:p>
        </w:tc>
      </w:tr>
      <w:tr w:rsidR="00D371A8" w:rsidRPr="007F4AC7" w:rsidTr="00FB1926">
        <w:tc>
          <w:tcPr>
            <w:tcW w:w="9209" w:type="dxa"/>
          </w:tcPr>
          <w:p w:rsidR="00D371A8" w:rsidRPr="007F4AC7" w:rsidRDefault="00D371A8" w:rsidP="00174A89">
            <w:pPr>
              <w:tabs>
                <w:tab w:val="left" w:pos="884"/>
                <w:tab w:val="left" w:pos="1196"/>
              </w:tabs>
              <w:spacing w:after="8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sz w:val="26"/>
                <w:szCs w:val="26"/>
              </w:rPr>
              <w:t>Nu este necesară.</w:t>
            </w:r>
            <w:r w:rsidR="00FD1DE0" w:rsidRPr="007F4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71A8" w:rsidRPr="007F4AC7" w:rsidTr="00FB1926">
        <w:tc>
          <w:tcPr>
            <w:tcW w:w="9209" w:type="dxa"/>
          </w:tcPr>
          <w:p w:rsidR="00D371A8" w:rsidRPr="007F4AC7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>10. Constatările expertizei juridice</w:t>
            </w:r>
          </w:p>
        </w:tc>
      </w:tr>
      <w:tr w:rsidR="00D371A8" w:rsidRPr="007F4AC7" w:rsidTr="00FB1926">
        <w:tc>
          <w:tcPr>
            <w:tcW w:w="9209" w:type="dxa"/>
          </w:tcPr>
          <w:p w:rsidR="00D371A8" w:rsidRPr="007F4AC7" w:rsidRDefault="00D371A8">
            <w:pPr>
              <w:tabs>
                <w:tab w:val="left" w:pos="99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D371A8" w:rsidRPr="007F4AC7" w:rsidTr="00FB1926">
        <w:tc>
          <w:tcPr>
            <w:tcW w:w="9209" w:type="dxa"/>
          </w:tcPr>
          <w:p w:rsidR="00D371A8" w:rsidRPr="007F4AC7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b/>
                <w:sz w:val="26"/>
                <w:szCs w:val="26"/>
              </w:rPr>
              <w:t>11. Constatările altor expertize</w:t>
            </w:r>
          </w:p>
        </w:tc>
      </w:tr>
      <w:tr w:rsidR="00D371A8" w:rsidRPr="007F4AC7" w:rsidTr="00FB1926">
        <w:tc>
          <w:tcPr>
            <w:tcW w:w="9209" w:type="dxa"/>
          </w:tcPr>
          <w:p w:rsidR="00D371A8" w:rsidRPr="007F4AC7" w:rsidRDefault="00302A18" w:rsidP="00821F1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4AC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</w:tbl>
    <w:p w:rsidR="00C37015" w:rsidRPr="007F4AC7" w:rsidRDefault="00C37015" w:rsidP="00821F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14A60" w:rsidRDefault="00B14A60" w:rsidP="00821F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F4AC7" w:rsidRPr="007F4AC7" w:rsidRDefault="007F4AC7" w:rsidP="00821F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74F1" w:rsidRPr="007F4AC7" w:rsidRDefault="00C90E6D" w:rsidP="008800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AC7">
        <w:rPr>
          <w:rFonts w:ascii="Times New Roman" w:hAnsi="Times New Roman" w:cs="Times New Roman"/>
          <w:b/>
          <w:sz w:val="26"/>
          <w:szCs w:val="26"/>
        </w:rPr>
        <w:t>Ministru</w:t>
      </w:r>
      <w:r w:rsidR="006774F1" w:rsidRPr="007F4AC7">
        <w:rPr>
          <w:rFonts w:ascii="Times New Roman" w:hAnsi="Times New Roman" w:cs="Times New Roman"/>
          <w:b/>
          <w:sz w:val="26"/>
          <w:szCs w:val="26"/>
        </w:rPr>
        <w:tab/>
      </w:r>
      <w:r w:rsidR="006774F1" w:rsidRPr="007F4AC7">
        <w:rPr>
          <w:rFonts w:ascii="Times New Roman" w:hAnsi="Times New Roman" w:cs="Times New Roman"/>
          <w:b/>
          <w:sz w:val="26"/>
          <w:szCs w:val="26"/>
        </w:rPr>
        <w:tab/>
      </w:r>
      <w:r w:rsidR="00FB1926" w:rsidRPr="007F4AC7">
        <w:rPr>
          <w:rFonts w:ascii="Times New Roman" w:hAnsi="Times New Roman" w:cs="Times New Roman"/>
          <w:b/>
          <w:sz w:val="26"/>
          <w:szCs w:val="26"/>
        </w:rPr>
        <w:tab/>
      </w:r>
      <w:r w:rsidR="00714139" w:rsidRPr="007F4AC7">
        <w:rPr>
          <w:rFonts w:ascii="Times New Roman" w:hAnsi="Times New Roman" w:cs="Times New Roman"/>
          <w:b/>
          <w:sz w:val="26"/>
          <w:szCs w:val="26"/>
        </w:rPr>
        <w:tab/>
      </w:r>
      <w:r w:rsidR="006774F1" w:rsidRPr="007F4AC7">
        <w:rPr>
          <w:rFonts w:ascii="Times New Roman" w:hAnsi="Times New Roman" w:cs="Times New Roman"/>
          <w:b/>
          <w:sz w:val="26"/>
          <w:szCs w:val="26"/>
        </w:rPr>
        <w:tab/>
      </w:r>
      <w:r w:rsidR="006774F1" w:rsidRPr="007F4AC7">
        <w:rPr>
          <w:rFonts w:ascii="Times New Roman" w:hAnsi="Times New Roman" w:cs="Times New Roman"/>
          <w:b/>
          <w:sz w:val="26"/>
          <w:szCs w:val="26"/>
        </w:rPr>
        <w:tab/>
      </w:r>
      <w:r w:rsidR="006774F1" w:rsidRPr="007F4AC7">
        <w:rPr>
          <w:rFonts w:ascii="Times New Roman" w:hAnsi="Times New Roman" w:cs="Times New Roman"/>
          <w:b/>
          <w:sz w:val="26"/>
          <w:szCs w:val="26"/>
        </w:rPr>
        <w:tab/>
      </w:r>
      <w:r w:rsidRPr="007F4AC7">
        <w:rPr>
          <w:rFonts w:ascii="Times New Roman" w:hAnsi="Times New Roman" w:cs="Times New Roman"/>
          <w:b/>
          <w:sz w:val="26"/>
          <w:szCs w:val="26"/>
        </w:rPr>
        <w:t>Viorel GHERCIU</w:t>
      </w:r>
    </w:p>
    <w:p w:rsidR="00B14A60" w:rsidRPr="00C70BA5" w:rsidRDefault="00B14A60" w:rsidP="0088003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F1C6C" w:rsidRPr="00821F18" w:rsidRDefault="004F1C6C" w:rsidP="006774F1">
      <w:pPr>
        <w:pStyle w:val="NoSpacing"/>
        <w:ind w:firstLine="426"/>
        <w:rPr>
          <w:rFonts w:ascii="Times New Roman" w:hAnsi="Times New Roman" w:cs="Times New Roman"/>
          <w:sz w:val="2"/>
          <w:szCs w:val="2"/>
          <w:lang w:val="en-US"/>
        </w:rPr>
      </w:pPr>
    </w:p>
    <w:p w:rsidR="00FB5B07" w:rsidRPr="006A5B29" w:rsidRDefault="00FB5B07" w:rsidP="00821F18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sectPr w:rsidR="00FB5B07" w:rsidRPr="006A5B29" w:rsidSect="007F4AC7">
      <w:pgSz w:w="11906" w:h="16838" w:code="9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3CC4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83B9A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F502A"/>
    <w:multiLevelType w:val="hybridMultilevel"/>
    <w:tmpl w:val="7BA29868"/>
    <w:lvl w:ilvl="0" w:tplc="60700FC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843553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F5877"/>
    <w:multiLevelType w:val="hybridMultilevel"/>
    <w:tmpl w:val="D7FA4C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71A6"/>
    <w:multiLevelType w:val="hybridMultilevel"/>
    <w:tmpl w:val="098A4F7C"/>
    <w:lvl w:ilvl="0" w:tplc="B850548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17CB1"/>
    <w:multiLevelType w:val="hybridMultilevel"/>
    <w:tmpl w:val="58AAD444"/>
    <w:lvl w:ilvl="0" w:tplc="D15C6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A45920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B"/>
    <w:rsid w:val="000155E2"/>
    <w:rsid w:val="00016AA5"/>
    <w:rsid w:val="00031639"/>
    <w:rsid w:val="0003270B"/>
    <w:rsid w:val="00034C9B"/>
    <w:rsid w:val="0003558E"/>
    <w:rsid w:val="00044542"/>
    <w:rsid w:val="00052A52"/>
    <w:rsid w:val="00053074"/>
    <w:rsid w:val="000978E5"/>
    <w:rsid w:val="000A3406"/>
    <w:rsid w:val="000B0A3D"/>
    <w:rsid w:val="000C3060"/>
    <w:rsid w:val="000D64D4"/>
    <w:rsid w:val="000E002E"/>
    <w:rsid w:val="000E5022"/>
    <w:rsid w:val="00105262"/>
    <w:rsid w:val="0010699A"/>
    <w:rsid w:val="00110364"/>
    <w:rsid w:val="00135DD3"/>
    <w:rsid w:val="00174A89"/>
    <w:rsid w:val="00190770"/>
    <w:rsid w:val="00191A6B"/>
    <w:rsid w:val="001A1FD3"/>
    <w:rsid w:val="001A5E50"/>
    <w:rsid w:val="001B7229"/>
    <w:rsid w:val="001D716B"/>
    <w:rsid w:val="001E0F4C"/>
    <w:rsid w:val="001E6616"/>
    <w:rsid w:val="00200CC9"/>
    <w:rsid w:val="002029FC"/>
    <w:rsid w:val="002035B2"/>
    <w:rsid w:val="00203D22"/>
    <w:rsid w:val="00212AFF"/>
    <w:rsid w:val="00251BC0"/>
    <w:rsid w:val="00253CEA"/>
    <w:rsid w:val="00264F70"/>
    <w:rsid w:val="002652BE"/>
    <w:rsid w:val="00265C11"/>
    <w:rsid w:val="00283C2A"/>
    <w:rsid w:val="00286037"/>
    <w:rsid w:val="00293C9D"/>
    <w:rsid w:val="002B1B1F"/>
    <w:rsid w:val="002B417F"/>
    <w:rsid w:val="002B6BF6"/>
    <w:rsid w:val="002C4C9D"/>
    <w:rsid w:val="002E1253"/>
    <w:rsid w:val="00302A18"/>
    <w:rsid w:val="00304449"/>
    <w:rsid w:val="00305C2F"/>
    <w:rsid w:val="003443AE"/>
    <w:rsid w:val="003519B6"/>
    <w:rsid w:val="003528C8"/>
    <w:rsid w:val="00354205"/>
    <w:rsid w:val="00354650"/>
    <w:rsid w:val="00357054"/>
    <w:rsid w:val="00373F63"/>
    <w:rsid w:val="00396A80"/>
    <w:rsid w:val="003C0EEB"/>
    <w:rsid w:val="003C3EA3"/>
    <w:rsid w:val="003D127B"/>
    <w:rsid w:val="003F5E92"/>
    <w:rsid w:val="00401DDF"/>
    <w:rsid w:val="00404DA4"/>
    <w:rsid w:val="00423BE9"/>
    <w:rsid w:val="00435AAF"/>
    <w:rsid w:val="0043721C"/>
    <w:rsid w:val="00442B64"/>
    <w:rsid w:val="00455D77"/>
    <w:rsid w:val="00461DB3"/>
    <w:rsid w:val="004742EF"/>
    <w:rsid w:val="00477ED5"/>
    <w:rsid w:val="00484DB2"/>
    <w:rsid w:val="00485C66"/>
    <w:rsid w:val="00486FEB"/>
    <w:rsid w:val="00487303"/>
    <w:rsid w:val="004C52A2"/>
    <w:rsid w:val="004F1C6C"/>
    <w:rsid w:val="00505E22"/>
    <w:rsid w:val="0051551A"/>
    <w:rsid w:val="00531757"/>
    <w:rsid w:val="00533C65"/>
    <w:rsid w:val="00552F9B"/>
    <w:rsid w:val="005570BB"/>
    <w:rsid w:val="0056775B"/>
    <w:rsid w:val="0058012A"/>
    <w:rsid w:val="00583356"/>
    <w:rsid w:val="0059069A"/>
    <w:rsid w:val="00592F8C"/>
    <w:rsid w:val="005A6C93"/>
    <w:rsid w:val="005A70E2"/>
    <w:rsid w:val="005B2FA4"/>
    <w:rsid w:val="005C4F7F"/>
    <w:rsid w:val="005D3913"/>
    <w:rsid w:val="005E2CE8"/>
    <w:rsid w:val="005F232D"/>
    <w:rsid w:val="005F345D"/>
    <w:rsid w:val="005F4DA9"/>
    <w:rsid w:val="00600FD2"/>
    <w:rsid w:val="00605609"/>
    <w:rsid w:val="006135A2"/>
    <w:rsid w:val="006312E9"/>
    <w:rsid w:val="00633DD2"/>
    <w:rsid w:val="006445BE"/>
    <w:rsid w:val="00651AB5"/>
    <w:rsid w:val="00674B35"/>
    <w:rsid w:val="006774F1"/>
    <w:rsid w:val="0068747B"/>
    <w:rsid w:val="00694383"/>
    <w:rsid w:val="006966FD"/>
    <w:rsid w:val="006A4773"/>
    <w:rsid w:val="006A583F"/>
    <w:rsid w:val="006A5B29"/>
    <w:rsid w:val="006B64CF"/>
    <w:rsid w:val="006D1EC1"/>
    <w:rsid w:val="006E154F"/>
    <w:rsid w:val="006E619E"/>
    <w:rsid w:val="006F271A"/>
    <w:rsid w:val="00714139"/>
    <w:rsid w:val="00714EBC"/>
    <w:rsid w:val="0075681E"/>
    <w:rsid w:val="007A5C64"/>
    <w:rsid w:val="007B777A"/>
    <w:rsid w:val="007C34C7"/>
    <w:rsid w:val="007C79C0"/>
    <w:rsid w:val="007D5E9B"/>
    <w:rsid w:val="007D75C9"/>
    <w:rsid w:val="007E7138"/>
    <w:rsid w:val="007E7A6F"/>
    <w:rsid w:val="007F0028"/>
    <w:rsid w:val="007F3DCB"/>
    <w:rsid w:val="007F4AC7"/>
    <w:rsid w:val="007F5C63"/>
    <w:rsid w:val="007F784B"/>
    <w:rsid w:val="00801F3B"/>
    <w:rsid w:val="00816506"/>
    <w:rsid w:val="00817BAD"/>
    <w:rsid w:val="008214CC"/>
    <w:rsid w:val="00821F18"/>
    <w:rsid w:val="0083664F"/>
    <w:rsid w:val="00840FFD"/>
    <w:rsid w:val="00841E4B"/>
    <w:rsid w:val="00843CE1"/>
    <w:rsid w:val="00852165"/>
    <w:rsid w:val="00862533"/>
    <w:rsid w:val="00876D54"/>
    <w:rsid w:val="0088003E"/>
    <w:rsid w:val="00882E93"/>
    <w:rsid w:val="00883880"/>
    <w:rsid w:val="008A26FE"/>
    <w:rsid w:val="008A5B0A"/>
    <w:rsid w:val="008A7513"/>
    <w:rsid w:val="008B1819"/>
    <w:rsid w:val="008B3D9C"/>
    <w:rsid w:val="008C5B79"/>
    <w:rsid w:val="008D0D76"/>
    <w:rsid w:val="008D560C"/>
    <w:rsid w:val="008E3470"/>
    <w:rsid w:val="008F0A61"/>
    <w:rsid w:val="009007B8"/>
    <w:rsid w:val="00901294"/>
    <w:rsid w:val="00902038"/>
    <w:rsid w:val="00933BE2"/>
    <w:rsid w:val="0095752E"/>
    <w:rsid w:val="00965703"/>
    <w:rsid w:val="00981C5B"/>
    <w:rsid w:val="009A0E0D"/>
    <w:rsid w:val="009A2E7D"/>
    <w:rsid w:val="009B6AAD"/>
    <w:rsid w:val="009D20BD"/>
    <w:rsid w:val="009D2CA8"/>
    <w:rsid w:val="009D5F96"/>
    <w:rsid w:val="009E6C16"/>
    <w:rsid w:val="009F3015"/>
    <w:rsid w:val="009F6832"/>
    <w:rsid w:val="00A23DF2"/>
    <w:rsid w:val="00A30B52"/>
    <w:rsid w:val="00A538C6"/>
    <w:rsid w:val="00A54C02"/>
    <w:rsid w:val="00A54CF6"/>
    <w:rsid w:val="00A64BF9"/>
    <w:rsid w:val="00A74930"/>
    <w:rsid w:val="00A76EC4"/>
    <w:rsid w:val="00A90F1E"/>
    <w:rsid w:val="00A9689A"/>
    <w:rsid w:val="00AA25DE"/>
    <w:rsid w:val="00AA7650"/>
    <w:rsid w:val="00AB0B42"/>
    <w:rsid w:val="00AE366D"/>
    <w:rsid w:val="00AF7676"/>
    <w:rsid w:val="00B01798"/>
    <w:rsid w:val="00B05773"/>
    <w:rsid w:val="00B119CA"/>
    <w:rsid w:val="00B14A60"/>
    <w:rsid w:val="00B404B6"/>
    <w:rsid w:val="00B506B6"/>
    <w:rsid w:val="00B717B0"/>
    <w:rsid w:val="00B75824"/>
    <w:rsid w:val="00B87A89"/>
    <w:rsid w:val="00BA1D8C"/>
    <w:rsid w:val="00BC5688"/>
    <w:rsid w:val="00BD1209"/>
    <w:rsid w:val="00BE3716"/>
    <w:rsid w:val="00C00D97"/>
    <w:rsid w:val="00C0500F"/>
    <w:rsid w:val="00C05BBC"/>
    <w:rsid w:val="00C151CE"/>
    <w:rsid w:val="00C244DB"/>
    <w:rsid w:val="00C37015"/>
    <w:rsid w:val="00C533A6"/>
    <w:rsid w:val="00C551C9"/>
    <w:rsid w:val="00C61643"/>
    <w:rsid w:val="00C70BA5"/>
    <w:rsid w:val="00C77552"/>
    <w:rsid w:val="00C77F1F"/>
    <w:rsid w:val="00C87DE8"/>
    <w:rsid w:val="00C90E6D"/>
    <w:rsid w:val="00C9635A"/>
    <w:rsid w:val="00CA11A5"/>
    <w:rsid w:val="00CD1D9D"/>
    <w:rsid w:val="00CE3264"/>
    <w:rsid w:val="00CE4E30"/>
    <w:rsid w:val="00CF01E2"/>
    <w:rsid w:val="00D06090"/>
    <w:rsid w:val="00D1070B"/>
    <w:rsid w:val="00D252CC"/>
    <w:rsid w:val="00D30D2C"/>
    <w:rsid w:val="00D371A8"/>
    <w:rsid w:val="00D401CD"/>
    <w:rsid w:val="00D57398"/>
    <w:rsid w:val="00D67604"/>
    <w:rsid w:val="00D72B66"/>
    <w:rsid w:val="00D76F35"/>
    <w:rsid w:val="00D856B1"/>
    <w:rsid w:val="00D8590B"/>
    <w:rsid w:val="00D92294"/>
    <w:rsid w:val="00DB20B3"/>
    <w:rsid w:val="00DB25E4"/>
    <w:rsid w:val="00DD5554"/>
    <w:rsid w:val="00DD5ED2"/>
    <w:rsid w:val="00DE6B4B"/>
    <w:rsid w:val="00DF0C38"/>
    <w:rsid w:val="00DF5566"/>
    <w:rsid w:val="00E265EC"/>
    <w:rsid w:val="00E41F6B"/>
    <w:rsid w:val="00E43756"/>
    <w:rsid w:val="00E43BF5"/>
    <w:rsid w:val="00E46302"/>
    <w:rsid w:val="00E53DA7"/>
    <w:rsid w:val="00E65901"/>
    <w:rsid w:val="00E84C70"/>
    <w:rsid w:val="00EA5D19"/>
    <w:rsid w:val="00EB6A8A"/>
    <w:rsid w:val="00EC4F71"/>
    <w:rsid w:val="00EC614C"/>
    <w:rsid w:val="00EC649C"/>
    <w:rsid w:val="00EC6634"/>
    <w:rsid w:val="00ED2C77"/>
    <w:rsid w:val="00EE4231"/>
    <w:rsid w:val="00EF5DDA"/>
    <w:rsid w:val="00F06E5F"/>
    <w:rsid w:val="00F07C43"/>
    <w:rsid w:val="00F23432"/>
    <w:rsid w:val="00F3249C"/>
    <w:rsid w:val="00F43C39"/>
    <w:rsid w:val="00F52246"/>
    <w:rsid w:val="00F5404A"/>
    <w:rsid w:val="00F82CA1"/>
    <w:rsid w:val="00F83ACE"/>
    <w:rsid w:val="00F87C82"/>
    <w:rsid w:val="00FA18A5"/>
    <w:rsid w:val="00FA3E03"/>
    <w:rsid w:val="00FB1237"/>
    <w:rsid w:val="00FB1926"/>
    <w:rsid w:val="00FB5B07"/>
    <w:rsid w:val="00FD1DE0"/>
    <w:rsid w:val="00FE450B"/>
    <w:rsid w:val="00FE4D99"/>
    <w:rsid w:val="00FF1655"/>
    <w:rsid w:val="00FF3937"/>
    <w:rsid w:val="00FF4D6D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0DA0-68E6-4F57-86E2-2CA5AC66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EB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0">
    <w:name w:val="Font Style20"/>
    <w:basedOn w:val="DefaultParagraphFont"/>
    <w:uiPriority w:val="99"/>
    <w:rsid w:val="00486FEB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86FE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59"/>
    <w:rsid w:val="0048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486FEB"/>
    <w:rPr>
      <w:lang w:val="ro-RO"/>
    </w:rPr>
  </w:style>
  <w:style w:type="character" w:customStyle="1" w:styleId="2">
    <w:name w:val="Основной текст (2)"/>
    <w:basedOn w:val="DefaultParagraphFont"/>
    <w:rsid w:val="0048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docheader">
    <w:name w:val="doc_header"/>
    <w:basedOn w:val="DefaultParagraphFont"/>
    <w:rsid w:val="002B417F"/>
  </w:style>
  <w:style w:type="character" w:customStyle="1" w:styleId="1">
    <w:name w:val="Заголовок №1"/>
    <w:basedOn w:val="DefaultParagraphFont"/>
    <w:rsid w:val="007F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o-RO" w:eastAsia="ro-RO" w:bidi="ro-RO"/>
    </w:rPr>
  </w:style>
  <w:style w:type="character" w:customStyle="1" w:styleId="20">
    <w:name w:val="Основной текст (2) + Курсив"/>
    <w:rsid w:val="005A6C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E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BC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AF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304A-5B8F-4A4C-9B0D-EF91F183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Sandu</dc:creator>
  <cp:keywords/>
  <dc:description/>
  <cp:lastModifiedBy>Grigoriță Veaceslav</cp:lastModifiedBy>
  <cp:revision>56</cp:revision>
  <cp:lastPrinted>2021-12-29T05:43:00Z</cp:lastPrinted>
  <dcterms:created xsi:type="dcterms:W3CDTF">2022-03-31T14:03:00Z</dcterms:created>
  <dcterms:modified xsi:type="dcterms:W3CDTF">2022-04-04T07:07:00Z</dcterms:modified>
</cp:coreProperties>
</file>