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D8FB2" w14:textId="77777777" w:rsidR="005A6977" w:rsidRPr="00945DEC" w:rsidRDefault="005A6977" w:rsidP="009D74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14:paraId="000B78E1" w14:textId="1B2320B6" w:rsidR="00712169" w:rsidRPr="00945DEC" w:rsidRDefault="005A6977" w:rsidP="00B40055">
      <w:pPr>
        <w:pStyle w:val="4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ro-RO"/>
        </w:rPr>
      </w:pPr>
      <w:r w:rsidRPr="00945DEC">
        <w:rPr>
          <w:color w:val="000000" w:themeColor="text1"/>
          <w:lang w:val="ro-RO"/>
        </w:rPr>
        <w:t xml:space="preserve">la </w:t>
      </w:r>
      <w:r w:rsidR="00DF710D" w:rsidRPr="00945DEC">
        <w:rPr>
          <w:color w:val="000000" w:themeColor="text1"/>
          <w:lang w:val="ro-RO"/>
        </w:rPr>
        <w:t>proiectul Hotărâ</w:t>
      </w:r>
      <w:r w:rsidR="001622D3" w:rsidRPr="00945DEC">
        <w:rPr>
          <w:color w:val="000000" w:themeColor="text1"/>
          <w:lang w:val="ro-RO"/>
        </w:rPr>
        <w:t xml:space="preserve">rii Guvernului </w:t>
      </w:r>
      <w:r w:rsidR="000442D0" w:rsidRPr="00945DEC">
        <w:rPr>
          <w:color w:val="000000" w:themeColor="text1"/>
          <w:lang w:val="ro-RO"/>
        </w:rPr>
        <w:t>cu privire la modificarea Hotărâ</w:t>
      </w:r>
      <w:r w:rsidR="00712169" w:rsidRPr="00945DEC">
        <w:rPr>
          <w:color w:val="000000" w:themeColor="text1"/>
          <w:lang w:val="ro-RO"/>
        </w:rPr>
        <w:t>rii Guvernului</w:t>
      </w:r>
      <w:r w:rsidR="009D748E" w:rsidRPr="00945DEC">
        <w:rPr>
          <w:color w:val="000000" w:themeColor="text1"/>
          <w:lang w:val="ro-RO"/>
        </w:rPr>
        <w:t xml:space="preserve"> </w:t>
      </w:r>
      <w:r w:rsidR="00712169" w:rsidRPr="00945DEC">
        <w:rPr>
          <w:color w:val="000000" w:themeColor="text1"/>
          <w:lang w:val="ro-RO"/>
        </w:rPr>
        <w:t xml:space="preserve">nr. 969/2018 pentru aprobarea Regulamentului privind acordarea compensațiilor bănești anuale personalului </w:t>
      </w:r>
      <w:r w:rsidR="00A52B04" w:rsidRPr="00945DEC">
        <w:rPr>
          <w:color w:val="000000" w:themeColor="text1"/>
          <w:lang w:val="ro-RO"/>
        </w:rPr>
        <w:t xml:space="preserve">de conducere </w:t>
      </w:r>
      <w:proofErr w:type="spellStart"/>
      <w:r w:rsidR="00A52B04" w:rsidRPr="00945DEC">
        <w:rPr>
          <w:color w:val="000000" w:themeColor="text1"/>
          <w:lang w:val="ro-RO"/>
        </w:rPr>
        <w:t>şi</w:t>
      </w:r>
      <w:proofErr w:type="spellEnd"/>
      <w:r w:rsidR="00A52B04" w:rsidRPr="00945DEC">
        <w:rPr>
          <w:color w:val="000000" w:themeColor="text1"/>
          <w:lang w:val="ro-RO"/>
        </w:rPr>
        <w:t xml:space="preserve">​ </w:t>
      </w:r>
      <w:r w:rsidR="00712169" w:rsidRPr="00945DEC">
        <w:rPr>
          <w:color w:val="000000" w:themeColor="text1"/>
          <w:lang w:val="ro-RO"/>
        </w:rPr>
        <w:t xml:space="preserve">didactic din </w:t>
      </w:r>
      <w:r w:rsidR="000442D0" w:rsidRPr="00945DEC">
        <w:rPr>
          <w:color w:val="000000" w:themeColor="text1"/>
          <w:lang w:val="ro-RO"/>
        </w:rPr>
        <w:t>instituțiile</w:t>
      </w:r>
      <w:r w:rsidR="00712169" w:rsidRPr="00945DEC">
        <w:rPr>
          <w:color w:val="000000" w:themeColor="text1"/>
          <w:lang w:val="ro-RO"/>
        </w:rPr>
        <w:t xml:space="preserve"> de învățământ general </w:t>
      </w:r>
      <w:r w:rsidR="008406FD" w:rsidRPr="00945DEC">
        <w:rPr>
          <w:color w:val="000000" w:themeColor="text1"/>
          <w:lang w:val="ro-RO"/>
        </w:rPr>
        <w:t>public</w:t>
      </w:r>
      <w:r w:rsidR="00FF5412" w:rsidRPr="00945DEC">
        <w:rPr>
          <w:color w:val="000000" w:themeColor="text1"/>
          <w:lang w:val="ro-RO"/>
        </w:rPr>
        <w:t>e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25894" w:rsidRPr="00945DEC" w14:paraId="5F0A469F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0E36954C" w14:textId="77777777" w:rsidR="005A6977" w:rsidRPr="00945DEC" w:rsidRDefault="005A6977" w:rsidP="009D74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și, după caz, a participanților la elaborarea proiectului</w:t>
            </w:r>
          </w:p>
        </w:tc>
      </w:tr>
      <w:tr w:rsidR="00025894" w:rsidRPr="00945DEC" w14:paraId="580912EF" w14:textId="77777777" w:rsidTr="00F85807">
        <w:trPr>
          <w:trHeight w:val="20"/>
        </w:trPr>
        <w:tc>
          <w:tcPr>
            <w:tcW w:w="9640" w:type="dxa"/>
          </w:tcPr>
          <w:p w14:paraId="28441C94" w14:textId="6B4B0560" w:rsidR="008D75E6" w:rsidRPr="00945DEC" w:rsidRDefault="0052736A" w:rsidP="008406FD">
            <w:pPr>
              <w:ind w:firstLine="5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Proiectul Hotărârii Guvernului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privire la modificarea Hotărâ</w:t>
            </w:r>
            <w:r w:rsidR="00B8301D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 Guvernului</w:t>
            </w:r>
            <w:r w:rsidR="00B8301D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  <w:t xml:space="preserve">nr. 969/2018 pentru aprobarea Regulamentului privind acordarea compensațiilor bănești anuale personalului </w:t>
            </w:r>
            <w:r w:rsidR="00A52B0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 conducere și </w:t>
            </w:r>
            <w:r w:rsidR="00B8301D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didactic din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</w:t>
            </w:r>
            <w:r w:rsidR="00B8301D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învățământ general</w:t>
            </w: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8406FD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public</w:t>
            </w:r>
            <w:r w:rsidR="00FF5412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  <w:r w:rsidR="008406FD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a fost elaborat de către Ministerul Educației și Cercetării.</w:t>
            </w:r>
          </w:p>
        </w:tc>
      </w:tr>
      <w:tr w:rsidR="00025894" w:rsidRPr="00945DEC" w14:paraId="77E0283E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6F284B5D" w14:textId="77777777" w:rsidR="005A6977" w:rsidRPr="00945DEC" w:rsidRDefault="005A6977" w:rsidP="009D748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ce au impus elaborarea proiectului de act normativ și finalitățile urmărite</w:t>
            </w:r>
          </w:p>
        </w:tc>
      </w:tr>
      <w:tr w:rsidR="00025894" w:rsidRPr="00945DEC" w14:paraId="47ED2A83" w14:textId="77777777" w:rsidTr="00F85807">
        <w:trPr>
          <w:trHeight w:val="20"/>
        </w:trPr>
        <w:tc>
          <w:tcPr>
            <w:tcW w:w="9640" w:type="dxa"/>
          </w:tcPr>
          <w:p w14:paraId="6B38C7A1" w14:textId="5E34D5D6" w:rsidR="0052736A" w:rsidRPr="00945DEC" w:rsidRDefault="0052736A" w:rsidP="009D748E">
            <w:pPr>
              <w:ind w:firstLine="5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Proiectul Hotărârii Guvernului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privire la modificarea Hotărâ</w:t>
            </w:r>
            <w:r w:rsidR="00F81E3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 Guvernului</w:t>
            </w:r>
            <w:r w:rsidR="00F81E3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  <w:t xml:space="preserve">nr. 969/2018 pentru aprobarea Regulamentului privind acordarea compensațiilor bănești anuale personalului </w:t>
            </w:r>
            <w:r w:rsidR="00A52B0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 conducere și </w:t>
            </w:r>
            <w:r w:rsidR="00F81E3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didactic din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</w:t>
            </w:r>
            <w:r w:rsidR="00F81E3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publice de învățământ general</w:t>
            </w: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6B114B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a fost elaborat în scopul </w:t>
            </w:r>
            <w:r w:rsidR="00A46BE9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acordării suportului pentru formarea profesională continuă și creșterea calității procesului de predare-învățare-evaluare, </w:t>
            </w:r>
            <w:r w:rsidR="006B114B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implementării eficiente a TIC în educație, dezvoltării competențelor </w:t>
            </w:r>
            <w:r w:rsidR="00A46BE9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digitale ale cadrelor didactice etc</w:t>
            </w:r>
            <w:r w:rsidR="006B114B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. </w:t>
            </w:r>
          </w:p>
          <w:p w14:paraId="195E0B88" w14:textId="0D78C1EA" w:rsidR="008406FD" w:rsidRPr="00945DEC" w:rsidRDefault="008406FD" w:rsidP="005777F2">
            <w:pPr>
              <w:ind w:firstLine="596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În scopul asigurării utilizării corespunzătoare a compensației bănești oferite pentru procurarea de suporturi didactice, tehnică de calcul și de produse software pentru utilizare în activități de instruire on-line se completează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Hotărâ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rea Guvernului nr. 969/2018 pentru aprobarea Regulamentului privind acordarea compensațiilor bănești anuale personalului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 conducere și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didactic din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învățământ general </w:t>
            </w:r>
            <w:r w:rsidR="000442D0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publice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prevederi cu referire la modul de raportare</w:t>
            </w:r>
            <w:r w:rsidR="005777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E420F7" w:rsidRPr="00945DEC" w14:paraId="4129CCA9" w14:textId="77777777" w:rsidTr="00F85807">
        <w:trPr>
          <w:trHeight w:val="20"/>
        </w:trPr>
        <w:tc>
          <w:tcPr>
            <w:tcW w:w="9640" w:type="dxa"/>
            <w:shd w:val="clear" w:color="auto" w:fill="D0CECE" w:themeFill="background2" w:themeFillShade="E6"/>
          </w:tcPr>
          <w:p w14:paraId="34306F47" w14:textId="034A3FE2" w:rsidR="00E420F7" w:rsidRPr="00945DEC" w:rsidRDefault="00E420F7" w:rsidP="009D748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Descrierea gradului de compatibilitate pentru proiectele care au ca scop armonizarea </w:t>
            </w:r>
            <w:proofErr w:type="spellStart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legislaţiei</w:t>
            </w:r>
            <w:proofErr w:type="spellEnd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naţionale</w:t>
            </w:r>
            <w:proofErr w:type="spellEnd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legislaţia</w:t>
            </w:r>
            <w:proofErr w:type="spellEnd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Uniunii Europene</w:t>
            </w:r>
          </w:p>
        </w:tc>
      </w:tr>
      <w:tr w:rsidR="00E420F7" w:rsidRPr="00945DEC" w14:paraId="25B64405" w14:textId="77777777" w:rsidTr="00F85807">
        <w:trPr>
          <w:trHeight w:val="410"/>
        </w:trPr>
        <w:tc>
          <w:tcPr>
            <w:tcW w:w="9640" w:type="dxa"/>
          </w:tcPr>
          <w:p w14:paraId="5CFB09DD" w14:textId="331E61E5" w:rsidR="00E420F7" w:rsidRPr="00945DEC" w:rsidRDefault="00727E4D" w:rsidP="00FF5412">
            <w:pPr>
              <w:ind w:firstLine="5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Proiectul Hotărîrii Guvernului </w:t>
            </w:r>
            <w:r w:rsidR="002153F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privire la modificarea Hotărâ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rii Guvernului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br/>
              <w:t xml:space="preserve">nr. 969/2018 pentru aprobarea Regulamentului privind acordarea compensațiilor bănești anuale personalului de conducere și didactic din </w:t>
            </w:r>
            <w:proofErr w:type="spellStart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instituţiile</w:t>
            </w:r>
            <w:proofErr w:type="spellEnd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învățământ general </w:t>
            </w:r>
            <w:r w:rsidR="00FF5412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publice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 are ca scop armonizarea </w:t>
            </w:r>
            <w:proofErr w:type="spellStart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legislaţiei</w:t>
            </w:r>
            <w:proofErr w:type="spellEnd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naţionale</w:t>
            </w:r>
            <w:proofErr w:type="spellEnd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legislaţia</w:t>
            </w:r>
            <w:proofErr w:type="spellEnd"/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Uniunii Europene și nu necesită descrierea gradului de compatibilitate.</w:t>
            </w:r>
          </w:p>
        </w:tc>
      </w:tr>
      <w:tr w:rsidR="00025894" w:rsidRPr="00945DEC" w14:paraId="2D55EE4D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7084AFB7" w14:textId="77777777" w:rsidR="005A6977" w:rsidRPr="00945DEC" w:rsidRDefault="005A6977" w:rsidP="009D74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Principalele prevederi ale proiectului și evidențierea elementelor noi</w:t>
            </w:r>
          </w:p>
        </w:tc>
      </w:tr>
      <w:tr w:rsidR="00025894" w:rsidRPr="00945DEC" w14:paraId="4AF6ACDE" w14:textId="77777777" w:rsidTr="00F85807">
        <w:trPr>
          <w:trHeight w:val="20"/>
        </w:trPr>
        <w:tc>
          <w:tcPr>
            <w:tcW w:w="9640" w:type="dxa"/>
          </w:tcPr>
          <w:p w14:paraId="05EBFAB6" w14:textId="77777777" w:rsidR="009E6152" w:rsidRPr="00945DEC" w:rsidRDefault="009E6152" w:rsidP="009D748E">
            <w:pPr>
              <w:ind w:firstLine="596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Hotărârii Guvernului prevede majorarea cuantumului compensației bănești anuale de la 2000 lei la 4000 lei pentru un an de studii și acordarea acesteia, într-o singură tranșă, în luna septrembrie.</w:t>
            </w:r>
          </w:p>
          <w:p w14:paraId="4925DA51" w14:textId="6CB3DA5D" w:rsidR="009E6152" w:rsidRPr="00945DEC" w:rsidRDefault="009E6152" w:rsidP="009D748E">
            <w:pPr>
              <w:ind w:firstLine="596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Această modificare a fost propusă urmare aplicării </w:t>
            </w:r>
            <w:r w:rsidR="002153F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Hotărâ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rii Guvernului nr. 969/2018 din anul 2018, când s-a constatat că oferirea compensației în luna septembrie este mai eficientă decât în luna ianuarie, deoarece pe parcursul </w:t>
            </w:r>
            <w:r w:rsidR="002153F1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lunilor iunie-august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unele cadre didactice pleacă din instituție sau chiar din sistem, iar cadrele nou angajate nu pot beneficia de acest suport (compensație). </w:t>
            </w:r>
          </w:p>
          <w:p w14:paraId="7F7D5629" w14:textId="4A821C35" w:rsidR="009E6152" w:rsidRPr="00945DEC" w:rsidRDefault="009E6152" w:rsidP="009D748E">
            <w:pPr>
              <w:ind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 fost completată lista bunurilor ce pot </w:t>
            </w:r>
            <w:r w:rsidR="0028575D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 achiziționat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 din compensația unică cu posibilitatea achiziționării bunurilor de birotică</w:t>
            </w:r>
            <w:r w:rsidR="00D16FC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papetărie</w:t>
            </w:r>
            <w:r w:rsidR="00901E2B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consumabile la calculatoare</w:t>
            </w:r>
            <w:r w:rsidR="00901E2B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și </w:t>
            </w:r>
            <w:r w:rsidR="00D16FC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conexiune la</w:t>
            </w:r>
            <w:r w:rsidR="00901E2B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Internet.</w:t>
            </w:r>
          </w:p>
          <w:p w14:paraId="7EABE13C" w14:textId="4ACD1001" w:rsidR="008406FD" w:rsidRPr="00945DEC" w:rsidRDefault="008406FD" w:rsidP="008406FD">
            <w:pPr>
              <w:ind w:firstLine="59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În scopul asigurării utilizării corespunzătoare a compensației bănești oferite pentru procurarea de suporturi didactice, tehnică de calcul și de produse software pentru utilizare în activități de instruire on-line se completează </w:t>
            </w:r>
            <w:r w:rsidR="00A0632F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Hotărâ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rea Guvernului nr. 969/2018 pentru aprobarea Regulamentului privind acordarea compensațiilor bănești anuale personalului </w:t>
            </w:r>
            <w:r w:rsidR="00A0632F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 conducere și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didactic din </w:t>
            </w:r>
            <w:r w:rsidR="00A0632F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 învățământ general </w:t>
            </w:r>
            <w:r w:rsidR="00A0632F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publice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prevederi cu referire la modul de raportare.</w:t>
            </w:r>
            <w:r w:rsidR="00A0632F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2AE26984" w14:textId="1484E3DA" w:rsidR="00C56696" w:rsidRPr="00945DEC" w:rsidRDefault="009E6152" w:rsidP="009D748E">
            <w:pPr>
              <w:ind w:firstLine="595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 w:rsidRPr="00945DE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o-RO"/>
              </w:rPr>
              <w:t>În legătură cu reorganizarea Ministerului Educației, Culturii și Cercetării proiectul prevede substituirea denumirii anterioare a ministerului cu ”Ministerul Educației și Cercetării”.</w:t>
            </w:r>
          </w:p>
        </w:tc>
      </w:tr>
      <w:tr w:rsidR="00025894" w:rsidRPr="00945DEC" w14:paraId="1FA46318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74529829" w14:textId="77777777" w:rsidR="005A6977" w:rsidRPr="00945DEC" w:rsidRDefault="005A6977" w:rsidP="009D74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Fundamentarea </w:t>
            </w:r>
            <w:proofErr w:type="spellStart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economico</w:t>
            </w:r>
            <w:proofErr w:type="spellEnd"/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-financiară</w:t>
            </w:r>
          </w:p>
        </w:tc>
      </w:tr>
      <w:tr w:rsidR="00025894" w:rsidRPr="00945DEC" w14:paraId="3AD90F34" w14:textId="77777777" w:rsidTr="00F85807">
        <w:trPr>
          <w:trHeight w:val="491"/>
        </w:trPr>
        <w:tc>
          <w:tcPr>
            <w:tcW w:w="9640" w:type="dxa"/>
          </w:tcPr>
          <w:p w14:paraId="107C0C78" w14:textId="77777777" w:rsidR="009D748E" w:rsidRPr="00945DEC" w:rsidRDefault="00A2190A" w:rsidP="009D748E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</w:t>
            </w:r>
            <w:r w:rsidR="008A541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În anul de studii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20</w:t>
            </w:r>
            <w:r w:rsidR="008A541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21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-20</w:t>
            </w:r>
            <w:r w:rsidR="008A541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22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, în instituțiile </w:t>
            </w:r>
            <w:r w:rsidR="008A541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publice 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de învățământ general activ</w:t>
            </w:r>
            <w:r w:rsidR="008A541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ează </w:t>
            </w:r>
            <w:r w:rsidR="0059791E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cca </w:t>
            </w:r>
            <w:r w:rsidR="00FC7616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4</w:t>
            </w:r>
            <w:r w:rsidR="0059791E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3000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cadre didactice</w:t>
            </w:r>
            <w:r w:rsidR="00FC7616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și de conducere</w:t>
            </w:r>
            <w:r w:rsidR="007F2847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(angajate de bază)</w:t>
            </w:r>
            <w:r w:rsidR="00FC7616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care desfășoară activitate didactică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. </w:t>
            </w:r>
            <w:r w:rsidR="0095347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Astfel, în</w:t>
            </w:r>
            <w:r w:rsidR="007265A4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anul 2022</w:t>
            </w:r>
            <w:r w:rsidR="0095347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, 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95347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pentru alocarea compensației unice acordate cadrelor didactice și de conducere 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va fi necesar </w:t>
            </w:r>
            <w:r w:rsidR="0095347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de </w:t>
            </w:r>
            <w:r w:rsidR="00F52621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circa </w:t>
            </w:r>
            <w:r w:rsidR="00953478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172 000 000 lei</w:t>
            </w:r>
            <w:r w:rsidR="0052736A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.</w:t>
            </w:r>
            <w:r w:rsidR="0059791E" w:rsidRPr="00945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</w:p>
          <w:p w14:paraId="6F4811A0" w14:textId="4D7D0C13" w:rsidR="00163772" w:rsidRPr="00945DEC" w:rsidRDefault="009D748E" w:rsidP="00A0632F">
            <w:pPr>
              <w:ind w:firstLine="45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lastRenderedPageBreak/>
              <w:t xml:space="preserve">Mijloacele financiare necesare pentru achitarea compensațiilor anuale au fost prevăzute în </w:t>
            </w:r>
            <w:r w:rsidR="00A0632F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Legea</w:t>
            </w:r>
            <w:r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bugetului de stat pentru anul 2022, care</w:t>
            </w:r>
            <w:r w:rsidR="00A0632F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476AE3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 fost aprobat prin Legea nr. 205/2021</w:t>
            </w:r>
            <w:r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 Astfel, cheltuielile aferente punerii în aplicare a proiectului hotărârii vor fi acoperite integral din bugetul de stat.</w:t>
            </w:r>
          </w:p>
        </w:tc>
      </w:tr>
      <w:tr w:rsidR="00025894" w:rsidRPr="00945DEC" w14:paraId="2535CCFD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34290872" w14:textId="77777777" w:rsidR="005A6977" w:rsidRPr="00945DEC" w:rsidRDefault="005A6977" w:rsidP="009D748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Modul de încorporare a actului în cadrul normativ în vigoare</w:t>
            </w:r>
          </w:p>
        </w:tc>
      </w:tr>
      <w:tr w:rsidR="00025894" w:rsidRPr="00945DEC" w14:paraId="27D5E0E4" w14:textId="77777777" w:rsidTr="00F85807">
        <w:trPr>
          <w:trHeight w:val="20"/>
        </w:trPr>
        <w:tc>
          <w:tcPr>
            <w:tcW w:w="9640" w:type="dxa"/>
          </w:tcPr>
          <w:p w14:paraId="1C05DC01" w14:textId="70B89D81" w:rsidR="007F78BF" w:rsidRPr="00945DEC" w:rsidRDefault="009D748E" w:rsidP="00A0632F">
            <w:pPr>
              <w:ind w:firstLine="59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Punerea în aplicare a hotărârii impune includerea prevederilor corespunz</w:t>
            </w:r>
            <w:r w:rsidR="00A0632F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ătoare în Legea bugetului anual</w:t>
            </w:r>
            <w:r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, începând cu anul 2022</w:t>
            </w:r>
            <w:r w:rsidR="00476AE3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 Mijloacele financiare necesare pentru achitarea compensațiilor au fost prevăzute în  Legea nr.205/2021a bugetului de stat pentru anul 2022, a</w:t>
            </w:r>
            <w:r w:rsidR="00A0632F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probat de Parlamentul R</w:t>
            </w:r>
            <w:r w:rsidR="00476AE3" w:rsidRPr="00945DE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epublicii Moldova. </w:t>
            </w:r>
          </w:p>
        </w:tc>
      </w:tr>
      <w:tr w:rsidR="00025894" w:rsidRPr="00945DEC" w14:paraId="3F70F036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53214C17" w14:textId="77777777" w:rsidR="005A6977" w:rsidRPr="00945DEC" w:rsidRDefault="005A6977" w:rsidP="009D74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</w:t>
            </w:r>
            <w:r w:rsidR="007F78BF" w:rsidRPr="00945D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onsultarea publică a proiectului</w:t>
            </w:r>
          </w:p>
        </w:tc>
      </w:tr>
      <w:tr w:rsidR="00025894" w:rsidRPr="00945DEC" w14:paraId="4FA4086F" w14:textId="77777777" w:rsidTr="00F85807">
        <w:trPr>
          <w:trHeight w:val="2058"/>
        </w:trPr>
        <w:tc>
          <w:tcPr>
            <w:tcW w:w="9640" w:type="dxa"/>
          </w:tcPr>
          <w:p w14:paraId="2DAC8EB1" w14:textId="757F5D17" w:rsidR="0046362C" w:rsidRPr="00945DEC" w:rsidRDefault="008B2D82" w:rsidP="009D74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</w:t>
            </w:r>
            <w:r w:rsidR="0002589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scopul respect</w:t>
            </w:r>
            <w:r w:rsidR="00F810B7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ării prevederilor Legii nr. 239/</w:t>
            </w:r>
            <w:r w:rsidR="0002589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2008 privind </w:t>
            </w: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transparența</w:t>
            </w:r>
            <w:r w:rsidR="0002589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procesul decizional, proiectul </w:t>
            </w:r>
            <w:r w:rsidR="00763D96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</w:t>
            </w:r>
            <w:r w:rsidR="00BA2C89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f</w:t>
            </w:r>
            <w:r w:rsidR="00763D96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="00F22B3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plasat pe </w:t>
            </w:r>
            <w:r w:rsidR="0002589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pagina web a </w:t>
            </w:r>
            <w:r w:rsidR="00692AB4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Ministerului Educației </w:t>
            </w:r>
            <w:r w:rsidR="005A6977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Cercetării </w:t>
            </w:r>
            <w:hyperlink r:id="rId7" w:history="1">
              <w:r w:rsidR="00763D96" w:rsidRPr="00945DE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o-RO"/>
                </w:rPr>
                <w:t>www.mec.gov.md</w:t>
              </w:r>
            </w:hyperlink>
            <w:r w:rsidR="00F810B7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5A6977"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compartimentul Transparență, directoriul Transparență decizională, secțiunea Modul de participare. </w:t>
            </w:r>
          </w:p>
          <w:p w14:paraId="6ABC29FF" w14:textId="6FC2C247" w:rsidR="00546A2A" w:rsidRPr="00945DEC" w:rsidRDefault="00546A2A" w:rsidP="00546A2A">
            <w:pPr>
              <w:ind w:firstLine="60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conformitate cu art. 32 și 34 din Legea nr.100/2017, proiectul urmează a fi supus procedurii de avizare, consultare publică și expertizare.</w:t>
            </w:r>
          </w:p>
        </w:tc>
      </w:tr>
      <w:tr w:rsidR="005F0114" w:rsidRPr="00945DEC" w14:paraId="21DB294B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0C472ECD" w14:textId="77777777" w:rsidR="005F0114" w:rsidRPr="00945DEC" w:rsidRDefault="005F0114" w:rsidP="009D748E">
            <w:pPr>
              <w:ind w:firstLine="3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8. Constatările expertizei anticorupție</w:t>
            </w:r>
          </w:p>
        </w:tc>
      </w:tr>
      <w:tr w:rsidR="005F0114" w:rsidRPr="00945DEC" w14:paraId="7D3424F3" w14:textId="77777777" w:rsidTr="00F85807">
        <w:trPr>
          <w:trHeight w:val="377"/>
        </w:trPr>
        <w:tc>
          <w:tcPr>
            <w:tcW w:w="9640" w:type="dxa"/>
          </w:tcPr>
          <w:p w14:paraId="6FCBEC46" w14:textId="318DBCA7" w:rsidR="005F0114" w:rsidRPr="00945DEC" w:rsidRDefault="005F0114" w:rsidP="009D748E">
            <w:pPr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5F0114" w:rsidRPr="00945DEC" w14:paraId="78591D30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547A714B" w14:textId="77777777" w:rsidR="005F0114" w:rsidRPr="00945DEC" w:rsidRDefault="005F0114" w:rsidP="009D748E">
            <w:pPr>
              <w:ind w:firstLine="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5F0114" w:rsidRPr="00945DEC" w14:paraId="5C92125B" w14:textId="77777777" w:rsidTr="00F85807">
        <w:trPr>
          <w:trHeight w:val="373"/>
        </w:trPr>
        <w:tc>
          <w:tcPr>
            <w:tcW w:w="9640" w:type="dxa"/>
          </w:tcPr>
          <w:p w14:paraId="0DC1BD91" w14:textId="61667F20" w:rsidR="005F0114" w:rsidRPr="00945DEC" w:rsidRDefault="009264CE" w:rsidP="009D748E">
            <w:pPr>
              <w:ind w:firstLine="3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 efectuarea expertizei de compatibilitate, dat fiind faptul că proiectul de hotărâre nu prezintă relevanță UE.</w:t>
            </w:r>
          </w:p>
        </w:tc>
      </w:tr>
      <w:tr w:rsidR="005F0114" w:rsidRPr="00945DEC" w14:paraId="571F0C7E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6AD70D1D" w14:textId="77777777" w:rsidR="005F0114" w:rsidRPr="00945DEC" w:rsidRDefault="005F0114" w:rsidP="009D748E">
            <w:pPr>
              <w:ind w:firstLine="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5F0114" w:rsidRPr="00945DEC" w14:paraId="7316EECA" w14:textId="77777777" w:rsidTr="00F85807">
        <w:trPr>
          <w:trHeight w:val="100"/>
        </w:trPr>
        <w:tc>
          <w:tcPr>
            <w:tcW w:w="9640" w:type="dxa"/>
          </w:tcPr>
          <w:p w14:paraId="5D2F1A75" w14:textId="258B12BC" w:rsidR="005F0114" w:rsidRPr="00945DEC" w:rsidRDefault="005F0114" w:rsidP="009D748E">
            <w:pPr>
              <w:ind w:firstLine="3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0114" w:rsidRPr="00945DEC" w14:paraId="42464172" w14:textId="77777777" w:rsidTr="00F85807">
        <w:trPr>
          <w:trHeight w:val="20"/>
        </w:trPr>
        <w:tc>
          <w:tcPr>
            <w:tcW w:w="9640" w:type="dxa"/>
            <w:shd w:val="clear" w:color="auto" w:fill="DBDBDB" w:themeFill="accent3" w:themeFillTint="66"/>
          </w:tcPr>
          <w:p w14:paraId="51D3B7FD" w14:textId="77777777" w:rsidR="005F0114" w:rsidRPr="00945DEC" w:rsidRDefault="005F0114" w:rsidP="009D748E">
            <w:pPr>
              <w:ind w:firstLine="3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945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5F0114" w:rsidRPr="00945DEC" w14:paraId="4E7675B0" w14:textId="77777777" w:rsidTr="00F85807">
        <w:trPr>
          <w:trHeight w:val="123"/>
        </w:trPr>
        <w:tc>
          <w:tcPr>
            <w:tcW w:w="9640" w:type="dxa"/>
          </w:tcPr>
          <w:p w14:paraId="1C4998C5" w14:textId="2ED0851A" w:rsidR="005F0114" w:rsidRPr="00945DEC" w:rsidRDefault="005F0114" w:rsidP="009D748E">
            <w:pPr>
              <w:ind w:firstLine="3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A219A48" w14:textId="3827749A" w:rsidR="008E00D8" w:rsidRPr="00945DEC" w:rsidRDefault="008E00D8" w:rsidP="009D74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644AA40" w14:textId="77777777" w:rsidR="00546A2A" w:rsidRPr="00945DEC" w:rsidRDefault="00546A2A" w:rsidP="009D74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6353C41" w14:textId="77777777" w:rsidR="009D748E" w:rsidRPr="00945DEC" w:rsidRDefault="00025894" w:rsidP="009D74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</w:t>
      </w:r>
      <w:r w:rsidR="008A4B05"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8A4B05"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977"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221FC0" w:rsidRPr="00945DE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Anatolie TOPALĂ</w:t>
      </w:r>
    </w:p>
    <w:p w14:paraId="49AEC69D" w14:textId="77777777" w:rsidR="00B40055" w:rsidRPr="00945DEC" w:rsidRDefault="00B40055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3443C9C" w14:textId="77777777" w:rsidR="00546A2A" w:rsidRPr="00945DEC" w:rsidRDefault="00546A2A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BD5DA9A" w14:textId="77777777" w:rsidR="00546A2A" w:rsidRPr="00945DEC" w:rsidRDefault="00546A2A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6302D0E" w14:textId="77777777" w:rsidR="00546A2A" w:rsidRPr="00945DEC" w:rsidRDefault="00546A2A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CF960BF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601394F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8004ED6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EDD37FD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7B9D35A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EEE19DB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FE8A55E" w14:textId="77777777" w:rsidR="00BD018E" w:rsidRPr="00945DEC" w:rsidRDefault="00BD018E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14:paraId="6AF3F55A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C1878A7" w14:textId="77777777" w:rsidR="00FF5412" w:rsidRPr="00945DEC" w:rsidRDefault="00FF5412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13D13E2" w14:textId="77777777" w:rsidR="00546A2A" w:rsidRPr="00945DEC" w:rsidRDefault="00546A2A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9636A2" w14:textId="0355537F" w:rsidR="00E63660" w:rsidRPr="00945DEC" w:rsidRDefault="00E63660" w:rsidP="0026433A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</w:t>
      </w:r>
      <w:r w:rsidR="00AC1A88"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ecutant:</w:t>
      </w:r>
      <w:r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B6CC2"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A.Prisacaru</w:t>
      </w:r>
      <w:proofErr w:type="spellEnd"/>
      <w:r w:rsidR="0099364C"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t</w:t>
      </w:r>
      <w:r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el. 0 22 </w:t>
      </w:r>
      <w:r w:rsidR="008B6CC2"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232785</w:t>
      </w:r>
      <w:r w:rsidRPr="00945DE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sectPr w:rsidR="00E63660" w:rsidRPr="00945DEC" w:rsidSect="00F85807">
      <w:footerReference w:type="default" r:id="rId8"/>
      <w:pgSz w:w="11906" w:h="16838" w:code="9"/>
      <w:pgMar w:top="851" w:right="127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4C776" w14:textId="77777777" w:rsidR="00F43D21" w:rsidRDefault="00F43D21" w:rsidP="009139A1">
      <w:pPr>
        <w:spacing w:after="0" w:line="240" w:lineRule="auto"/>
      </w:pPr>
      <w:r>
        <w:separator/>
      </w:r>
    </w:p>
  </w:endnote>
  <w:endnote w:type="continuationSeparator" w:id="0">
    <w:p w14:paraId="65C4712F" w14:textId="77777777" w:rsidR="00F43D21" w:rsidRDefault="00F43D21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21FD" w14:textId="77777777" w:rsidR="009139A1" w:rsidRDefault="009139A1">
    <w:pPr>
      <w:pStyle w:val="aa"/>
      <w:jc w:val="right"/>
    </w:pPr>
  </w:p>
  <w:p w14:paraId="3458B3CA" w14:textId="77777777" w:rsidR="009139A1" w:rsidRDefault="009139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FFCF8" w14:textId="77777777" w:rsidR="00F43D21" w:rsidRDefault="00F43D21" w:rsidP="009139A1">
      <w:pPr>
        <w:spacing w:after="0" w:line="240" w:lineRule="auto"/>
      </w:pPr>
      <w:r>
        <w:separator/>
      </w:r>
    </w:p>
  </w:footnote>
  <w:footnote w:type="continuationSeparator" w:id="0">
    <w:p w14:paraId="0BC89BE5" w14:textId="77777777" w:rsidR="00F43D21" w:rsidRDefault="00F43D21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1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02647"/>
    <w:rsid w:val="000077C3"/>
    <w:rsid w:val="0002060C"/>
    <w:rsid w:val="00021EC8"/>
    <w:rsid w:val="00025894"/>
    <w:rsid w:val="00033721"/>
    <w:rsid w:val="00035FAE"/>
    <w:rsid w:val="000442D0"/>
    <w:rsid w:val="00050127"/>
    <w:rsid w:val="00056578"/>
    <w:rsid w:val="00073E94"/>
    <w:rsid w:val="0007464A"/>
    <w:rsid w:val="000A0A76"/>
    <w:rsid w:val="000A3872"/>
    <w:rsid w:val="000C36C6"/>
    <w:rsid w:val="000D612E"/>
    <w:rsid w:val="000E7F0D"/>
    <w:rsid w:val="001011EA"/>
    <w:rsid w:val="00110AAC"/>
    <w:rsid w:val="0011736A"/>
    <w:rsid w:val="001232D9"/>
    <w:rsid w:val="001275FE"/>
    <w:rsid w:val="00132EEC"/>
    <w:rsid w:val="0013332C"/>
    <w:rsid w:val="00133A5A"/>
    <w:rsid w:val="00136656"/>
    <w:rsid w:val="001622D3"/>
    <w:rsid w:val="00163772"/>
    <w:rsid w:val="0017060B"/>
    <w:rsid w:val="001A7FD0"/>
    <w:rsid w:val="001D2277"/>
    <w:rsid w:val="0020403C"/>
    <w:rsid w:val="002153F1"/>
    <w:rsid w:val="00221FC0"/>
    <w:rsid w:val="00226E3E"/>
    <w:rsid w:val="002436EC"/>
    <w:rsid w:val="0026433A"/>
    <w:rsid w:val="002657AF"/>
    <w:rsid w:val="0028575D"/>
    <w:rsid w:val="002C2478"/>
    <w:rsid w:val="00310113"/>
    <w:rsid w:val="00312841"/>
    <w:rsid w:val="00320339"/>
    <w:rsid w:val="0034421F"/>
    <w:rsid w:val="00345E5E"/>
    <w:rsid w:val="003575BD"/>
    <w:rsid w:val="00357B05"/>
    <w:rsid w:val="00363308"/>
    <w:rsid w:val="00366713"/>
    <w:rsid w:val="00366EDA"/>
    <w:rsid w:val="003729F1"/>
    <w:rsid w:val="0037636D"/>
    <w:rsid w:val="00380EBC"/>
    <w:rsid w:val="003914EE"/>
    <w:rsid w:val="003B77C3"/>
    <w:rsid w:val="003D34AA"/>
    <w:rsid w:val="00401EE2"/>
    <w:rsid w:val="004075EB"/>
    <w:rsid w:val="00411F9F"/>
    <w:rsid w:val="00414277"/>
    <w:rsid w:val="004154EC"/>
    <w:rsid w:val="004168B3"/>
    <w:rsid w:val="00437449"/>
    <w:rsid w:val="004457BE"/>
    <w:rsid w:val="00451A97"/>
    <w:rsid w:val="004543A5"/>
    <w:rsid w:val="0046362C"/>
    <w:rsid w:val="004676BE"/>
    <w:rsid w:val="004726B7"/>
    <w:rsid w:val="00473E24"/>
    <w:rsid w:val="00476AE3"/>
    <w:rsid w:val="004855E8"/>
    <w:rsid w:val="00490D36"/>
    <w:rsid w:val="004B0060"/>
    <w:rsid w:val="004D1B32"/>
    <w:rsid w:val="004F131E"/>
    <w:rsid w:val="005057A9"/>
    <w:rsid w:val="00512467"/>
    <w:rsid w:val="00522383"/>
    <w:rsid w:val="0052736A"/>
    <w:rsid w:val="00535966"/>
    <w:rsid w:val="005409CC"/>
    <w:rsid w:val="00546A2A"/>
    <w:rsid w:val="00562191"/>
    <w:rsid w:val="0056548B"/>
    <w:rsid w:val="005777F2"/>
    <w:rsid w:val="00580777"/>
    <w:rsid w:val="00583147"/>
    <w:rsid w:val="0059791E"/>
    <w:rsid w:val="005A17AA"/>
    <w:rsid w:val="005A6977"/>
    <w:rsid w:val="005A7FC7"/>
    <w:rsid w:val="005B215D"/>
    <w:rsid w:val="005B3F02"/>
    <w:rsid w:val="005C3D40"/>
    <w:rsid w:val="005E6079"/>
    <w:rsid w:val="005F0043"/>
    <w:rsid w:val="005F0114"/>
    <w:rsid w:val="00601A4C"/>
    <w:rsid w:val="0061106C"/>
    <w:rsid w:val="006163DA"/>
    <w:rsid w:val="00621FC5"/>
    <w:rsid w:val="00636DA1"/>
    <w:rsid w:val="00646F55"/>
    <w:rsid w:val="00664D70"/>
    <w:rsid w:val="006660D6"/>
    <w:rsid w:val="0068133C"/>
    <w:rsid w:val="00687323"/>
    <w:rsid w:val="00692AB4"/>
    <w:rsid w:val="00695493"/>
    <w:rsid w:val="00695CE2"/>
    <w:rsid w:val="006B110B"/>
    <w:rsid w:val="006B114B"/>
    <w:rsid w:val="006B6FD1"/>
    <w:rsid w:val="006B76C6"/>
    <w:rsid w:val="006E7AD5"/>
    <w:rsid w:val="007077E5"/>
    <w:rsid w:val="00712169"/>
    <w:rsid w:val="00715C4E"/>
    <w:rsid w:val="007265A4"/>
    <w:rsid w:val="00727E4D"/>
    <w:rsid w:val="00750EA6"/>
    <w:rsid w:val="00760219"/>
    <w:rsid w:val="00763D96"/>
    <w:rsid w:val="0079279F"/>
    <w:rsid w:val="007A3372"/>
    <w:rsid w:val="007A49F9"/>
    <w:rsid w:val="007D1514"/>
    <w:rsid w:val="007F2847"/>
    <w:rsid w:val="007F32D8"/>
    <w:rsid w:val="007F78BF"/>
    <w:rsid w:val="0080180D"/>
    <w:rsid w:val="00830F27"/>
    <w:rsid w:val="00834A40"/>
    <w:rsid w:val="008406FD"/>
    <w:rsid w:val="00855940"/>
    <w:rsid w:val="008660C1"/>
    <w:rsid w:val="00866FAE"/>
    <w:rsid w:val="00872A6F"/>
    <w:rsid w:val="00874D9B"/>
    <w:rsid w:val="00884B4C"/>
    <w:rsid w:val="00885F88"/>
    <w:rsid w:val="00892F89"/>
    <w:rsid w:val="00895BF0"/>
    <w:rsid w:val="008A4B05"/>
    <w:rsid w:val="008A5418"/>
    <w:rsid w:val="008A5902"/>
    <w:rsid w:val="008B2A84"/>
    <w:rsid w:val="008B2D82"/>
    <w:rsid w:val="008B6CC2"/>
    <w:rsid w:val="008C106E"/>
    <w:rsid w:val="008C1F30"/>
    <w:rsid w:val="008D66A9"/>
    <w:rsid w:val="008D75E6"/>
    <w:rsid w:val="008E00D8"/>
    <w:rsid w:val="008E56AB"/>
    <w:rsid w:val="00901E2B"/>
    <w:rsid w:val="009139A1"/>
    <w:rsid w:val="00926203"/>
    <w:rsid w:val="009264CE"/>
    <w:rsid w:val="00942F3C"/>
    <w:rsid w:val="00945DEC"/>
    <w:rsid w:val="00951BFD"/>
    <w:rsid w:val="00953478"/>
    <w:rsid w:val="009545B3"/>
    <w:rsid w:val="00956471"/>
    <w:rsid w:val="00961297"/>
    <w:rsid w:val="00962E6B"/>
    <w:rsid w:val="00972644"/>
    <w:rsid w:val="00985306"/>
    <w:rsid w:val="0099364C"/>
    <w:rsid w:val="009B0E8F"/>
    <w:rsid w:val="009C7602"/>
    <w:rsid w:val="009D748E"/>
    <w:rsid w:val="009E6152"/>
    <w:rsid w:val="009F16E6"/>
    <w:rsid w:val="009F238F"/>
    <w:rsid w:val="009F271B"/>
    <w:rsid w:val="00A0632F"/>
    <w:rsid w:val="00A0637F"/>
    <w:rsid w:val="00A06896"/>
    <w:rsid w:val="00A161C2"/>
    <w:rsid w:val="00A20B67"/>
    <w:rsid w:val="00A2190A"/>
    <w:rsid w:val="00A34618"/>
    <w:rsid w:val="00A40967"/>
    <w:rsid w:val="00A43EEC"/>
    <w:rsid w:val="00A46BE9"/>
    <w:rsid w:val="00A52B04"/>
    <w:rsid w:val="00A61877"/>
    <w:rsid w:val="00A66131"/>
    <w:rsid w:val="00A6677E"/>
    <w:rsid w:val="00A7202F"/>
    <w:rsid w:val="00A76AC3"/>
    <w:rsid w:val="00A83C5A"/>
    <w:rsid w:val="00A85FCE"/>
    <w:rsid w:val="00A86E22"/>
    <w:rsid w:val="00A878E3"/>
    <w:rsid w:val="00A94BEB"/>
    <w:rsid w:val="00A94E35"/>
    <w:rsid w:val="00AC1A88"/>
    <w:rsid w:val="00AE4657"/>
    <w:rsid w:val="00AF3D2F"/>
    <w:rsid w:val="00AF73E9"/>
    <w:rsid w:val="00B031EB"/>
    <w:rsid w:val="00B11BB9"/>
    <w:rsid w:val="00B13054"/>
    <w:rsid w:val="00B164D7"/>
    <w:rsid w:val="00B301FA"/>
    <w:rsid w:val="00B40055"/>
    <w:rsid w:val="00B47CF3"/>
    <w:rsid w:val="00B533B5"/>
    <w:rsid w:val="00B65F95"/>
    <w:rsid w:val="00B8301D"/>
    <w:rsid w:val="00B83A0C"/>
    <w:rsid w:val="00BA2C89"/>
    <w:rsid w:val="00BB0B72"/>
    <w:rsid w:val="00BB0D73"/>
    <w:rsid w:val="00BB59E6"/>
    <w:rsid w:val="00BC48A4"/>
    <w:rsid w:val="00BD018E"/>
    <w:rsid w:val="00BE41DB"/>
    <w:rsid w:val="00BF5302"/>
    <w:rsid w:val="00C0560B"/>
    <w:rsid w:val="00C15397"/>
    <w:rsid w:val="00C34A73"/>
    <w:rsid w:val="00C467A5"/>
    <w:rsid w:val="00C46B25"/>
    <w:rsid w:val="00C52558"/>
    <w:rsid w:val="00C56696"/>
    <w:rsid w:val="00C71421"/>
    <w:rsid w:val="00C77F89"/>
    <w:rsid w:val="00C816BF"/>
    <w:rsid w:val="00C828A2"/>
    <w:rsid w:val="00C8790D"/>
    <w:rsid w:val="00C900C2"/>
    <w:rsid w:val="00C911F2"/>
    <w:rsid w:val="00C954D8"/>
    <w:rsid w:val="00CC3EFF"/>
    <w:rsid w:val="00CC5248"/>
    <w:rsid w:val="00CD2413"/>
    <w:rsid w:val="00CD796F"/>
    <w:rsid w:val="00CE1AD4"/>
    <w:rsid w:val="00CF35CE"/>
    <w:rsid w:val="00D03B1C"/>
    <w:rsid w:val="00D16FC4"/>
    <w:rsid w:val="00D1773E"/>
    <w:rsid w:val="00D341B6"/>
    <w:rsid w:val="00D36043"/>
    <w:rsid w:val="00D61D25"/>
    <w:rsid w:val="00D70E75"/>
    <w:rsid w:val="00D74085"/>
    <w:rsid w:val="00D741F3"/>
    <w:rsid w:val="00DA755E"/>
    <w:rsid w:val="00DB1872"/>
    <w:rsid w:val="00DC6842"/>
    <w:rsid w:val="00DE28B9"/>
    <w:rsid w:val="00DF710D"/>
    <w:rsid w:val="00E0089A"/>
    <w:rsid w:val="00E420F7"/>
    <w:rsid w:val="00E53469"/>
    <w:rsid w:val="00E60755"/>
    <w:rsid w:val="00E63660"/>
    <w:rsid w:val="00EA7EA9"/>
    <w:rsid w:val="00EB77AD"/>
    <w:rsid w:val="00EC557F"/>
    <w:rsid w:val="00EC75B5"/>
    <w:rsid w:val="00ED4592"/>
    <w:rsid w:val="00F0552C"/>
    <w:rsid w:val="00F13C5F"/>
    <w:rsid w:val="00F16D23"/>
    <w:rsid w:val="00F22B34"/>
    <w:rsid w:val="00F27F6D"/>
    <w:rsid w:val="00F329B9"/>
    <w:rsid w:val="00F43D21"/>
    <w:rsid w:val="00F44BB2"/>
    <w:rsid w:val="00F52621"/>
    <w:rsid w:val="00F810B7"/>
    <w:rsid w:val="00F81E31"/>
    <w:rsid w:val="00F85807"/>
    <w:rsid w:val="00FA0274"/>
    <w:rsid w:val="00FA57E6"/>
    <w:rsid w:val="00FB1690"/>
    <w:rsid w:val="00FB33CD"/>
    <w:rsid w:val="00FC7616"/>
    <w:rsid w:val="00FE3643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60B1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4">
    <w:name w:val="heading 4"/>
    <w:basedOn w:val="a"/>
    <w:link w:val="40"/>
    <w:uiPriority w:val="9"/>
    <w:qFormat/>
    <w:rsid w:val="00A52B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List Paragraph1,Абзац списка1,List Paragraph11,Абзац списка2"/>
    <w:basedOn w:val="a"/>
    <w:link w:val="a5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a5">
    <w:name w:val="Абзац списка Знак"/>
    <w:aliases w:val="List Paragraph 1 Знак,List Paragraph1 Знак,Абзац списка1 Знак,List Paragraph11 Знак,Абзац списка2 Знак"/>
    <w:basedOn w:val="a0"/>
    <w:link w:val="a4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ac">
    <w:name w:val="Hyperlink"/>
    <w:basedOn w:val="a0"/>
    <w:uiPriority w:val="99"/>
    <w:unhideWhenUsed/>
    <w:rsid w:val="00F810B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71421"/>
    <w:rPr>
      <w:rFonts w:eastAsia="Times New Roman" w:cstheme="minorBidi"/>
      <w:sz w:val="28"/>
      <w:szCs w:val="28"/>
      <w:lang w:val="en-US"/>
    </w:rPr>
  </w:style>
  <w:style w:type="character" w:styleId="af">
    <w:name w:val="Emphasis"/>
    <w:qFormat/>
    <w:rsid w:val="004676B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52B04"/>
    <w:rPr>
      <w:rFonts w:eastAsia="Times New Roman"/>
      <w:b/>
      <w:bCs/>
      <w:lang w:val="ru-RU" w:eastAsia="ru-RU"/>
    </w:rPr>
  </w:style>
  <w:style w:type="character" w:styleId="af0">
    <w:name w:val="Strong"/>
    <w:basedOn w:val="a0"/>
    <w:uiPriority w:val="22"/>
    <w:qFormat/>
    <w:rsid w:val="00A52B04"/>
    <w:rPr>
      <w:b/>
      <w:bCs/>
    </w:rPr>
  </w:style>
  <w:style w:type="paragraph" w:styleId="af1">
    <w:name w:val="Normal (Web)"/>
    <w:basedOn w:val="a"/>
    <w:uiPriority w:val="99"/>
    <w:unhideWhenUsed/>
    <w:rsid w:val="009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Prisacaru</cp:lastModifiedBy>
  <cp:revision>13</cp:revision>
  <cp:lastPrinted>2022-01-27T14:42:00Z</cp:lastPrinted>
  <dcterms:created xsi:type="dcterms:W3CDTF">2022-01-27T14:33:00Z</dcterms:created>
  <dcterms:modified xsi:type="dcterms:W3CDTF">2022-02-03T10:02:00Z</dcterms:modified>
</cp:coreProperties>
</file>