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1469" w:rsidRDefault="00751469" w:rsidP="00F452CA">
      <w:pPr>
        <w:pStyle w:val="a3"/>
        <w:spacing w:before="240" w:after="240"/>
        <w:ind w:left="0"/>
        <w:jc w:val="center"/>
        <w:rPr>
          <w:b/>
          <w:bCs/>
          <w:sz w:val="28"/>
          <w:szCs w:val="28"/>
        </w:rPr>
      </w:pPr>
    </w:p>
    <w:p w:rsidR="00751469" w:rsidRDefault="00751469" w:rsidP="00F452CA">
      <w:pPr>
        <w:pStyle w:val="a3"/>
        <w:spacing w:before="240" w:after="240"/>
        <w:ind w:left="0"/>
        <w:jc w:val="center"/>
        <w:rPr>
          <w:b/>
          <w:bCs/>
          <w:sz w:val="28"/>
          <w:szCs w:val="28"/>
        </w:rPr>
      </w:pPr>
    </w:p>
    <w:p w:rsidR="00751469" w:rsidRDefault="00751469" w:rsidP="00F452CA">
      <w:pPr>
        <w:pStyle w:val="a3"/>
        <w:spacing w:before="240" w:after="240"/>
        <w:ind w:left="0"/>
        <w:jc w:val="center"/>
        <w:rPr>
          <w:b/>
          <w:bCs/>
          <w:sz w:val="28"/>
          <w:szCs w:val="28"/>
        </w:rPr>
      </w:pPr>
    </w:p>
    <w:p w:rsidR="00751469" w:rsidRDefault="00751469" w:rsidP="00F452CA">
      <w:pPr>
        <w:pStyle w:val="a3"/>
        <w:spacing w:before="240" w:after="240"/>
        <w:ind w:left="0"/>
        <w:jc w:val="center"/>
        <w:rPr>
          <w:b/>
          <w:bCs/>
          <w:sz w:val="28"/>
          <w:szCs w:val="28"/>
        </w:rPr>
      </w:pPr>
    </w:p>
    <w:p w:rsidR="00751469" w:rsidRDefault="00751469" w:rsidP="00F452CA">
      <w:pPr>
        <w:pStyle w:val="a3"/>
        <w:spacing w:before="240" w:after="240"/>
        <w:ind w:left="0"/>
        <w:jc w:val="center"/>
        <w:rPr>
          <w:b/>
          <w:bCs/>
          <w:sz w:val="28"/>
          <w:szCs w:val="28"/>
        </w:rPr>
      </w:pPr>
      <w:bookmarkStart w:id="0" w:name="_GoBack"/>
      <w:bookmarkEnd w:id="0"/>
    </w:p>
    <w:p w:rsidR="00751469" w:rsidRDefault="00751469" w:rsidP="00F452CA">
      <w:pPr>
        <w:pStyle w:val="a3"/>
        <w:spacing w:before="240" w:after="240"/>
        <w:ind w:left="0"/>
        <w:jc w:val="center"/>
        <w:rPr>
          <w:b/>
          <w:bCs/>
          <w:sz w:val="28"/>
          <w:szCs w:val="28"/>
        </w:rPr>
      </w:pPr>
    </w:p>
    <w:p w:rsidR="00751469" w:rsidRDefault="00751469" w:rsidP="00F452CA">
      <w:pPr>
        <w:pStyle w:val="a3"/>
        <w:spacing w:before="240" w:after="240"/>
        <w:ind w:left="0"/>
        <w:jc w:val="center"/>
        <w:rPr>
          <w:b/>
          <w:bCs/>
          <w:sz w:val="28"/>
          <w:szCs w:val="28"/>
        </w:rPr>
      </w:pPr>
    </w:p>
    <w:p w:rsidR="00751469" w:rsidRDefault="00751469" w:rsidP="00F452CA">
      <w:pPr>
        <w:pStyle w:val="a3"/>
        <w:spacing w:before="240" w:after="240"/>
        <w:ind w:left="0"/>
        <w:jc w:val="center"/>
        <w:rPr>
          <w:b/>
          <w:bCs/>
          <w:sz w:val="28"/>
          <w:szCs w:val="28"/>
        </w:rPr>
      </w:pPr>
    </w:p>
    <w:p w:rsidR="001E57E5" w:rsidRPr="00F452CA" w:rsidRDefault="003B2923" w:rsidP="00F452CA">
      <w:pPr>
        <w:pStyle w:val="a3"/>
        <w:spacing w:before="240" w:after="240"/>
        <w:ind w:left="0"/>
        <w:jc w:val="center"/>
        <w:rPr>
          <w:b/>
          <w:bCs/>
          <w:sz w:val="28"/>
          <w:szCs w:val="28"/>
        </w:rPr>
      </w:pPr>
      <w:r w:rsidRPr="00F452CA">
        <w:rPr>
          <w:b/>
          <w:bCs/>
          <w:sz w:val="28"/>
          <w:szCs w:val="28"/>
        </w:rPr>
        <w:t>CONCEPTUL</w:t>
      </w:r>
    </w:p>
    <w:p w:rsidR="00D06853" w:rsidRDefault="00B01E84" w:rsidP="00F452CA">
      <w:pPr>
        <w:pStyle w:val="a3"/>
        <w:spacing w:before="240" w:after="240"/>
        <w:ind w:left="0"/>
        <w:jc w:val="center"/>
        <w:rPr>
          <w:b/>
          <w:bCs/>
          <w:sz w:val="28"/>
          <w:szCs w:val="28"/>
        </w:rPr>
      </w:pPr>
      <w:r w:rsidRPr="00F452CA">
        <w:rPr>
          <w:b/>
          <w:bCs/>
          <w:sz w:val="28"/>
          <w:szCs w:val="28"/>
        </w:rPr>
        <w:t xml:space="preserve">Strategiei de Specializare Inteligentă a Republicii Moldova </w:t>
      </w:r>
      <w:r w:rsidR="00751469" w:rsidRPr="00751469">
        <w:rPr>
          <w:b/>
          <w:bCs/>
          <w:sz w:val="28"/>
          <w:szCs w:val="28"/>
        </w:rPr>
        <w:t xml:space="preserve">până în anul 2030 </w:t>
      </w:r>
    </w:p>
    <w:p w:rsidR="00751469" w:rsidRDefault="00751469" w:rsidP="00F452CA">
      <w:pPr>
        <w:pStyle w:val="a3"/>
        <w:spacing w:before="240" w:after="240"/>
        <w:ind w:left="0"/>
        <w:jc w:val="center"/>
        <w:rPr>
          <w:b/>
          <w:bCs/>
          <w:sz w:val="28"/>
          <w:szCs w:val="28"/>
        </w:rPr>
      </w:pPr>
    </w:p>
    <w:p w:rsidR="00751469" w:rsidRDefault="00751469" w:rsidP="00F452CA">
      <w:pPr>
        <w:pStyle w:val="a3"/>
        <w:spacing w:before="240" w:after="240"/>
        <w:ind w:left="0"/>
        <w:jc w:val="center"/>
        <w:rPr>
          <w:b/>
          <w:bCs/>
          <w:sz w:val="28"/>
          <w:szCs w:val="28"/>
        </w:rPr>
      </w:pPr>
    </w:p>
    <w:p w:rsidR="00751469" w:rsidRDefault="00751469" w:rsidP="00F452CA">
      <w:pPr>
        <w:pStyle w:val="a3"/>
        <w:spacing w:before="240" w:after="240"/>
        <w:ind w:left="0"/>
        <w:jc w:val="center"/>
        <w:rPr>
          <w:b/>
          <w:bCs/>
          <w:sz w:val="28"/>
          <w:szCs w:val="28"/>
        </w:rPr>
      </w:pPr>
    </w:p>
    <w:p w:rsidR="00751469" w:rsidRDefault="00751469" w:rsidP="00F452CA">
      <w:pPr>
        <w:pStyle w:val="a3"/>
        <w:spacing w:before="240" w:after="240"/>
        <w:ind w:left="0"/>
        <w:jc w:val="center"/>
        <w:rPr>
          <w:b/>
          <w:bCs/>
          <w:sz w:val="28"/>
          <w:szCs w:val="28"/>
        </w:rPr>
      </w:pPr>
    </w:p>
    <w:p w:rsidR="00751469" w:rsidRDefault="00751469" w:rsidP="00F452CA">
      <w:pPr>
        <w:pStyle w:val="a3"/>
        <w:spacing w:before="240" w:after="240"/>
        <w:ind w:left="0"/>
        <w:jc w:val="center"/>
        <w:rPr>
          <w:b/>
          <w:bCs/>
          <w:sz w:val="28"/>
          <w:szCs w:val="28"/>
        </w:rPr>
      </w:pPr>
    </w:p>
    <w:p w:rsidR="00751469" w:rsidRDefault="00751469" w:rsidP="00F452CA">
      <w:pPr>
        <w:pStyle w:val="a3"/>
        <w:spacing w:before="240" w:after="240"/>
        <w:ind w:left="0"/>
        <w:jc w:val="center"/>
        <w:rPr>
          <w:b/>
          <w:bCs/>
          <w:sz w:val="28"/>
          <w:szCs w:val="28"/>
        </w:rPr>
      </w:pPr>
    </w:p>
    <w:p w:rsidR="00751469" w:rsidRDefault="00751469" w:rsidP="00F452CA">
      <w:pPr>
        <w:pStyle w:val="a3"/>
        <w:spacing w:before="240" w:after="240"/>
        <w:ind w:left="0"/>
        <w:jc w:val="center"/>
        <w:rPr>
          <w:b/>
          <w:bCs/>
          <w:sz w:val="28"/>
          <w:szCs w:val="28"/>
        </w:rPr>
      </w:pPr>
    </w:p>
    <w:p w:rsidR="00751469" w:rsidRDefault="00751469" w:rsidP="00F452CA">
      <w:pPr>
        <w:pStyle w:val="a3"/>
        <w:spacing w:before="240" w:after="240"/>
        <w:ind w:left="0"/>
        <w:jc w:val="center"/>
        <w:rPr>
          <w:b/>
          <w:bCs/>
          <w:sz w:val="28"/>
          <w:szCs w:val="28"/>
        </w:rPr>
      </w:pPr>
    </w:p>
    <w:p w:rsidR="00751469" w:rsidRDefault="00751469" w:rsidP="00F452CA">
      <w:pPr>
        <w:pStyle w:val="a3"/>
        <w:spacing w:before="240" w:after="240"/>
        <w:ind w:left="0"/>
        <w:jc w:val="center"/>
        <w:rPr>
          <w:b/>
          <w:bCs/>
          <w:sz w:val="28"/>
          <w:szCs w:val="28"/>
        </w:rPr>
      </w:pPr>
    </w:p>
    <w:p w:rsidR="00751469" w:rsidRDefault="00751469" w:rsidP="00F452CA">
      <w:pPr>
        <w:pStyle w:val="a3"/>
        <w:spacing w:before="240" w:after="240"/>
        <w:ind w:left="0"/>
        <w:jc w:val="center"/>
        <w:rPr>
          <w:b/>
          <w:bCs/>
          <w:sz w:val="28"/>
          <w:szCs w:val="28"/>
        </w:rPr>
      </w:pPr>
    </w:p>
    <w:p w:rsidR="00751469" w:rsidRDefault="00751469" w:rsidP="00F452CA">
      <w:pPr>
        <w:pStyle w:val="a3"/>
        <w:spacing w:before="240" w:after="240"/>
        <w:ind w:left="0"/>
        <w:jc w:val="center"/>
        <w:rPr>
          <w:b/>
          <w:bCs/>
          <w:sz w:val="28"/>
          <w:szCs w:val="28"/>
        </w:rPr>
      </w:pPr>
    </w:p>
    <w:p w:rsidR="00751469" w:rsidRDefault="00751469" w:rsidP="00F452CA">
      <w:pPr>
        <w:pStyle w:val="a3"/>
        <w:spacing w:before="240" w:after="240"/>
        <w:ind w:left="0"/>
        <w:jc w:val="center"/>
        <w:rPr>
          <w:b/>
          <w:bCs/>
          <w:sz w:val="28"/>
          <w:szCs w:val="28"/>
        </w:rPr>
      </w:pPr>
    </w:p>
    <w:p w:rsidR="00751469" w:rsidRDefault="00751469" w:rsidP="00F452CA">
      <w:pPr>
        <w:pStyle w:val="a3"/>
        <w:spacing w:before="240" w:after="240"/>
        <w:ind w:left="0"/>
        <w:jc w:val="center"/>
        <w:rPr>
          <w:b/>
          <w:bCs/>
          <w:sz w:val="28"/>
          <w:szCs w:val="28"/>
        </w:rPr>
      </w:pPr>
    </w:p>
    <w:p w:rsidR="00751469" w:rsidRDefault="00751469" w:rsidP="00F452CA">
      <w:pPr>
        <w:pStyle w:val="a3"/>
        <w:spacing w:before="240" w:after="240"/>
        <w:ind w:left="0"/>
        <w:jc w:val="center"/>
        <w:rPr>
          <w:b/>
          <w:bCs/>
          <w:sz w:val="28"/>
          <w:szCs w:val="28"/>
        </w:rPr>
      </w:pPr>
    </w:p>
    <w:p w:rsidR="00751469" w:rsidRDefault="00751469" w:rsidP="00F452CA">
      <w:pPr>
        <w:pStyle w:val="a3"/>
        <w:spacing w:before="240" w:after="240"/>
        <w:ind w:left="0"/>
        <w:jc w:val="center"/>
        <w:rPr>
          <w:b/>
          <w:bCs/>
          <w:sz w:val="28"/>
          <w:szCs w:val="28"/>
        </w:rPr>
      </w:pPr>
    </w:p>
    <w:p w:rsidR="00751469" w:rsidRDefault="00751469" w:rsidP="00751469">
      <w:pPr>
        <w:pStyle w:val="a3"/>
        <w:spacing w:before="240" w:after="240"/>
        <w:ind w:left="0"/>
      </w:pPr>
      <w:r w:rsidRPr="00751469">
        <w:rPr>
          <w:b/>
        </w:rPr>
        <w:lastRenderedPageBreak/>
        <w:t>Denumirea documentului</w:t>
      </w:r>
      <w:r>
        <w:t xml:space="preserve"> </w:t>
      </w:r>
    </w:p>
    <w:p w:rsidR="00B91982" w:rsidRDefault="00751469" w:rsidP="00751469">
      <w:pPr>
        <w:pStyle w:val="a3"/>
        <w:spacing w:before="240" w:after="240"/>
        <w:ind w:left="0"/>
      </w:pPr>
      <w:r w:rsidRPr="00751469">
        <w:t>Strategi</w:t>
      </w:r>
      <w:r>
        <w:t>a</w:t>
      </w:r>
      <w:r w:rsidRPr="00751469">
        <w:t xml:space="preserve"> de Specializare Inteligentă a Republicii Moldova până în anul 2030</w:t>
      </w:r>
      <w:r w:rsidR="00B91982">
        <w:t xml:space="preserve">. </w:t>
      </w:r>
    </w:p>
    <w:p w:rsidR="00751469" w:rsidRPr="00B91982" w:rsidRDefault="00751469" w:rsidP="00B91982">
      <w:pPr>
        <w:pStyle w:val="a3"/>
        <w:spacing w:before="240" w:after="240"/>
        <w:ind w:left="0"/>
        <w:rPr>
          <w:b/>
          <w:bCs/>
          <w:sz w:val="28"/>
          <w:szCs w:val="28"/>
        </w:rPr>
      </w:pPr>
      <w:r w:rsidRPr="00B91982">
        <w:rPr>
          <w:b/>
        </w:rPr>
        <w:t>Tipul documentului de politici publice care se propune a fi elaborat</w:t>
      </w:r>
    </w:p>
    <w:p w:rsidR="00751469" w:rsidRPr="00B91982" w:rsidRDefault="00B91982" w:rsidP="00B91982">
      <w:pPr>
        <w:pStyle w:val="a3"/>
        <w:spacing w:before="240" w:after="240"/>
        <w:ind w:left="0"/>
        <w:rPr>
          <w:bCs/>
          <w:sz w:val="28"/>
          <w:szCs w:val="28"/>
        </w:rPr>
      </w:pPr>
      <w:r>
        <w:t xml:space="preserve">În conformitate cu p. 5 al Regulamentului cu privire la planificarea, elaborarea, aprobarea, implementarea, monitorizarea și evaluarea documentelor de politici publice, </w:t>
      </w:r>
      <w:r w:rsidR="00CF39D7" w:rsidRPr="00CF39D7">
        <w:rPr>
          <w:bCs/>
        </w:rPr>
        <w:t>Hotărâr</w:t>
      </w:r>
      <w:r w:rsidR="00CF39D7">
        <w:rPr>
          <w:bCs/>
        </w:rPr>
        <w:t>ea</w:t>
      </w:r>
      <w:r w:rsidR="00CF39D7" w:rsidRPr="00CF39D7">
        <w:rPr>
          <w:bCs/>
        </w:rPr>
        <w:t xml:space="preserve"> Guvernului</w:t>
      </w:r>
      <w:r>
        <w:t xml:space="preserve"> 386/2020, „Documentele de politici publice sunt de două tipuri – strategia și programul”. Prezentul document reprezintă Conceptul </w:t>
      </w:r>
      <w:r w:rsidRPr="00B91982">
        <w:rPr>
          <w:bCs/>
        </w:rPr>
        <w:t>Strategiei de Specializare Inteligentă a Republicii Moldova</w:t>
      </w:r>
      <w:r w:rsidRPr="00B91982">
        <w:rPr>
          <w:sz w:val="22"/>
          <w:szCs w:val="22"/>
        </w:rPr>
        <w:t xml:space="preserve"> </w:t>
      </w:r>
      <w:r w:rsidRPr="00B91982">
        <w:rPr>
          <w:bCs/>
        </w:rPr>
        <w:t>până în 2030</w:t>
      </w:r>
      <w:r>
        <w:rPr>
          <w:bCs/>
        </w:rPr>
        <w:t xml:space="preserve"> </w:t>
      </w:r>
      <w:r w:rsidRPr="00FF7958">
        <w:t xml:space="preserve">(în </w:t>
      </w:r>
      <w:r w:rsidRPr="00DF1237">
        <w:t>continuare – ”S3 2030”</w:t>
      </w:r>
      <w:r w:rsidRPr="00B91982">
        <w:t xml:space="preserve">) </w:t>
      </w:r>
      <w:r w:rsidRPr="00B91982">
        <w:rPr>
          <w:bCs/>
        </w:rPr>
        <w:t xml:space="preserve"> şi a fost elaborat în corespundere cu exigențele H</w:t>
      </w:r>
      <w:r w:rsidR="00CF39D7">
        <w:rPr>
          <w:bCs/>
        </w:rPr>
        <w:t>otărârii Guvernului nr.</w:t>
      </w:r>
      <w:r w:rsidRPr="00B91982">
        <w:rPr>
          <w:bCs/>
        </w:rPr>
        <w:t>386/2020.</w:t>
      </w:r>
      <w:r w:rsidRPr="00B91982">
        <w:t xml:space="preserve"> </w:t>
      </w:r>
      <w:r w:rsidRPr="00FF7958">
        <w:t>Domeniile principale de intervenție: cercetare – inovare.</w:t>
      </w:r>
    </w:p>
    <w:p w:rsidR="001E57E5" w:rsidRPr="00F452CA" w:rsidRDefault="003B2923" w:rsidP="00B91982">
      <w:pPr>
        <w:pStyle w:val="1"/>
      </w:pPr>
      <w:r w:rsidRPr="00F452CA">
        <w:t>Problema abordată</w:t>
      </w:r>
    </w:p>
    <w:p w:rsidR="00AE2AFC" w:rsidRPr="00FF7958" w:rsidRDefault="00AE2AFC" w:rsidP="00AE2AFC">
      <w:pPr>
        <w:pStyle w:val="a3"/>
        <w:spacing w:before="240" w:after="240"/>
        <w:ind w:left="0" w:firstLine="432"/>
        <w:rPr>
          <w:rFonts w:eastAsiaTheme="minorHAnsi"/>
        </w:rPr>
      </w:pPr>
      <w:r w:rsidRPr="00FF7958">
        <w:t>Esența strategiilor de specializare inteligentă (S3), denumite și Strategii de cercetare și inovare pentru specializare inteligentă (RIS3), presupune o abordare concentrată teritorial, care se bazează pe activele și resursele disponibile în cadrul unei țări/regiuni</w:t>
      </w:r>
      <w:r w:rsidRPr="00FF7958">
        <w:rPr>
          <w:vertAlign w:val="superscript"/>
        </w:rPr>
        <w:footnoteReference w:id="1"/>
      </w:r>
      <w:r w:rsidRPr="00FF7958">
        <w:t>, ținând cont totodată de provocările socio-economice specifice țării/regiunii respective, aplicată pentru a identifica oportunități unice de dezvoltare și creștere economică. În acest context, „specializarea” presupune identificarea unui număr limitat de priorități bine identificate într-o logică verticală, pentru investiții bazate pe cunoaștere, obținându-se, în rezultat, un avantaj competitiv al țării respective la nivel internațional. Totodată, specializarea inteligentă favorizează îmbunătățirea alocării fondurilor publice pentru finanțarea activităților de cercetare, dezvoltare și inovare, în vederea sporirii competitivității, productivității și creșterii economice.</w:t>
      </w:r>
      <w:r w:rsidRPr="00FF7958">
        <w:rPr>
          <w:rFonts w:eastAsiaTheme="minorHAnsi"/>
        </w:rPr>
        <w:t xml:space="preserve"> </w:t>
      </w:r>
    </w:p>
    <w:p w:rsidR="00910B5E" w:rsidRPr="00FF7958" w:rsidRDefault="00910B5E" w:rsidP="007C2240">
      <w:pPr>
        <w:spacing w:before="240" w:after="240"/>
        <w:ind w:firstLine="450"/>
        <w:jc w:val="both"/>
        <w:rPr>
          <w:sz w:val="24"/>
          <w:szCs w:val="24"/>
        </w:rPr>
      </w:pPr>
      <w:r w:rsidRPr="00FF7958">
        <w:rPr>
          <w:sz w:val="24"/>
          <w:szCs w:val="24"/>
        </w:rPr>
        <w:t xml:space="preserve">Problema abordată prin </w:t>
      </w:r>
      <w:r w:rsidR="00AE2AFC" w:rsidRPr="00FF7958">
        <w:rPr>
          <w:sz w:val="24"/>
          <w:szCs w:val="24"/>
        </w:rPr>
        <w:t xml:space="preserve">intermediul </w:t>
      </w:r>
      <w:r w:rsidRPr="00FF7958">
        <w:rPr>
          <w:sz w:val="24"/>
          <w:szCs w:val="24"/>
        </w:rPr>
        <w:t>prezentul</w:t>
      </w:r>
      <w:r w:rsidR="00AE2AFC" w:rsidRPr="00FF7958">
        <w:rPr>
          <w:sz w:val="24"/>
          <w:szCs w:val="24"/>
        </w:rPr>
        <w:t>ui</w:t>
      </w:r>
      <w:r w:rsidRPr="00FF7958">
        <w:rPr>
          <w:sz w:val="24"/>
          <w:szCs w:val="24"/>
        </w:rPr>
        <w:t xml:space="preserve"> document de politici publice se referă </w:t>
      </w:r>
      <w:r w:rsidR="00AE2AFC" w:rsidRPr="00FF7958">
        <w:rPr>
          <w:sz w:val="24"/>
          <w:szCs w:val="24"/>
        </w:rPr>
        <w:t xml:space="preserve">la gradul redus </w:t>
      </w:r>
      <w:r w:rsidRPr="00FF7958">
        <w:rPr>
          <w:sz w:val="24"/>
          <w:szCs w:val="24"/>
        </w:rPr>
        <w:t>de generare și utilizare a inovațiilor la nivelul economiei naționale și legătura insufi</w:t>
      </w:r>
      <w:r w:rsidR="00AE2AFC" w:rsidRPr="00FF7958">
        <w:rPr>
          <w:sz w:val="24"/>
          <w:szCs w:val="24"/>
        </w:rPr>
        <w:t>c</w:t>
      </w:r>
      <w:r w:rsidRPr="00FF7958">
        <w:rPr>
          <w:sz w:val="24"/>
          <w:szCs w:val="24"/>
        </w:rPr>
        <w:t>i</w:t>
      </w:r>
      <w:r w:rsidR="00AE2AFC" w:rsidRPr="00FF7958">
        <w:rPr>
          <w:sz w:val="24"/>
          <w:szCs w:val="24"/>
        </w:rPr>
        <w:t>e</w:t>
      </w:r>
      <w:r w:rsidRPr="00FF7958">
        <w:rPr>
          <w:sz w:val="24"/>
          <w:szCs w:val="24"/>
        </w:rPr>
        <w:t>ntă dintre mediul de cercetare-inovare și cel de afaceri.</w:t>
      </w:r>
    </w:p>
    <w:p w:rsidR="00C25080" w:rsidRDefault="007C2240" w:rsidP="00C25080">
      <w:pPr>
        <w:spacing w:before="240" w:after="240"/>
        <w:ind w:firstLine="450"/>
        <w:jc w:val="both"/>
        <w:rPr>
          <w:sz w:val="24"/>
          <w:szCs w:val="24"/>
        </w:rPr>
      </w:pPr>
      <w:r w:rsidRPr="00FF7958">
        <w:rPr>
          <w:sz w:val="24"/>
          <w:szCs w:val="24"/>
        </w:rPr>
        <w:t>Necesitatea consolidării legăturilor dintre mediul de cercetare și cel de afaceri, precum și creșterea relevanței cercetărilor științifice pentru nevoile sectorului de afaceri, sunt menționate în toate documentele de politici care au guvernat/guvernează domeniile C&amp;I</w:t>
      </w:r>
      <w:r w:rsidR="00D110DD">
        <w:rPr>
          <w:sz w:val="24"/>
          <w:szCs w:val="24"/>
        </w:rPr>
        <w:t xml:space="preserve"> </w:t>
      </w:r>
      <w:r w:rsidR="003F0C04" w:rsidRPr="00FF7958">
        <w:rPr>
          <w:sz w:val="24"/>
          <w:szCs w:val="24"/>
        </w:rPr>
        <w:t>(</w:t>
      </w:r>
      <w:r w:rsidR="005007A2" w:rsidRPr="00FF7958">
        <w:rPr>
          <w:sz w:val="24"/>
          <w:szCs w:val="24"/>
        </w:rPr>
        <w:t>Programul național în domeniile cercetării și inovării pentru anii 2020-2023, Strategia</w:t>
      </w:r>
      <w:r w:rsidR="003F0C04" w:rsidRPr="00FF7958">
        <w:rPr>
          <w:sz w:val="24"/>
          <w:szCs w:val="24"/>
        </w:rPr>
        <w:t xml:space="preserve"> de cercetare-dezvoltare a Republicii Moldova </w:t>
      </w:r>
      <w:r w:rsidR="00C25080" w:rsidRPr="00FF7958">
        <w:rPr>
          <w:sz w:val="24"/>
          <w:szCs w:val="24"/>
        </w:rPr>
        <w:t>până</w:t>
      </w:r>
      <w:r w:rsidR="003F0C04" w:rsidRPr="00FF7958">
        <w:rPr>
          <w:sz w:val="24"/>
          <w:szCs w:val="24"/>
        </w:rPr>
        <w:t xml:space="preserve"> în </w:t>
      </w:r>
      <w:r w:rsidR="00C25080">
        <w:rPr>
          <w:sz w:val="24"/>
          <w:szCs w:val="24"/>
        </w:rPr>
        <w:t xml:space="preserve">anul </w:t>
      </w:r>
      <w:r w:rsidR="003F0C04" w:rsidRPr="00FF7958">
        <w:rPr>
          <w:sz w:val="24"/>
          <w:szCs w:val="24"/>
        </w:rPr>
        <w:t xml:space="preserve">2020, </w:t>
      </w:r>
      <w:r w:rsidR="005007A2" w:rsidRPr="00FF7958">
        <w:rPr>
          <w:sz w:val="24"/>
          <w:szCs w:val="24"/>
        </w:rPr>
        <w:t>Strategia inovațională a Republicii Moldova pentru perioada 2013-2020 „Inovații pentru competitivitate”</w:t>
      </w:r>
      <w:r w:rsidR="003F0C04" w:rsidRPr="00FF7958">
        <w:rPr>
          <w:sz w:val="24"/>
          <w:szCs w:val="24"/>
        </w:rPr>
        <w:t>)</w:t>
      </w:r>
      <w:r w:rsidRPr="00FF7958">
        <w:rPr>
          <w:sz w:val="24"/>
          <w:szCs w:val="24"/>
        </w:rPr>
        <w:t>.</w:t>
      </w:r>
    </w:p>
    <w:p w:rsidR="007C2240" w:rsidRPr="00FF7958" w:rsidRDefault="007C2240" w:rsidP="00C25080">
      <w:pPr>
        <w:spacing w:before="240" w:after="240"/>
        <w:ind w:firstLine="450"/>
        <w:jc w:val="both"/>
        <w:rPr>
          <w:sz w:val="24"/>
          <w:szCs w:val="24"/>
        </w:rPr>
      </w:pPr>
      <w:r w:rsidRPr="00FF7958">
        <w:rPr>
          <w:sz w:val="24"/>
          <w:szCs w:val="24"/>
        </w:rPr>
        <w:t xml:space="preserve">În același timp, starea precară a dialogului știință-business a fost identificată drept o vulnerabilitate a sistemului de cercetare și inovare de către toate analizele și evaluările efectuate în ultimul deceniu (Facilitatea de Suport a Politicilor (H2020 PSF) UNECE </w:t>
      </w:r>
      <w:proofErr w:type="spellStart"/>
      <w:r w:rsidRPr="00FF7958">
        <w:rPr>
          <w:sz w:val="24"/>
          <w:szCs w:val="24"/>
        </w:rPr>
        <w:t>Innovation</w:t>
      </w:r>
      <w:proofErr w:type="spellEnd"/>
      <w:r w:rsidRPr="00FF7958">
        <w:rPr>
          <w:sz w:val="24"/>
          <w:szCs w:val="24"/>
        </w:rPr>
        <w:t xml:space="preserve"> </w:t>
      </w:r>
      <w:proofErr w:type="spellStart"/>
      <w:r w:rsidRPr="00FF7958">
        <w:rPr>
          <w:sz w:val="24"/>
          <w:szCs w:val="24"/>
        </w:rPr>
        <w:t>Policy</w:t>
      </w:r>
      <w:proofErr w:type="spellEnd"/>
      <w:r w:rsidRPr="00FF7958">
        <w:rPr>
          <w:sz w:val="24"/>
          <w:szCs w:val="24"/>
        </w:rPr>
        <w:t xml:space="preserve"> Outlook, rapoartele anuale privind Starea Științei etc.). </w:t>
      </w:r>
      <w:r w:rsidR="00910B5E" w:rsidRPr="00FF7958">
        <w:rPr>
          <w:sz w:val="24"/>
          <w:szCs w:val="24"/>
        </w:rPr>
        <w:t xml:space="preserve">Opiniile exprimate </w:t>
      </w:r>
      <w:r w:rsidR="005E5748">
        <w:rPr>
          <w:sz w:val="24"/>
          <w:szCs w:val="24"/>
        </w:rPr>
        <w:t>de către reprezentanții diferitor părți interesate</w:t>
      </w:r>
      <w:r w:rsidR="0019176F">
        <w:rPr>
          <w:sz w:val="24"/>
          <w:szCs w:val="24"/>
        </w:rPr>
        <w:t xml:space="preserve"> </w:t>
      </w:r>
      <w:r w:rsidR="00910B5E" w:rsidRPr="00FF7958">
        <w:rPr>
          <w:sz w:val="24"/>
          <w:szCs w:val="24"/>
        </w:rPr>
        <w:t>conțin argumente</w:t>
      </w:r>
      <w:r w:rsidR="002764B2">
        <w:rPr>
          <w:sz w:val="24"/>
          <w:szCs w:val="24"/>
        </w:rPr>
        <w:t>,</w:t>
      </w:r>
      <w:r w:rsidR="00910B5E" w:rsidRPr="00FF7958">
        <w:rPr>
          <w:sz w:val="24"/>
          <w:szCs w:val="24"/>
        </w:rPr>
        <w:t xml:space="preserve"> </w:t>
      </w:r>
      <w:r w:rsidRPr="00FF7958">
        <w:rPr>
          <w:sz w:val="24"/>
          <w:szCs w:val="24"/>
        </w:rPr>
        <w:t>potrivit cărora organizațiile din domeniile cercetării și inovării nu produc suficiente rezultate relevante pentru companii sau că sectorul afacerilor nu este suficient de predispus la inovații, preferând, în schimb, activități de afaceri „tradiționale”.</w:t>
      </w:r>
    </w:p>
    <w:p w:rsidR="007C2240" w:rsidRPr="00FF7958" w:rsidRDefault="007C2240" w:rsidP="007C2240">
      <w:pPr>
        <w:spacing w:before="240" w:after="240"/>
        <w:ind w:firstLine="450"/>
        <w:jc w:val="both"/>
        <w:rPr>
          <w:sz w:val="24"/>
          <w:szCs w:val="24"/>
        </w:rPr>
      </w:pPr>
      <w:r w:rsidRPr="00FF7958">
        <w:rPr>
          <w:sz w:val="24"/>
          <w:szCs w:val="24"/>
        </w:rPr>
        <w:t>În realitate, există un schimb foarte redus de informații între instituțiile de cercetare și mediul antreprenorial. Există o înțelegere redusă din partea ambelor părți a modalităților de lucru asupra proiectelor și inițiativelor comune de cercetare și inovare, iar lanțul valoric de la „cunoștințe” la ”comercializare” este destul de deconectat</w:t>
      </w:r>
      <w:r w:rsidR="00D110DD">
        <w:rPr>
          <w:sz w:val="24"/>
          <w:szCs w:val="24"/>
        </w:rPr>
        <w:t xml:space="preserve"> </w:t>
      </w:r>
      <w:r w:rsidR="0019176F">
        <w:rPr>
          <w:sz w:val="24"/>
          <w:szCs w:val="24"/>
        </w:rPr>
        <w:t xml:space="preserve">din cauza deficienței </w:t>
      </w:r>
      <w:r w:rsidR="0019176F" w:rsidRPr="00FF7958">
        <w:rPr>
          <w:sz w:val="24"/>
          <w:szCs w:val="24"/>
        </w:rPr>
        <w:t>instrumentel</w:t>
      </w:r>
      <w:r w:rsidR="0019176F">
        <w:rPr>
          <w:sz w:val="24"/>
          <w:szCs w:val="24"/>
        </w:rPr>
        <w:t>or</w:t>
      </w:r>
      <w:r w:rsidR="0019176F" w:rsidRPr="00FF7958">
        <w:rPr>
          <w:sz w:val="24"/>
          <w:szCs w:val="24"/>
        </w:rPr>
        <w:t xml:space="preserve"> </w:t>
      </w:r>
      <w:r w:rsidRPr="00FF7958">
        <w:rPr>
          <w:sz w:val="24"/>
          <w:szCs w:val="24"/>
        </w:rPr>
        <w:t>disponibile pentru susținerea parteneriatelor comune dintre cercetare și mediul de afaceri</w:t>
      </w:r>
      <w:r w:rsidR="007F5A09">
        <w:rPr>
          <w:sz w:val="24"/>
          <w:szCs w:val="24"/>
        </w:rPr>
        <w:t>.</w:t>
      </w:r>
    </w:p>
    <w:p w:rsidR="007C7500" w:rsidRPr="00FF7958" w:rsidRDefault="00AE2AFC" w:rsidP="002764B2">
      <w:pPr>
        <w:spacing w:before="240" w:after="240"/>
        <w:ind w:firstLine="450"/>
        <w:jc w:val="both"/>
        <w:rPr>
          <w:sz w:val="24"/>
          <w:szCs w:val="24"/>
        </w:rPr>
      </w:pPr>
      <w:r w:rsidRPr="00FF7958">
        <w:rPr>
          <w:sz w:val="24"/>
          <w:szCs w:val="24"/>
        </w:rPr>
        <w:lastRenderedPageBreak/>
        <w:t xml:space="preserve">Situația descrisă mai sus este </w:t>
      </w:r>
      <w:r w:rsidR="002764B2" w:rsidRPr="00FF7958">
        <w:rPr>
          <w:sz w:val="24"/>
          <w:szCs w:val="24"/>
        </w:rPr>
        <w:t>confirmată</w:t>
      </w:r>
      <w:r w:rsidRPr="00FF7958">
        <w:rPr>
          <w:sz w:val="24"/>
          <w:szCs w:val="24"/>
        </w:rPr>
        <w:t xml:space="preserve"> și de poziția țării noastre în diferite clasamente internaționale. </w:t>
      </w:r>
      <w:r w:rsidR="007C7500" w:rsidRPr="00FF7958">
        <w:rPr>
          <w:sz w:val="24"/>
          <w:szCs w:val="24"/>
        </w:rPr>
        <w:t>Conform Indicelui Global al Competitivității (IGC), ediția 2019, Republica Moldova ocupă poziția 86 (88 în 2018) din 141 de țări supuse analizei, cel mai mic scor fiind oferit pentru capacitățile inovaționale (30 din 100)</w:t>
      </w:r>
      <w:r w:rsidR="002764B2">
        <w:rPr>
          <w:rStyle w:val="a9"/>
          <w:szCs w:val="24"/>
        </w:rPr>
        <w:footnoteReference w:id="2"/>
      </w:r>
      <w:r w:rsidR="007C7500" w:rsidRPr="00FF7958">
        <w:rPr>
          <w:sz w:val="24"/>
          <w:szCs w:val="24"/>
        </w:rPr>
        <w:t>. Indicele global al inovației (IGI) pentru anul 2020 concluzionează că Republica Moldova a obținut performanțe mai bune în materie de inovare decât input-urile în acest domeniu în anul precedent. Țara are cele mai bune performanțe în ceea ce privește gradul de sofisticare a pieței, iar cea mai slabă performanță ține de infrastructură și de gradul de sofisticare a afacerilor</w:t>
      </w:r>
      <w:r w:rsidR="002764B2">
        <w:rPr>
          <w:rStyle w:val="a9"/>
          <w:szCs w:val="24"/>
        </w:rPr>
        <w:footnoteReference w:id="3"/>
      </w:r>
      <w:r w:rsidR="007C7500" w:rsidRPr="00FF7958">
        <w:rPr>
          <w:sz w:val="24"/>
          <w:szCs w:val="24"/>
        </w:rPr>
        <w:t xml:space="preserve">. </w:t>
      </w:r>
    </w:p>
    <w:p w:rsidR="007C7500" w:rsidRPr="00FF7958" w:rsidRDefault="007C7500" w:rsidP="00FF7958">
      <w:pPr>
        <w:spacing w:before="240" w:after="240"/>
        <w:ind w:firstLine="450"/>
        <w:jc w:val="both"/>
        <w:rPr>
          <w:sz w:val="24"/>
          <w:szCs w:val="24"/>
        </w:rPr>
      </w:pPr>
      <w:r w:rsidRPr="00FF7958">
        <w:rPr>
          <w:sz w:val="24"/>
          <w:szCs w:val="24"/>
        </w:rPr>
        <w:t>Ambele clasamente atenționează asupra gradului redus de colaborare dintre</w:t>
      </w:r>
      <w:r w:rsidR="00D110DD">
        <w:rPr>
          <w:sz w:val="24"/>
          <w:szCs w:val="24"/>
        </w:rPr>
        <w:t xml:space="preserve"> </w:t>
      </w:r>
      <w:r w:rsidRPr="00FF7958">
        <w:rPr>
          <w:sz w:val="24"/>
          <w:szCs w:val="24"/>
        </w:rPr>
        <w:t xml:space="preserve">reprezentanții diferitor sectoare pe lanțul valoric al inovării. Spre exemplu, IGC plasează RM, în ceea ce privește colaborarea dintre actori multipli pe poziția 120 din 141 de țări, iar în ceea ce privește colaborarea științifică dintre universități și mediul de afaceri, IGI poziționează Republica Moldova pe locul 116. </w:t>
      </w:r>
    </w:p>
    <w:p w:rsidR="007C2240" w:rsidRPr="00FF7958" w:rsidRDefault="007C2240" w:rsidP="007C2240">
      <w:pPr>
        <w:spacing w:before="240" w:after="240"/>
        <w:ind w:firstLine="450"/>
        <w:jc w:val="both"/>
        <w:rPr>
          <w:sz w:val="24"/>
          <w:szCs w:val="24"/>
        </w:rPr>
      </w:pPr>
      <w:r w:rsidRPr="00FF7958">
        <w:rPr>
          <w:sz w:val="24"/>
          <w:szCs w:val="24"/>
        </w:rPr>
        <w:t>Alte probleme identificate, c</w:t>
      </w:r>
      <w:r w:rsidR="007F5A09">
        <w:rPr>
          <w:sz w:val="24"/>
          <w:szCs w:val="24"/>
        </w:rPr>
        <w:t>ar</w:t>
      </w:r>
      <w:r w:rsidRPr="00FF7958">
        <w:rPr>
          <w:sz w:val="24"/>
          <w:szCs w:val="24"/>
        </w:rPr>
        <w:t xml:space="preserve">e urmează a fi atenuate prin implementarea </w:t>
      </w:r>
      <w:r w:rsidR="00910B5E" w:rsidRPr="00FF7958">
        <w:rPr>
          <w:sz w:val="24"/>
          <w:szCs w:val="24"/>
        </w:rPr>
        <w:t>specializării inteligente</w:t>
      </w:r>
      <w:r w:rsidRPr="00FF7958">
        <w:rPr>
          <w:sz w:val="24"/>
          <w:szCs w:val="24"/>
        </w:rPr>
        <w:t xml:space="preserve"> sunt:</w:t>
      </w:r>
    </w:p>
    <w:p w:rsidR="007C2240" w:rsidRPr="00FF7958" w:rsidRDefault="007C2240" w:rsidP="007C2240">
      <w:pPr>
        <w:pStyle w:val="a4"/>
        <w:widowControl/>
        <w:numPr>
          <w:ilvl w:val="3"/>
          <w:numId w:val="12"/>
        </w:numPr>
        <w:autoSpaceDE/>
        <w:autoSpaceDN/>
        <w:spacing w:before="240" w:after="240"/>
        <w:ind w:left="810" w:right="0"/>
        <w:contextualSpacing/>
        <w:rPr>
          <w:sz w:val="24"/>
          <w:szCs w:val="24"/>
        </w:rPr>
      </w:pPr>
      <w:proofErr w:type="spellStart"/>
      <w:r w:rsidRPr="00FF7958">
        <w:rPr>
          <w:sz w:val="24"/>
          <w:szCs w:val="24"/>
        </w:rPr>
        <w:t>Prioritizarea</w:t>
      </w:r>
      <w:proofErr w:type="spellEnd"/>
      <w:r w:rsidRPr="00FF7958">
        <w:rPr>
          <w:sz w:val="24"/>
          <w:szCs w:val="24"/>
        </w:rPr>
        <w:t xml:space="preserve"> insuficientă a investițiilor în cercetare, în special în zonele de interes pentru mediul de afaceri, inclusiv pe segmentul dezvoltării infrastructurii de cercetare,</w:t>
      </w:r>
    </w:p>
    <w:p w:rsidR="007C2240" w:rsidRPr="00FF7958" w:rsidRDefault="007C2240" w:rsidP="007C2240">
      <w:pPr>
        <w:pStyle w:val="a4"/>
        <w:widowControl/>
        <w:numPr>
          <w:ilvl w:val="3"/>
          <w:numId w:val="12"/>
        </w:numPr>
        <w:autoSpaceDE/>
        <w:autoSpaceDN/>
        <w:spacing w:before="240" w:after="240"/>
        <w:ind w:left="810" w:right="0"/>
        <w:contextualSpacing/>
        <w:rPr>
          <w:sz w:val="24"/>
          <w:szCs w:val="24"/>
        </w:rPr>
      </w:pPr>
      <w:r w:rsidRPr="00FF7958">
        <w:rPr>
          <w:sz w:val="24"/>
          <w:szCs w:val="24"/>
        </w:rPr>
        <w:t>Deconectarea cercetării-inovării de la procesul general de dezvoltare economică a țării,</w:t>
      </w:r>
    </w:p>
    <w:p w:rsidR="007C2240" w:rsidRPr="00FF7958" w:rsidRDefault="007C2240" w:rsidP="007C2240">
      <w:pPr>
        <w:pStyle w:val="a4"/>
        <w:widowControl/>
        <w:numPr>
          <w:ilvl w:val="3"/>
          <w:numId w:val="12"/>
        </w:numPr>
        <w:autoSpaceDE/>
        <w:autoSpaceDN/>
        <w:spacing w:before="240" w:after="240"/>
        <w:ind w:left="810" w:right="0"/>
        <w:contextualSpacing/>
        <w:rPr>
          <w:sz w:val="24"/>
          <w:szCs w:val="24"/>
        </w:rPr>
      </w:pPr>
      <w:r w:rsidRPr="00FF7958">
        <w:rPr>
          <w:sz w:val="24"/>
          <w:szCs w:val="24"/>
        </w:rPr>
        <w:t xml:space="preserve">Prezența redusă în cadrul economiei naționale a sectoarelor înalt tehnologizate, </w:t>
      </w:r>
    </w:p>
    <w:p w:rsidR="007C2240" w:rsidRPr="00FF7958" w:rsidRDefault="007C2240" w:rsidP="007C2240">
      <w:pPr>
        <w:pStyle w:val="a4"/>
        <w:widowControl/>
        <w:numPr>
          <w:ilvl w:val="3"/>
          <w:numId w:val="12"/>
        </w:numPr>
        <w:autoSpaceDE/>
        <w:autoSpaceDN/>
        <w:spacing w:before="240" w:after="240"/>
        <w:ind w:left="810" w:right="0"/>
        <w:contextualSpacing/>
        <w:rPr>
          <w:sz w:val="24"/>
          <w:szCs w:val="24"/>
        </w:rPr>
      </w:pPr>
      <w:r w:rsidRPr="00FF7958">
        <w:rPr>
          <w:sz w:val="24"/>
          <w:szCs w:val="24"/>
        </w:rPr>
        <w:t xml:space="preserve">Lipsa masei critice a resurselor umane înalt calificate în zonele de importanță majoră în contextul celei </w:t>
      </w:r>
      <w:r w:rsidRPr="00FF7958">
        <w:rPr>
          <w:i/>
          <w:sz w:val="24"/>
          <w:szCs w:val="24"/>
        </w:rPr>
        <w:t>de-a patra Revoluții Industriale</w:t>
      </w:r>
      <w:r w:rsidRPr="00FF7958">
        <w:rPr>
          <w:sz w:val="24"/>
          <w:szCs w:val="24"/>
        </w:rPr>
        <w:t xml:space="preserve">, </w:t>
      </w:r>
    </w:p>
    <w:p w:rsidR="007C2240" w:rsidRPr="00FF7958" w:rsidRDefault="007C2240" w:rsidP="007C2240">
      <w:pPr>
        <w:pStyle w:val="a4"/>
        <w:widowControl/>
        <w:numPr>
          <w:ilvl w:val="3"/>
          <w:numId w:val="12"/>
        </w:numPr>
        <w:autoSpaceDE/>
        <w:autoSpaceDN/>
        <w:spacing w:before="240" w:after="240"/>
        <w:ind w:left="810" w:right="0"/>
        <w:contextualSpacing/>
        <w:rPr>
          <w:sz w:val="24"/>
          <w:szCs w:val="24"/>
        </w:rPr>
      </w:pPr>
      <w:r w:rsidRPr="00FF7958">
        <w:rPr>
          <w:sz w:val="24"/>
          <w:szCs w:val="24"/>
        </w:rPr>
        <w:t>Investiții neglijabile din partea mediului de afaceri pentru activități de cercetare-inovare.</w:t>
      </w:r>
    </w:p>
    <w:p w:rsidR="00165937" w:rsidRPr="00FF7958" w:rsidRDefault="00165937" w:rsidP="00041591">
      <w:pPr>
        <w:pStyle w:val="a3"/>
        <w:spacing w:before="240" w:after="240"/>
        <w:ind w:left="0" w:firstLine="432"/>
      </w:pPr>
      <w:r w:rsidRPr="00FF7958">
        <w:t xml:space="preserve">Concentrarea resurselor pe un număr limitat de domenii de excelență/specializare și de investiții prioritare pornește de la ideea că o țară nu poate obține performanțe notabile în toate domeniile științei, tehnologiei și inovării, fiind necesar un proces atent de </w:t>
      </w:r>
      <w:proofErr w:type="spellStart"/>
      <w:r w:rsidRPr="00FF7958">
        <w:t>prioritizare</w:t>
      </w:r>
      <w:proofErr w:type="spellEnd"/>
      <w:r w:rsidRPr="00FF7958">
        <w:t>, care să țină cont de nevoile și resursele de care dispune statul respectiv. Specializarea inteligentă a fost, de asemenea, propusă pentru a împiedica diseminarea investițiilor limitate alocate cercetării-inovării unui număr extins de sectoare și domenii de cercetare, fapt care, în consecință, nu permite obținerea unui impact substanțial urmare a investiții</w:t>
      </w:r>
      <w:r w:rsidR="007F5A09">
        <w:t>lor</w:t>
      </w:r>
      <w:r w:rsidRPr="00FF7958">
        <w:t xml:space="preserve"> respective.</w:t>
      </w:r>
    </w:p>
    <w:p w:rsidR="00165937" w:rsidRPr="00FF7958" w:rsidRDefault="00165937" w:rsidP="00041591">
      <w:pPr>
        <w:pStyle w:val="a3"/>
        <w:spacing w:before="240" w:after="240"/>
        <w:ind w:left="0" w:firstLine="432"/>
      </w:pPr>
      <w:r w:rsidRPr="00FF7958">
        <w:t xml:space="preserve">La nivelul UE, specializarea inteligentă a constituit o parte integrantă și o condiționalitate </w:t>
      </w:r>
      <w:proofErr w:type="spellStart"/>
      <w:r w:rsidRPr="00FF7958">
        <w:t>ex</w:t>
      </w:r>
      <w:r w:rsidR="007F5A09">
        <w:t>-</w:t>
      </w:r>
      <w:proofErr w:type="spellEnd"/>
      <w:r w:rsidRPr="00FF7958">
        <w:t xml:space="preserve"> ante a Politicii Europene de</w:t>
      </w:r>
      <w:r w:rsidR="00D110DD">
        <w:t xml:space="preserve"> </w:t>
      </w:r>
      <w:r w:rsidRPr="00FF7958">
        <w:t>Coeziune, ceea ce a determinat statele membre și regiunile acestora să dezvolte peste 120 de strategii de specializare inteligentă, determinând investiții în cercetare și inovare de peste 40 miliarde euro oferite de UE (inclusiv 68 miliarde EUR cofinanțare națională)</w:t>
      </w:r>
      <w:r w:rsidR="00041591" w:rsidRPr="00FF7958">
        <w:t xml:space="preserve"> în vederea</w:t>
      </w:r>
      <w:r w:rsidRPr="00FF7958">
        <w:t xml:space="preserve"> realiz</w:t>
      </w:r>
      <w:r w:rsidR="00041591" w:rsidRPr="00FF7958">
        <w:t>ării</w:t>
      </w:r>
      <w:r w:rsidRPr="00FF7958">
        <w:t xml:space="preserve"> dezideratului unei </w:t>
      </w:r>
      <w:r w:rsidRPr="00FF7958">
        <w:rPr>
          <w:i/>
        </w:rPr>
        <w:t>Europe mai inteligente</w:t>
      </w:r>
      <w:r w:rsidRPr="00FF7958">
        <w:t xml:space="preserve">, promovând în special transformarea economică bazată pe inovare. </w:t>
      </w:r>
    </w:p>
    <w:p w:rsidR="005847A8" w:rsidRDefault="005847A8" w:rsidP="00FE2989">
      <w:pPr>
        <w:spacing w:before="240" w:after="240"/>
        <w:ind w:firstLine="450"/>
        <w:jc w:val="both"/>
        <w:rPr>
          <w:sz w:val="24"/>
          <w:szCs w:val="24"/>
        </w:rPr>
      </w:pPr>
      <w:r w:rsidRPr="00FF7958">
        <w:rPr>
          <w:sz w:val="24"/>
          <w:szCs w:val="24"/>
        </w:rPr>
        <w:t>Deși existența unei Strategii de Specializare Inteligentă nu reprezintă o condiționalitate pentru țările din afara Uniunii, în anul 2017, Centrul Comun de Cercetare al Comisiei Europene (JRC), prin intermediul Platformei S3, a lansat un proiect-pilot pentru a asista cu expertiză metodologică instituțiile responsabile din Serbia, Republica Moldova și Ucraina în procesul de elaborare a RIS3</w:t>
      </w:r>
      <w:r w:rsidRPr="00FF7958">
        <w:rPr>
          <w:sz w:val="24"/>
          <w:szCs w:val="24"/>
          <w:vertAlign w:val="superscript"/>
        </w:rPr>
        <w:footnoteReference w:id="4"/>
      </w:r>
      <w:r w:rsidRPr="00FF7958">
        <w:rPr>
          <w:sz w:val="24"/>
          <w:szCs w:val="24"/>
        </w:rPr>
        <w:t xml:space="preserve">. </w:t>
      </w:r>
    </w:p>
    <w:p w:rsidR="0019176F" w:rsidRPr="00FF7958" w:rsidRDefault="0019176F" w:rsidP="00FE2989">
      <w:pPr>
        <w:spacing w:before="240" w:after="240"/>
        <w:ind w:firstLine="450"/>
        <w:jc w:val="both"/>
        <w:rPr>
          <w:sz w:val="24"/>
          <w:szCs w:val="24"/>
        </w:rPr>
      </w:pPr>
      <w:r w:rsidRPr="00751469">
        <w:rPr>
          <w:sz w:val="24"/>
          <w:szCs w:val="24"/>
        </w:rPr>
        <w:t xml:space="preserve">Este important de menționat că </w:t>
      </w:r>
      <w:r w:rsidRPr="00751469">
        <w:rPr>
          <w:b/>
          <w:bCs/>
          <w:sz w:val="24"/>
          <w:szCs w:val="24"/>
        </w:rPr>
        <w:t>elaborarea Strategiei de specializare inteligentă reprezintă un obiectiv stabilit</w:t>
      </w:r>
      <w:r w:rsidRPr="00751469">
        <w:rPr>
          <w:sz w:val="24"/>
          <w:szCs w:val="24"/>
        </w:rPr>
        <w:t xml:space="preserve"> în </w:t>
      </w:r>
      <w:r w:rsidR="006F790D" w:rsidRPr="00751469">
        <w:rPr>
          <w:sz w:val="24"/>
          <w:szCs w:val="24"/>
        </w:rPr>
        <w:t xml:space="preserve">Acordul de Asociere între Republica Moldova și Uniunea Europeana și </w:t>
      </w:r>
      <w:r w:rsidR="006F790D" w:rsidRPr="00751469">
        <w:rPr>
          <w:sz w:val="24"/>
          <w:szCs w:val="24"/>
        </w:rPr>
        <w:lastRenderedPageBreak/>
        <w:t>Comunitatea Europeana a Energiei Atomice și statele membre ale acestora, ratificat prin Legea nr. 112/2014, în Planul de acțiune pentru punerea în aplicare a Acordului de asociere UE-Moldova, 2017-2019 (Titlul IV, Cap.24, Art.129), în Planul de acțiuni al Guvernului pentru anii 2020-2023, aprobat prin HG nr.636/2019, dar și în planul de activitate al Ministerului Educației, Culturii și Cercetării pentru anul 2021</w:t>
      </w:r>
      <w:r w:rsidRPr="00751469">
        <w:rPr>
          <w:sz w:val="24"/>
          <w:szCs w:val="24"/>
        </w:rPr>
        <w:t>.</w:t>
      </w:r>
    </w:p>
    <w:p w:rsidR="00B01E84" w:rsidRPr="002764B2" w:rsidRDefault="00B01E84" w:rsidP="00B91982">
      <w:pPr>
        <w:pStyle w:val="1"/>
      </w:pPr>
      <w:r w:rsidRPr="002764B2">
        <w:t>Scopul elaborării documentului de politici publice</w:t>
      </w:r>
    </w:p>
    <w:p w:rsidR="007329F5" w:rsidRPr="00FF7958" w:rsidRDefault="007329F5" w:rsidP="00041591">
      <w:pPr>
        <w:spacing w:before="240" w:after="240"/>
        <w:ind w:firstLine="450"/>
        <w:jc w:val="both"/>
        <w:rPr>
          <w:sz w:val="24"/>
          <w:szCs w:val="24"/>
        </w:rPr>
      </w:pPr>
      <w:r w:rsidRPr="00FF7958">
        <w:rPr>
          <w:sz w:val="24"/>
          <w:szCs w:val="24"/>
        </w:rPr>
        <w:t>Scopul Strategiei de Specializare Inteligentă a Republicii Moldova - SMART MOLDOVA 2030</w:t>
      </w:r>
      <w:r w:rsidR="00D110DD">
        <w:rPr>
          <w:sz w:val="24"/>
          <w:szCs w:val="24"/>
        </w:rPr>
        <w:t xml:space="preserve"> </w:t>
      </w:r>
      <w:r w:rsidRPr="00FF7958">
        <w:rPr>
          <w:sz w:val="24"/>
          <w:szCs w:val="24"/>
        </w:rPr>
        <w:t xml:space="preserve">este de a crea în Republica Moldova un ecosistem dinamic de cercetare-inovare, puternic conectat cu mediul antreprenorial, cu mecanisme permanente de comunicare transversală în vederea reflectării rapide și cuprinzătoare a rezultatelor cercetării științifice </w:t>
      </w:r>
      <w:r w:rsidR="004D0A87" w:rsidRPr="00FF7958">
        <w:rPr>
          <w:sz w:val="24"/>
          <w:szCs w:val="24"/>
        </w:rPr>
        <w:t>și</w:t>
      </w:r>
      <w:r w:rsidRPr="00FF7958">
        <w:rPr>
          <w:sz w:val="24"/>
          <w:szCs w:val="24"/>
        </w:rPr>
        <w:t xml:space="preserve"> pregătirii academice în competitivitatea mediului de afaceri și în performanța economică a țării</w:t>
      </w:r>
      <w:r w:rsidR="004D0A87" w:rsidRPr="00FF7958">
        <w:rPr>
          <w:sz w:val="24"/>
          <w:szCs w:val="24"/>
        </w:rPr>
        <w:t>,</w:t>
      </w:r>
      <w:r w:rsidRPr="00FF7958">
        <w:rPr>
          <w:sz w:val="24"/>
          <w:szCs w:val="24"/>
        </w:rPr>
        <w:t xml:space="preserve"> oferind soluții la adresa provocărilor societale. </w:t>
      </w:r>
    </w:p>
    <w:p w:rsidR="007417EA" w:rsidRPr="00FF7958" w:rsidRDefault="007417EA" w:rsidP="007417EA">
      <w:pPr>
        <w:spacing w:before="240" w:after="240"/>
        <w:ind w:firstLine="450"/>
        <w:jc w:val="both"/>
        <w:rPr>
          <w:sz w:val="24"/>
          <w:szCs w:val="24"/>
        </w:rPr>
      </w:pPr>
      <w:r w:rsidRPr="00FF7958">
        <w:rPr>
          <w:sz w:val="24"/>
          <w:szCs w:val="24"/>
        </w:rPr>
        <w:t xml:space="preserve">Prin urmare, implementarea Strategiei de Specializare Inteligentă a Republicii Moldova - SMART MOLDOVA 2030 va contribui la asigurarea unei creșteri economice inteligente, sustenabile și incluzive, dar și la atenuarea provocărilor cu care se confruntă societatea Republicii Moldova. Conectarea potențialului cercetării-inovării cu </w:t>
      </w:r>
      <w:proofErr w:type="spellStart"/>
      <w:r w:rsidRPr="00FF7958">
        <w:rPr>
          <w:sz w:val="24"/>
          <w:szCs w:val="24"/>
        </w:rPr>
        <w:t>repozitoriul</w:t>
      </w:r>
      <w:proofErr w:type="spellEnd"/>
      <w:r w:rsidRPr="00FF7958">
        <w:rPr>
          <w:sz w:val="24"/>
          <w:szCs w:val="24"/>
        </w:rPr>
        <w:t xml:space="preserve"> de cunoștințe existent în cadrul mediului antreprenorial va determina sporirea competitivității economiei RM și valorificarea oportunităților existente și emergente de conectare la lanțurile valorice internaționale. </w:t>
      </w:r>
    </w:p>
    <w:p w:rsidR="007417EA" w:rsidRPr="00FF7958" w:rsidRDefault="007417EA" w:rsidP="007417EA">
      <w:pPr>
        <w:spacing w:before="240" w:after="240"/>
        <w:ind w:firstLine="450"/>
        <w:jc w:val="both"/>
        <w:rPr>
          <w:b/>
          <w:bCs/>
          <w:sz w:val="24"/>
          <w:szCs w:val="24"/>
        </w:rPr>
      </w:pPr>
      <w:r w:rsidRPr="00FF7958">
        <w:rPr>
          <w:b/>
          <w:bCs/>
          <w:sz w:val="24"/>
          <w:szCs w:val="24"/>
        </w:rPr>
        <w:t xml:space="preserve">Viziunea Strategiei de Specializare Inteligentă a Republicii Moldova - SMART MOLDOVA 2030: </w:t>
      </w:r>
      <w:r w:rsidRPr="00FF7958">
        <w:rPr>
          <w:i/>
          <w:iCs/>
          <w:sz w:val="24"/>
          <w:szCs w:val="24"/>
        </w:rPr>
        <w:t xml:space="preserve">Până în 2030, Republica Moldova va deveni o țară cu o economie bazată pe cunoaștere, competitivă, sustenabilă și integrată în lanțurile valorice internaționale, cu o societate </w:t>
      </w:r>
      <w:proofErr w:type="spellStart"/>
      <w:r w:rsidRPr="00FF7958">
        <w:rPr>
          <w:i/>
          <w:iCs/>
          <w:sz w:val="24"/>
          <w:szCs w:val="24"/>
        </w:rPr>
        <w:t>rezilientă</w:t>
      </w:r>
      <w:proofErr w:type="spellEnd"/>
      <w:r w:rsidRPr="00FF7958">
        <w:rPr>
          <w:i/>
          <w:iCs/>
          <w:sz w:val="24"/>
          <w:szCs w:val="24"/>
        </w:rPr>
        <w:t>, digitalizată și predispusă spre inovare.</w:t>
      </w:r>
    </w:p>
    <w:p w:rsidR="007417EA" w:rsidRPr="00FF7958" w:rsidRDefault="007417EA" w:rsidP="007417EA">
      <w:pPr>
        <w:spacing w:before="240"/>
        <w:ind w:hanging="86"/>
        <w:jc w:val="both"/>
        <w:rPr>
          <w:b/>
          <w:bCs/>
          <w:sz w:val="24"/>
          <w:szCs w:val="24"/>
        </w:rPr>
      </w:pPr>
      <w:r w:rsidRPr="00FF7958">
        <w:rPr>
          <w:b/>
          <w:bCs/>
          <w:sz w:val="24"/>
          <w:szCs w:val="24"/>
        </w:rPr>
        <w:t>Obiective generale:</w:t>
      </w:r>
    </w:p>
    <w:p w:rsidR="007417EA" w:rsidRPr="00FF7958" w:rsidRDefault="007417EA" w:rsidP="007417EA">
      <w:pPr>
        <w:pStyle w:val="a4"/>
        <w:widowControl/>
        <w:numPr>
          <w:ilvl w:val="3"/>
          <w:numId w:val="14"/>
        </w:numPr>
        <w:autoSpaceDE/>
        <w:autoSpaceDN/>
        <w:spacing w:before="240" w:after="240"/>
        <w:ind w:left="810" w:right="0"/>
        <w:contextualSpacing/>
        <w:rPr>
          <w:sz w:val="24"/>
          <w:szCs w:val="24"/>
        </w:rPr>
      </w:pPr>
      <w:r w:rsidRPr="00FF7958">
        <w:rPr>
          <w:sz w:val="24"/>
          <w:szCs w:val="24"/>
        </w:rPr>
        <w:t>Consolidarea cooperării dintre sectorul de afaceri și cel de cercetare.</w:t>
      </w:r>
    </w:p>
    <w:p w:rsidR="007417EA" w:rsidRPr="00FF7958" w:rsidRDefault="007417EA" w:rsidP="007417EA">
      <w:pPr>
        <w:pStyle w:val="a4"/>
        <w:widowControl/>
        <w:numPr>
          <w:ilvl w:val="3"/>
          <w:numId w:val="14"/>
        </w:numPr>
        <w:autoSpaceDE/>
        <w:autoSpaceDN/>
        <w:spacing w:before="240" w:after="240"/>
        <w:ind w:left="810" w:right="0"/>
        <w:contextualSpacing/>
        <w:rPr>
          <w:sz w:val="24"/>
          <w:szCs w:val="24"/>
        </w:rPr>
      </w:pPr>
      <w:r w:rsidRPr="00FF7958">
        <w:rPr>
          <w:sz w:val="24"/>
          <w:szCs w:val="24"/>
        </w:rPr>
        <w:t xml:space="preserve">Sporirea competitivității economiei naționale prin dezvoltarea </w:t>
      </w:r>
      <w:proofErr w:type="spellStart"/>
      <w:r w:rsidRPr="00FF7958">
        <w:rPr>
          <w:sz w:val="24"/>
          <w:szCs w:val="24"/>
        </w:rPr>
        <w:t>antreprenoriatului</w:t>
      </w:r>
      <w:proofErr w:type="spellEnd"/>
      <w:r w:rsidRPr="00FF7958">
        <w:rPr>
          <w:sz w:val="24"/>
          <w:szCs w:val="24"/>
        </w:rPr>
        <w:t xml:space="preserve"> inovațional și a culturii inovaționale aferente.</w:t>
      </w:r>
    </w:p>
    <w:p w:rsidR="007417EA" w:rsidRPr="00FF7958" w:rsidRDefault="007417EA" w:rsidP="007417EA">
      <w:pPr>
        <w:pStyle w:val="a4"/>
        <w:widowControl/>
        <w:numPr>
          <w:ilvl w:val="3"/>
          <w:numId w:val="14"/>
        </w:numPr>
        <w:autoSpaceDE/>
        <w:autoSpaceDN/>
        <w:spacing w:before="240" w:after="240"/>
        <w:ind w:left="810" w:right="0"/>
        <w:contextualSpacing/>
        <w:rPr>
          <w:sz w:val="24"/>
          <w:szCs w:val="24"/>
        </w:rPr>
      </w:pPr>
      <w:r w:rsidRPr="00FF7958">
        <w:rPr>
          <w:sz w:val="24"/>
          <w:szCs w:val="24"/>
        </w:rPr>
        <w:t xml:space="preserve">Utilizarea la scară largă a inovațiilor pentru atenuarea problemelor societale. </w:t>
      </w:r>
    </w:p>
    <w:p w:rsidR="004D0A87" w:rsidRPr="002764B2" w:rsidRDefault="007417EA" w:rsidP="00041591">
      <w:pPr>
        <w:spacing w:before="240" w:after="240"/>
        <w:ind w:firstLine="450"/>
        <w:jc w:val="both"/>
        <w:rPr>
          <w:sz w:val="24"/>
          <w:szCs w:val="24"/>
        </w:rPr>
      </w:pPr>
      <w:r w:rsidRPr="002764B2">
        <w:rPr>
          <w:sz w:val="24"/>
          <w:szCs w:val="24"/>
        </w:rPr>
        <w:t>Astfel, implement</w:t>
      </w:r>
      <w:r w:rsidR="003F0C04" w:rsidRPr="002764B2">
        <w:rPr>
          <w:sz w:val="24"/>
          <w:szCs w:val="24"/>
        </w:rPr>
        <w:t>area prevederilor</w:t>
      </w:r>
      <w:r w:rsidRPr="002764B2">
        <w:rPr>
          <w:sz w:val="24"/>
          <w:szCs w:val="24"/>
        </w:rPr>
        <w:t xml:space="preserve"> strategiei</w:t>
      </w:r>
      <w:r w:rsidR="003F0C04" w:rsidRPr="002764B2">
        <w:rPr>
          <w:sz w:val="24"/>
          <w:szCs w:val="24"/>
        </w:rPr>
        <w:t xml:space="preserve"> va avea drept rezultat</w:t>
      </w:r>
      <w:r w:rsidR="004D0A87" w:rsidRPr="002764B2">
        <w:rPr>
          <w:sz w:val="24"/>
          <w:szCs w:val="24"/>
        </w:rPr>
        <w:t>:</w:t>
      </w:r>
    </w:p>
    <w:p w:rsidR="004D0A87" w:rsidRPr="002764B2" w:rsidRDefault="004D0A87" w:rsidP="00041591">
      <w:pPr>
        <w:widowControl/>
        <w:numPr>
          <w:ilvl w:val="0"/>
          <w:numId w:val="17"/>
        </w:numPr>
        <w:pBdr>
          <w:top w:val="nil"/>
          <w:left w:val="nil"/>
          <w:bottom w:val="nil"/>
          <w:right w:val="nil"/>
          <w:between w:val="nil"/>
        </w:pBdr>
        <w:autoSpaceDE/>
        <w:autoSpaceDN/>
        <w:spacing w:before="240" w:after="240"/>
        <w:contextualSpacing/>
        <w:jc w:val="both"/>
        <w:rPr>
          <w:sz w:val="24"/>
          <w:szCs w:val="24"/>
        </w:rPr>
      </w:pPr>
      <w:r w:rsidRPr="002764B2">
        <w:rPr>
          <w:b/>
          <w:sz w:val="24"/>
          <w:szCs w:val="24"/>
        </w:rPr>
        <w:t xml:space="preserve">Concentrarea investițiilor publice alocate domeniilor de </w:t>
      </w:r>
      <w:proofErr w:type="spellStart"/>
      <w:r w:rsidRPr="002764B2">
        <w:rPr>
          <w:b/>
          <w:sz w:val="24"/>
          <w:szCs w:val="24"/>
        </w:rPr>
        <w:t>Cercetare-Inovare</w:t>
      </w:r>
      <w:proofErr w:type="spellEnd"/>
      <w:r w:rsidRPr="002764B2">
        <w:rPr>
          <w:b/>
          <w:sz w:val="24"/>
          <w:szCs w:val="24"/>
        </w:rPr>
        <w:t xml:space="preserve"> (C-I) și crearea de sinergii/evitarea fragmentării </w:t>
      </w:r>
      <w:r w:rsidRPr="002764B2">
        <w:rPr>
          <w:sz w:val="24"/>
          <w:szCs w:val="24"/>
        </w:rPr>
        <w:t>dintre</w:t>
      </w:r>
      <w:r w:rsidRPr="002764B2">
        <w:rPr>
          <w:b/>
          <w:sz w:val="24"/>
          <w:szCs w:val="24"/>
        </w:rPr>
        <w:t xml:space="preserve"> </w:t>
      </w:r>
      <w:r w:rsidRPr="002764B2">
        <w:rPr>
          <w:sz w:val="24"/>
          <w:szCs w:val="24"/>
        </w:rPr>
        <w:t xml:space="preserve">diferite instrumente de sprijin și investiții. Acest deziderat este extrem de important în condițiile în care Republica Moldova alocă doar 0.23% din PIB pentru finanțarea activităților de C-I (pe când la nivelul UE acest indicator constituie 2.2%). </w:t>
      </w:r>
    </w:p>
    <w:p w:rsidR="004D0A87" w:rsidRPr="002764B2" w:rsidRDefault="004D0A87" w:rsidP="00041591">
      <w:pPr>
        <w:widowControl/>
        <w:numPr>
          <w:ilvl w:val="0"/>
          <w:numId w:val="17"/>
        </w:numPr>
        <w:pBdr>
          <w:top w:val="nil"/>
          <w:left w:val="nil"/>
          <w:bottom w:val="nil"/>
          <w:right w:val="nil"/>
          <w:between w:val="nil"/>
        </w:pBdr>
        <w:autoSpaceDE/>
        <w:autoSpaceDN/>
        <w:spacing w:before="240" w:after="240"/>
        <w:contextualSpacing/>
        <w:jc w:val="both"/>
        <w:rPr>
          <w:sz w:val="24"/>
          <w:szCs w:val="24"/>
        </w:rPr>
      </w:pPr>
      <w:r w:rsidRPr="002764B2">
        <w:rPr>
          <w:b/>
          <w:sz w:val="24"/>
          <w:szCs w:val="24"/>
        </w:rPr>
        <w:t>Sporirea competitivității întreprinderilor mici și mijlocii</w:t>
      </w:r>
      <w:r w:rsidRPr="002764B2">
        <w:rPr>
          <w:sz w:val="24"/>
          <w:szCs w:val="24"/>
        </w:rPr>
        <w:t xml:space="preserve"> prin dezvoltarea capacităților interne de inovare.</w:t>
      </w:r>
    </w:p>
    <w:p w:rsidR="004D0A87" w:rsidRPr="002764B2" w:rsidRDefault="004D0A87" w:rsidP="00041591">
      <w:pPr>
        <w:widowControl/>
        <w:numPr>
          <w:ilvl w:val="0"/>
          <w:numId w:val="17"/>
        </w:numPr>
        <w:pBdr>
          <w:top w:val="nil"/>
          <w:left w:val="nil"/>
          <w:bottom w:val="nil"/>
          <w:right w:val="nil"/>
          <w:between w:val="nil"/>
        </w:pBdr>
        <w:autoSpaceDE/>
        <w:autoSpaceDN/>
        <w:spacing w:before="240" w:after="240"/>
        <w:contextualSpacing/>
        <w:jc w:val="both"/>
        <w:rPr>
          <w:sz w:val="24"/>
          <w:szCs w:val="24"/>
        </w:rPr>
      </w:pPr>
      <w:r w:rsidRPr="002764B2">
        <w:rPr>
          <w:b/>
          <w:sz w:val="24"/>
          <w:szCs w:val="24"/>
        </w:rPr>
        <w:t xml:space="preserve">Creșterea gradului de implicare a părților interesate </w:t>
      </w:r>
      <w:r w:rsidRPr="002764B2">
        <w:rPr>
          <w:sz w:val="24"/>
          <w:szCs w:val="24"/>
        </w:rPr>
        <w:t>în procesul de identificare a priorităților de cercetare, care, urmează a fi stabilite în baza unui proces de descoperire antreprenorială de jos în sus. Descoperirea antreprenoriala, respectiv procesul participativ prin care se identifică nișele de specializare inteligentă, antrenează actorii din mediul de afaceri, cercetare, organizații publice și societate civilă într-un dialog argumentat privind, pe de o parte, avantajele competitive naționale si, pe de alta, oportunitățile pe piața internațională.</w:t>
      </w:r>
    </w:p>
    <w:p w:rsidR="004D0A87" w:rsidRPr="002764B2" w:rsidRDefault="004D0A87" w:rsidP="00041591">
      <w:pPr>
        <w:widowControl/>
        <w:numPr>
          <w:ilvl w:val="0"/>
          <w:numId w:val="17"/>
        </w:numPr>
        <w:pBdr>
          <w:top w:val="nil"/>
          <w:left w:val="nil"/>
          <w:bottom w:val="nil"/>
          <w:right w:val="nil"/>
          <w:between w:val="nil"/>
        </w:pBdr>
        <w:autoSpaceDE/>
        <w:autoSpaceDN/>
        <w:spacing w:before="240" w:after="240"/>
        <w:contextualSpacing/>
        <w:jc w:val="both"/>
        <w:rPr>
          <w:sz w:val="24"/>
          <w:szCs w:val="24"/>
        </w:rPr>
      </w:pPr>
      <w:r w:rsidRPr="002764B2">
        <w:rPr>
          <w:b/>
          <w:sz w:val="24"/>
          <w:szCs w:val="24"/>
        </w:rPr>
        <w:t>Diversificarea tehnologică și transferului rezultatelor activităților de cercetare în activitățile practice de producere.</w:t>
      </w:r>
    </w:p>
    <w:p w:rsidR="004D0A87" w:rsidRPr="002764B2" w:rsidRDefault="004D0A87" w:rsidP="00041591">
      <w:pPr>
        <w:widowControl/>
        <w:numPr>
          <w:ilvl w:val="0"/>
          <w:numId w:val="17"/>
        </w:numPr>
        <w:pBdr>
          <w:top w:val="nil"/>
          <w:left w:val="nil"/>
          <w:bottom w:val="nil"/>
          <w:right w:val="nil"/>
          <w:between w:val="nil"/>
        </w:pBdr>
        <w:autoSpaceDE/>
        <w:autoSpaceDN/>
        <w:spacing w:before="240" w:after="240"/>
        <w:contextualSpacing/>
        <w:jc w:val="both"/>
        <w:rPr>
          <w:sz w:val="24"/>
          <w:szCs w:val="24"/>
        </w:rPr>
      </w:pPr>
      <w:r w:rsidRPr="002764B2">
        <w:rPr>
          <w:b/>
          <w:sz w:val="24"/>
          <w:szCs w:val="24"/>
        </w:rPr>
        <w:lastRenderedPageBreak/>
        <w:t>Revigorarea</w:t>
      </w:r>
      <w:r w:rsidRPr="002764B2">
        <w:rPr>
          <w:sz w:val="24"/>
          <w:szCs w:val="24"/>
        </w:rPr>
        <w:t xml:space="preserve"> </w:t>
      </w:r>
      <w:r w:rsidRPr="002764B2">
        <w:rPr>
          <w:b/>
          <w:sz w:val="24"/>
          <w:szCs w:val="24"/>
        </w:rPr>
        <w:t>sectoarelor economice tradiționale</w:t>
      </w:r>
      <w:r w:rsidRPr="002764B2">
        <w:rPr>
          <w:sz w:val="24"/>
          <w:szCs w:val="24"/>
        </w:rPr>
        <w:t xml:space="preserve"> prin activități cu valoare adăugată mai mare, cât și noi nișe de piață sau </w:t>
      </w:r>
      <w:r w:rsidRPr="002764B2">
        <w:rPr>
          <w:b/>
          <w:bCs/>
          <w:sz w:val="24"/>
          <w:szCs w:val="24"/>
        </w:rPr>
        <w:t>m</w:t>
      </w:r>
      <w:r w:rsidRPr="002764B2">
        <w:rPr>
          <w:b/>
          <w:sz w:val="24"/>
          <w:szCs w:val="24"/>
        </w:rPr>
        <w:t>odernizarea</w:t>
      </w:r>
      <w:r w:rsidRPr="002764B2">
        <w:rPr>
          <w:sz w:val="24"/>
          <w:szCs w:val="24"/>
        </w:rPr>
        <w:t xml:space="preserve"> acestora prin adoptarea și diseminarea noilor tehnologii în cadrul IMM-urilor din regiuni;</w:t>
      </w:r>
    </w:p>
    <w:p w:rsidR="004D0A87" w:rsidRPr="002764B2" w:rsidRDefault="004D0A87" w:rsidP="00041591">
      <w:pPr>
        <w:widowControl/>
        <w:numPr>
          <w:ilvl w:val="0"/>
          <w:numId w:val="17"/>
        </w:numPr>
        <w:pBdr>
          <w:top w:val="nil"/>
          <w:left w:val="nil"/>
          <w:bottom w:val="nil"/>
          <w:right w:val="nil"/>
          <w:between w:val="nil"/>
        </w:pBdr>
        <w:autoSpaceDE/>
        <w:autoSpaceDN/>
        <w:spacing w:before="240" w:after="240"/>
        <w:jc w:val="both"/>
        <w:rPr>
          <w:sz w:val="24"/>
          <w:szCs w:val="24"/>
        </w:rPr>
      </w:pPr>
      <w:r w:rsidRPr="002764B2">
        <w:rPr>
          <w:b/>
          <w:sz w:val="24"/>
          <w:szCs w:val="24"/>
        </w:rPr>
        <w:t>Explorarea</w:t>
      </w:r>
      <w:r w:rsidRPr="002764B2">
        <w:rPr>
          <w:sz w:val="24"/>
          <w:szCs w:val="24"/>
        </w:rPr>
        <w:t xml:space="preserve"> </w:t>
      </w:r>
      <w:r w:rsidRPr="002764B2">
        <w:rPr>
          <w:b/>
          <w:sz w:val="24"/>
          <w:szCs w:val="24"/>
        </w:rPr>
        <w:t>unor noi forme de inovare</w:t>
      </w:r>
      <w:r w:rsidRPr="002764B2">
        <w:rPr>
          <w:sz w:val="24"/>
          <w:szCs w:val="24"/>
        </w:rPr>
        <w:t>, precum cea orientată către utilizator, inovarea socială și inovarea în domeniul acordării serviciilor.</w:t>
      </w:r>
    </w:p>
    <w:p w:rsidR="00745A03" w:rsidRPr="00FF7958" w:rsidRDefault="00745A03" w:rsidP="00E92E2C">
      <w:pPr>
        <w:spacing w:before="240" w:after="240"/>
        <w:ind w:firstLine="450"/>
        <w:jc w:val="both"/>
        <w:rPr>
          <w:sz w:val="24"/>
          <w:szCs w:val="24"/>
        </w:rPr>
      </w:pPr>
      <w:r w:rsidRPr="002764B2">
        <w:rPr>
          <w:sz w:val="24"/>
          <w:szCs w:val="24"/>
        </w:rPr>
        <w:t>Activitățile lansate în contextul specializării inteligente nu numai că vor deschide calea pentru implementarea</w:t>
      </w:r>
      <w:r w:rsidRPr="00FF7958">
        <w:rPr>
          <w:sz w:val="24"/>
          <w:szCs w:val="24"/>
        </w:rPr>
        <w:t xml:space="preserve"> unui șir de proiecte distincte de cercetare și inovare, dar și vor facilita accesul pe piață și poziționarea produselor inovatoare, care este un factor cheie de sporire a competitivității sectorului privat în prezent. Aceasta, la rândul său, va determina sporirea resurselor financiare naționale alocate pentru cercetare – dezvoltare prin atragerea de capital din sectorul privat.</w:t>
      </w:r>
      <w:r w:rsidR="00D110DD">
        <w:rPr>
          <w:sz w:val="24"/>
          <w:szCs w:val="24"/>
        </w:rPr>
        <w:t xml:space="preserve"> </w:t>
      </w:r>
    </w:p>
    <w:p w:rsidR="00745A03" w:rsidRPr="00FF7958" w:rsidRDefault="00745A03" w:rsidP="00745A03">
      <w:pPr>
        <w:spacing w:before="240" w:after="240"/>
        <w:ind w:firstLine="450"/>
        <w:jc w:val="both"/>
        <w:rPr>
          <w:sz w:val="24"/>
          <w:szCs w:val="24"/>
        </w:rPr>
      </w:pPr>
      <w:r w:rsidRPr="00FF7958">
        <w:rPr>
          <w:sz w:val="24"/>
          <w:szCs w:val="24"/>
        </w:rPr>
        <w:t>Totodată, Republica Moldova va obține, în rezultat,</w:t>
      </w:r>
      <w:r w:rsidR="00D110DD">
        <w:rPr>
          <w:sz w:val="24"/>
          <w:szCs w:val="24"/>
        </w:rPr>
        <w:t xml:space="preserve"> </w:t>
      </w:r>
      <w:r w:rsidRPr="00FF7958">
        <w:rPr>
          <w:sz w:val="24"/>
          <w:szCs w:val="24"/>
        </w:rPr>
        <w:t>șansa de a dobândi un avantaj competitiv real, prin identificarea unor nișe noi sau prin integrarea noilor tehnologii în cadrul industriilor tradiționale și exploatarea potențialului „inteligent" al acestora.</w:t>
      </w:r>
    </w:p>
    <w:p w:rsidR="001E57E5" w:rsidRPr="00FF7958" w:rsidRDefault="003B2923" w:rsidP="00B91982">
      <w:pPr>
        <w:pStyle w:val="1"/>
      </w:pPr>
      <w:bookmarkStart w:id="1" w:name="_Hlk82030397"/>
      <w:r w:rsidRPr="00FF7958">
        <w:t>Concordanța cu Strategia Națională de Dezvoltare „Moldova-2030”</w:t>
      </w:r>
    </w:p>
    <w:bookmarkEnd w:id="1"/>
    <w:p w:rsidR="009B34C0" w:rsidRPr="00FF7958" w:rsidRDefault="009B34C0" w:rsidP="00041591">
      <w:pPr>
        <w:spacing w:before="240" w:after="240"/>
        <w:ind w:firstLine="450"/>
        <w:jc w:val="both"/>
        <w:rPr>
          <w:sz w:val="24"/>
          <w:szCs w:val="24"/>
        </w:rPr>
      </w:pPr>
      <w:r w:rsidRPr="00FF7958">
        <w:rPr>
          <w:sz w:val="24"/>
          <w:szCs w:val="24"/>
        </w:rPr>
        <w:t>Creșterea rolului inovațiilor în procesul de sporire a competitivității economice, dar și necesitatea consolidării cooperării dintre mediul academic și cel de afaceri sunt deziderate care se conțin într-un șir de documente de politici. Spre exemplu, Strategia Națională de Dezvoltare(SND) ”Moldova 2020” prevedea la momentul adoptării, că paradigma dezvoltării economice va presupune atragerea investițiilor, dezvoltarea industriilor exportatoare, promovarea societății bazate pe cunoștințe, inclusiv prin fortificarea activităților de cercetare și de dezvoltare, inovarea și transferul tehnologic orientate spre eficiență și competitivitate. Totodată, 42,1% din respondenții unui chestionar aplicat în 2017 pentru evaluarea intermediară a SND „Moldova 2020”, au indicat inovarea în calitate aspect de politică transversală considerat de respondenți ca fiind insuficient integrat în SND, dar fiind important pentru dezvoltare</w:t>
      </w:r>
      <w:r w:rsidRPr="00FF7958">
        <w:rPr>
          <w:rStyle w:val="a9"/>
          <w:rFonts w:ascii="Times New Roman" w:hAnsi="Times New Roman" w:cs="Times New Roman"/>
          <w:sz w:val="24"/>
          <w:szCs w:val="24"/>
        </w:rPr>
        <w:footnoteReference w:id="5"/>
      </w:r>
      <w:r w:rsidRPr="00FF7958">
        <w:rPr>
          <w:sz w:val="24"/>
          <w:szCs w:val="24"/>
        </w:rPr>
        <w:t>.</w:t>
      </w:r>
    </w:p>
    <w:p w:rsidR="00B835BC" w:rsidRPr="00FF7958" w:rsidRDefault="009B34C0" w:rsidP="00041591">
      <w:pPr>
        <w:spacing w:before="240" w:after="240"/>
        <w:ind w:firstLine="450"/>
        <w:jc w:val="both"/>
        <w:rPr>
          <w:sz w:val="24"/>
          <w:szCs w:val="24"/>
        </w:rPr>
      </w:pPr>
      <w:r w:rsidRPr="00FF7958">
        <w:rPr>
          <w:sz w:val="24"/>
          <w:szCs w:val="24"/>
        </w:rPr>
        <w:t xml:space="preserve">Proiectul Strategiei Naționale de Dezvoltare ”Moldova 2030”, viziunea și obiectivul strategic major al căreia sunt centrate pe calitatea vieții, își propune ca și prioritate sporirea eficienței proceselor economice prin creșterea capacităților companiilor de a inova și a implementa inovații, inclusiv prin intermediul formării clusterelor, </w:t>
      </w:r>
      <w:proofErr w:type="spellStart"/>
      <w:r w:rsidRPr="00FF7958">
        <w:rPr>
          <w:sz w:val="24"/>
          <w:szCs w:val="24"/>
        </w:rPr>
        <w:t>hub-urilor</w:t>
      </w:r>
      <w:proofErr w:type="spellEnd"/>
      <w:r w:rsidRPr="00FF7958">
        <w:rPr>
          <w:sz w:val="24"/>
          <w:szCs w:val="24"/>
        </w:rPr>
        <w:t xml:space="preserve"> și a parcurilor industriale, și stimularea investițiilor private în sectorul de cercetare și dezvoltare, precum și a parteneriatelor dintre companii și instituții educaționale în acest domeniu</w:t>
      </w:r>
      <w:r w:rsidRPr="00FF7958">
        <w:rPr>
          <w:rStyle w:val="a9"/>
          <w:rFonts w:ascii="Times New Roman" w:hAnsi="Times New Roman" w:cs="Times New Roman"/>
          <w:sz w:val="24"/>
          <w:szCs w:val="24"/>
        </w:rPr>
        <w:footnoteReference w:id="6"/>
      </w:r>
      <w:r w:rsidRPr="00FF7958">
        <w:rPr>
          <w:sz w:val="24"/>
          <w:szCs w:val="24"/>
        </w:rPr>
        <w:t xml:space="preserve">. Prin prisma obiectivelor sale, specializarea inteligentă se înscrie perfect în logica expusă mai sus aliniată la obiectivele Agendei ONU pentru </w:t>
      </w:r>
      <w:r w:rsidR="003F0C04" w:rsidRPr="00FF7958">
        <w:rPr>
          <w:sz w:val="24"/>
          <w:szCs w:val="24"/>
        </w:rPr>
        <w:t>D</w:t>
      </w:r>
      <w:r w:rsidRPr="00FF7958">
        <w:rPr>
          <w:sz w:val="24"/>
          <w:szCs w:val="24"/>
        </w:rPr>
        <w:t xml:space="preserve">ezvoltare </w:t>
      </w:r>
      <w:r w:rsidR="003F0C04" w:rsidRPr="00FF7958">
        <w:rPr>
          <w:sz w:val="24"/>
          <w:szCs w:val="24"/>
        </w:rPr>
        <w:t>D</w:t>
      </w:r>
      <w:r w:rsidRPr="00FF7958">
        <w:rPr>
          <w:sz w:val="24"/>
          <w:szCs w:val="24"/>
        </w:rPr>
        <w:t>urabilă 2030</w:t>
      </w:r>
      <w:r w:rsidR="00B835BC" w:rsidRPr="00FF7958">
        <w:rPr>
          <w:sz w:val="24"/>
          <w:szCs w:val="24"/>
        </w:rPr>
        <w:t>.</w:t>
      </w:r>
      <w:r w:rsidRPr="00FF7958">
        <w:rPr>
          <w:sz w:val="24"/>
          <w:szCs w:val="24"/>
        </w:rPr>
        <w:t xml:space="preserve"> </w:t>
      </w:r>
    </w:p>
    <w:p w:rsidR="00CA4600" w:rsidRPr="00FF7958" w:rsidRDefault="00B835BC" w:rsidP="00713870">
      <w:pPr>
        <w:spacing w:before="240" w:after="240"/>
        <w:jc w:val="both"/>
        <w:rPr>
          <w:b/>
          <w:bCs/>
          <w:i/>
          <w:iCs/>
          <w:sz w:val="24"/>
          <w:szCs w:val="24"/>
        </w:rPr>
      </w:pPr>
      <w:r w:rsidRPr="00FF7958">
        <w:rPr>
          <w:b/>
          <w:bCs/>
          <w:i/>
          <w:iCs/>
          <w:sz w:val="24"/>
          <w:szCs w:val="24"/>
        </w:rPr>
        <w:t>Corelarea domeniilor de specializare inteligentă cu prioritățile și direcțiile strategice ale Programului</w:t>
      </w:r>
      <w:r w:rsidR="00D110DD">
        <w:rPr>
          <w:b/>
          <w:bCs/>
          <w:i/>
          <w:iCs/>
          <w:sz w:val="24"/>
          <w:szCs w:val="24"/>
        </w:rPr>
        <w:t xml:space="preserve"> </w:t>
      </w:r>
      <w:r w:rsidRPr="00FF7958">
        <w:rPr>
          <w:b/>
          <w:bCs/>
          <w:i/>
          <w:iCs/>
          <w:sz w:val="24"/>
          <w:szCs w:val="24"/>
        </w:rPr>
        <w:t>național în domeniile cercetării și inovării pentru anii 2020-2023 și obiectivele proiectului Strategiei Naționale de Dezvoltare Moldova 2030:</w:t>
      </w:r>
    </w:p>
    <w:tbl>
      <w:tblPr>
        <w:tblStyle w:val="a5"/>
        <w:tblW w:w="10260" w:type="dxa"/>
        <w:tblInd w:w="-5" w:type="dxa"/>
        <w:tbl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insideH w:val="single" w:sz="4" w:space="0" w:color="8DB3E2" w:themeColor="text2" w:themeTint="66"/>
          <w:insideV w:val="single" w:sz="4" w:space="0" w:color="8DB3E2" w:themeColor="text2" w:themeTint="66"/>
        </w:tblBorders>
        <w:tblLook w:val="04A0"/>
      </w:tblPr>
      <w:tblGrid>
        <w:gridCol w:w="1228"/>
        <w:gridCol w:w="2055"/>
        <w:gridCol w:w="2162"/>
        <w:gridCol w:w="4815"/>
      </w:tblGrid>
      <w:tr w:rsidR="00CA4600" w:rsidRPr="00FF7958" w:rsidTr="00B835BC">
        <w:trPr>
          <w:tblHeader/>
        </w:trPr>
        <w:tc>
          <w:tcPr>
            <w:tcW w:w="1228" w:type="dxa"/>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shd w:val="clear" w:color="auto" w:fill="548DD4" w:themeFill="text2" w:themeFillTint="99"/>
            <w:hideMark/>
          </w:tcPr>
          <w:p w:rsidR="00CA4600" w:rsidRPr="00FF7958" w:rsidRDefault="00CA4600">
            <w:pPr>
              <w:jc w:val="center"/>
              <w:rPr>
                <w:b/>
                <w:bCs/>
                <w:color w:val="FFFFFF" w:themeColor="background1"/>
                <w:sz w:val="20"/>
                <w:szCs w:val="20"/>
                <w:lang w:eastAsia="en-GB"/>
              </w:rPr>
            </w:pPr>
            <w:r w:rsidRPr="00FF7958">
              <w:rPr>
                <w:b/>
                <w:bCs/>
                <w:color w:val="FFFFFF" w:themeColor="background1"/>
                <w:sz w:val="20"/>
                <w:szCs w:val="20"/>
              </w:rPr>
              <w:t>Domeniu</w:t>
            </w:r>
          </w:p>
        </w:tc>
        <w:tc>
          <w:tcPr>
            <w:tcW w:w="2055" w:type="dxa"/>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shd w:val="clear" w:color="auto" w:fill="548DD4" w:themeFill="text2" w:themeFillTint="99"/>
            <w:hideMark/>
          </w:tcPr>
          <w:p w:rsidR="00CA4600" w:rsidRPr="00FF7958" w:rsidRDefault="00CA4600">
            <w:pPr>
              <w:jc w:val="center"/>
              <w:rPr>
                <w:b/>
                <w:bCs/>
                <w:color w:val="FFFFFF" w:themeColor="background1"/>
                <w:sz w:val="20"/>
                <w:szCs w:val="20"/>
                <w:lang w:eastAsia="en-GB"/>
              </w:rPr>
            </w:pPr>
            <w:r w:rsidRPr="00FF7958">
              <w:rPr>
                <w:b/>
                <w:bCs/>
                <w:color w:val="FFFFFF" w:themeColor="background1"/>
                <w:sz w:val="20"/>
                <w:szCs w:val="20"/>
              </w:rPr>
              <w:t>S3</w:t>
            </w:r>
          </w:p>
        </w:tc>
        <w:tc>
          <w:tcPr>
            <w:tcW w:w="2162" w:type="dxa"/>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shd w:val="clear" w:color="auto" w:fill="548DD4" w:themeFill="text2" w:themeFillTint="99"/>
            <w:hideMark/>
          </w:tcPr>
          <w:p w:rsidR="00CA4600" w:rsidRPr="00FF7958" w:rsidRDefault="00CA4600">
            <w:pPr>
              <w:jc w:val="center"/>
              <w:rPr>
                <w:b/>
                <w:bCs/>
                <w:color w:val="FFFFFF" w:themeColor="background1"/>
                <w:sz w:val="20"/>
                <w:szCs w:val="20"/>
                <w:lang w:eastAsia="en-GB"/>
              </w:rPr>
            </w:pPr>
            <w:r w:rsidRPr="00FF7958">
              <w:rPr>
                <w:b/>
                <w:bCs/>
                <w:color w:val="FFFFFF" w:themeColor="background1"/>
                <w:sz w:val="20"/>
                <w:szCs w:val="20"/>
              </w:rPr>
              <w:t>PNCI pentru anii 2020-2023</w:t>
            </w:r>
          </w:p>
        </w:tc>
        <w:tc>
          <w:tcPr>
            <w:tcW w:w="4815" w:type="dxa"/>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shd w:val="clear" w:color="auto" w:fill="548DD4" w:themeFill="text2" w:themeFillTint="99"/>
            <w:hideMark/>
          </w:tcPr>
          <w:p w:rsidR="00CA4600" w:rsidRPr="00FF7958" w:rsidRDefault="00CA4600">
            <w:pPr>
              <w:jc w:val="center"/>
              <w:rPr>
                <w:b/>
                <w:bCs/>
                <w:color w:val="FFFFFF" w:themeColor="background1"/>
                <w:sz w:val="20"/>
                <w:szCs w:val="20"/>
                <w:lang w:eastAsia="en-GB"/>
              </w:rPr>
            </w:pPr>
            <w:r w:rsidRPr="00FF7958">
              <w:rPr>
                <w:b/>
                <w:bCs/>
                <w:color w:val="FFFFFF" w:themeColor="background1"/>
                <w:sz w:val="20"/>
                <w:szCs w:val="20"/>
              </w:rPr>
              <w:t>SND Moldova 2030</w:t>
            </w:r>
          </w:p>
        </w:tc>
      </w:tr>
      <w:tr w:rsidR="00CA4600" w:rsidRPr="00FF7958" w:rsidTr="00B835BC">
        <w:tc>
          <w:tcPr>
            <w:tcW w:w="1228" w:type="dxa"/>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shd w:val="clear" w:color="auto" w:fill="DBE5F1" w:themeFill="accent1" w:themeFillTint="33"/>
            <w:hideMark/>
          </w:tcPr>
          <w:p w:rsidR="00CA4600" w:rsidRPr="00FF7958" w:rsidRDefault="00CA4600">
            <w:pPr>
              <w:rPr>
                <w:b/>
                <w:bCs/>
                <w:sz w:val="20"/>
                <w:szCs w:val="20"/>
                <w:lang w:eastAsia="en-GB"/>
              </w:rPr>
            </w:pPr>
            <w:r w:rsidRPr="00FF7958">
              <w:rPr>
                <w:b/>
                <w:bCs/>
                <w:sz w:val="20"/>
                <w:szCs w:val="20"/>
              </w:rPr>
              <w:t>Energie</w:t>
            </w:r>
          </w:p>
        </w:tc>
        <w:tc>
          <w:tcPr>
            <w:tcW w:w="2055" w:type="dxa"/>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rsidR="00CA4600" w:rsidRPr="00FF7958" w:rsidRDefault="00CA4600">
            <w:pPr>
              <w:rPr>
                <w:b/>
                <w:bCs/>
                <w:color w:val="244061" w:themeColor="accent1" w:themeShade="80"/>
                <w:sz w:val="20"/>
                <w:szCs w:val="20"/>
              </w:rPr>
            </w:pPr>
            <w:r w:rsidRPr="00FF7958">
              <w:rPr>
                <w:b/>
                <w:bCs/>
                <w:color w:val="244061" w:themeColor="accent1" w:themeShade="80"/>
                <w:sz w:val="20"/>
                <w:szCs w:val="20"/>
              </w:rPr>
              <w:t>Energie</w:t>
            </w:r>
          </w:p>
          <w:p w:rsidR="00CA4600" w:rsidRPr="00FF7958" w:rsidRDefault="00CA4600" w:rsidP="00CA4600">
            <w:pPr>
              <w:pStyle w:val="a4"/>
              <w:numPr>
                <w:ilvl w:val="0"/>
                <w:numId w:val="6"/>
              </w:numPr>
              <w:spacing w:before="240" w:after="240"/>
              <w:ind w:left="162" w:right="0" w:hanging="180"/>
              <w:contextualSpacing/>
              <w:rPr>
                <w:sz w:val="20"/>
                <w:szCs w:val="20"/>
              </w:rPr>
            </w:pPr>
            <w:r w:rsidRPr="00FF7958">
              <w:rPr>
                <w:sz w:val="20"/>
                <w:szCs w:val="20"/>
              </w:rPr>
              <w:t>Soluții de termoficare</w:t>
            </w:r>
          </w:p>
          <w:p w:rsidR="00CA4600" w:rsidRPr="00FF7958" w:rsidRDefault="00CA4600" w:rsidP="00CA4600">
            <w:pPr>
              <w:pStyle w:val="a4"/>
              <w:numPr>
                <w:ilvl w:val="0"/>
                <w:numId w:val="6"/>
              </w:numPr>
              <w:spacing w:before="240" w:after="240"/>
              <w:ind w:left="162" w:right="0" w:hanging="180"/>
              <w:contextualSpacing/>
              <w:rPr>
                <w:sz w:val="20"/>
                <w:szCs w:val="20"/>
              </w:rPr>
            </w:pPr>
            <w:r w:rsidRPr="00FF7958">
              <w:rPr>
                <w:sz w:val="20"/>
                <w:szCs w:val="20"/>
              </w:rPr>
              <w:t>Energie alternativă</w:t>
            </w:r>
          </w:p>
          <w:p w:rsidR="00CA4600" w:rsidRPr="00FF7958" w:rsidRDefault="00CA4600" w:rsidP="00CA4600">
            <w:pPr>
              <w:pStyle w:val="a4"/>
              <w:numPr>
                <w:ilvl w:val="0"/>
                <w:numId w:val="6"/>
              </w:numPr>
              <w:spacing w:before="240" w:after="240"/>
              <w:ind w:left="162" w:right="0" w:hanging="180"/>
              <w:contextualSpacing/>
              <w:rPr>
                <w:sz w:val="20"/>
                <w:szCs w:val="20"/>
              </w:rPr>
            </w:pPr>
            <w:r w:rsidRPr="00FF7958">
              <w:rPr>
                <w:sz w:val="20"/>
                <w:szCs w:val="20"/>
              </w:rPr>
              <w:lastRenderedPageBreak/>
              <w:t>Tehnologii eficiente</w:t>
            </w:r>
          </w:p>
          <w:p w:rsidR="00CA4600" w:rsidRPr="00FF7958" w:rsidRDefault="00CA4600">
            <w:pPr>
              <w:rPr>
                <w:sz w:val="20"/>
                <w:szCs w:val="20"/>
                <w:lang w:eastAsia="en-GB"/>
              </w:rPr>
            </w:pPr>
          </w:p>
        </w:tc>
        <w:tc>
          <w:tcPr>
            <w:tcW w:w="2162" w:type="dxa"/>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rsidR="00CA4600" w:rsidRPr="00FF7958" w:rsidRDefault="00CA4600">
            <w:pPr>
              <w:rPr>
                <w:b/>
                <w:bCs/>
                <w:color w:val="244061" w:themeColor="accent1" w:themeShade="80"/>
                <w:sz w:val="20"/>
                <w:szCs w:val="20"/>
              </w:rPr>
            </w:pPr>
            <w:r w:rsidRPr="00FF7958">
              <w:rPr>
                <w:b/>
                <w:bCs/>
                <w:color w:val="244061" w:themeColor="accent1" w:themeShade="80"/>
                <w:sz w:val="20"/>
                <w:szCs w:val="20"/>
              </w:rPr>
              <w:lastRenderedPageBreak/>
              <w:t>Energie</w:t>
            </w:r>
          </w:p>
          <w:p w:rsidR="00CA4600" w:rsidRPr="00FF7958" w:rsidRDefault="00CA4600" w:rsidP="00CA4600">
            <w:pPr>
              <w:pStyle w:val="a4"/>
              <w:numPr>
                <w:ilvl w:val="0"/>
                <w:numId w:val="6"/>
              </w:numPr>
              <w:spacing w:before="240" w:after="240"/>
              <w:ind w:left="162" w:right="0" w:hanging="180"/>
              <w:contextualSpacing/>
              <w:rPr>
                <w:color w:val="000000" w:themeColor="text1"/>
                <w:sz w:val="20"/>
                <w:szCs w:val="20"/>
              </w:rPr>
            </w:pPr>
            <w:r w:rsidRPr="00FF7958">
              <w:rPr>
                <w:color w:val="000000" w:themeColor="text1"/>
                <w:sz w:val="20"/>
                <w:szCs w:val="20"/>
              </w:rPr>
              <w:t xml:space="preserve">Energie </w:t>
            </w:r>
            <w:r w:rsidRPr="00FF7958">
              <w:rPr>
                <w:sz w:val="20"/>
                <w:szCs w:val="20"/>
              </w:rPr>
              <w:t>sigură</w:t>
            </w:r>
            <w:r w:rsidRPr="00FF7958">
              <w:rPr>
                <w:color w:val="000000" w:themeColor="text1"/>
                <w:sz w:val="20"/>
                <w:szCs w:val="20"/>
              </w:rPr>
              <w:t>, curată și eficientă</w:t>
            </w:r>
          </w:p>
          <w:p w:rsidR="00CA4600" w:rsidRPr="00FF7958" w:rsidRDefault="00CA4600">
            <w:pPr>
              <w:rPr>
                <w:sz w:val="20"/>
                <w:szCs w:val="20"/>
                <w:lang w:eastAsia="en-GB"/>
              </w:rPr>
            </w:pPr>
          </w:p>
        </w:tc>
        <w:tc>
          <w:tcPr>
            <w:tcW w:w="4815" w:type="dxa"/>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hideMark/>
          </w:tcPr>
          <w:p w:rsidR="00CA4600" w:rsidRPr="00FF7958" w:rsidRDefault="00CA4600">
            <w:pPr>
              <w:rPr>
                <w:b/>
                <w:bCs/>
                <w:color w:val="244061" w:themeColor="accent1" w:themeShade="80"/>
                <w:sz w:val="20"/>
                <w:szCs w:val="20"/>
              </w:rPr>
            </w:pPr>
            <w:r w:rsidRPr="00FF7958">
              <w:rPr>
                <w:b/>
                <w:bCs/>
                <w:color w:val="244061" w:themeColor="accent1" w:themeShade="80"/>
                <w:sz w:val="20"/>
                <w:szCs w:val="20"/>
              </w:rPr>
              <w:t>Ob.2) creșterea accesului oamenilor la infrastructura fizică, utilitățile publice și condițiile de locuit;</w:t>
            </w:r>
          </w:p>
          <w:p w:rsidR="00CA4600" w:rsidRPr="00FF7958" w:rsidRDefault="00CA4600">
            <w:pPr>
              <w:pStyle w:val="a4"/>
              <w:ind w:left="342" w:hanging="342"/>
              <w:rPr>
                <w:i/>
                <w:sz w:val="20"/>
                <w:szCs w:val="20"/>
              </w:rPr>
            </w:pPr>
            <w:r w:rsidRPr="00FF7958">
              <w:rPr>
                <w:i/>
                <w:sz w:val="20"/>
                <w:szCs w:val="20"/>
              </w:rPr>
              <w:t>Acțiuni:</w:t>
            </w:r>
          </w:p>
          <w:p w:rsidR="00CA4600" w:rsidRPr="00FF7958" w:rsidRDefault="00CA4600" w:rsidP="00CA4600">
            <w:pPr>
              <w:pStyle w:val="a4"/>
              <w:numPr>
                <w:ilvl w:val="0"/>
                <w:numId w:val="7"/>
              </w:numPr>
              <w:spacing w:before="120" w:after="120"/>
              <w:ind w:left="167" w:right="0" w:hanging="167"/>
              <w:contextualSpacing/>
              <w:rPr>
                <w:i/>
                <w:sz w:val="20"/>
                <w:szCs w:val="20"/>
              </w:rPr>
            </w:pPr>
            <w:r w:rsidRPr="00FF7958">
              <w:rPr>
                <w:i/>
                <w:sz w:val="20"/>
                <w:szCs w:val="20"/>
              </w:rPr>
              <w:t xml:space="preserve">facilitarea creării centrelor regionale </w:t>
            </w:r>
            <w:proofErr w:type="spellStart"/>
            <w:r w:rsidRPr="00FF7958">
              <w:rPr>
                <w:i/>
                <w:sz w:val="20"/>
                <w:szCs w:val="20"/>
              </w:rPr>
              <w:t>ecoenergetice</w:t>
            </w:r>
            <w:proofErr w:type="spellEnd"/>
            <w:r w:rsidRPr="00FF7958">
              <w:rPr>
                <w:i/>
                <w:sz w:val="20"/>
                <w:szCs w:val="20"/>
              </w:rPr>
              <w:t xml:space="preserve"> în scopul ridicării gradului de autonomie energetică la nivel local prin utilizarea resurselor energetice </w:t>
            </w:r>
            <w:r w:rsidRPr="00FF7958">
              <w:rPr>
                <w:i/>
                <w:sz w:val="20"/>
                <w:szCs w:val="20"/>
              </w:rPr>
              <w:lastRenderedPageBreak/>
              <w:t>regenerabile;</w:t>
            </w:r>
          </w:p>
          <w:p w:rsidR="00CA4600" w:rsidRPr="00FF7958" w:rsidRDefault="00CA4600" w:rsidP="00CA4600">
            <w:pPr>
              <w:pStyle w:val="a4"/>
              <w:numPr>
                <w:ilvl w:val="0"/>
                <w:numId w:val="7"/>
              </w:numPr>
              <w:spacing w:before="120" w:after="120"/>
              <w:ind w:left="167" w:right="0" w:hanging="167"/>
              <w:contextualSpacing/>
              <w:rPr>
                <w:i/>
                <w:sz w:val="20"/>
                <w:szCs w:val="20"/>
              </w:rPr>
            </w:pPr>
            <w:r w:rsidRPr="00FF7958">
              <w:rPr>
                <w:i/>
                <w:sz w:val="20"/>
                <w:szCs w:val="20"/>
              </w:rPr>
              <w:t>consolidarea sistemelor de alimentare centralizată cu energie termică din urbe în vederea creșterii eficienței globale de generare și alimentare cu căldură și apă caldă menajeră,</w:t>
            </w:r>
          </w:p>
          <w:p w:rsidR="00CA4600" w:rsidRPr="00FF7958" w:rsidRDefault="00CA4600" w:rsidP="00CA4600">
            <w:pPr>
              <w:pStyle w:val="a4"/>
              <w:numPr>
                <w:ilvl w:val="0"/>
                <w:numId w:val="7"/>
              </w:numPr>
              <w:spacing w:before="120" w:after="120"/>
              <w:ind w:left="167" w:right="0" w:hanging="167"/>
              <w:contextualSpacing/>
              <w:rPr>
                <w:i/>
                <w:sz w:val="20"/>
                <w:szCs w:val="20"/>
              </w:rPr>
            </w:pPr>
            <w:r w:rsidRPr="00FF7958">
              <w:rPr>
                <w:i/>
                <w:sz w:val="20"/>
                <w:szCs w:val="20"/>
              </w:rPr>
              <w:t>promovarea proiectelor de eficientizare a consumului de resurse energetice și de valorificare a surselor regenerabile de energie în sectorul public și rezidențial, cu dezvoltarea instrumentelor de finanțare accesibile subiecților respectivelor sectoare, după caz, cu accent pe consumatorii vulnerabili</w:t>
            </w:r>
          </w:p>
          <w:p w:rsidR="00CA4600" w:rsidRPr="00FF7958" w:rsidRDefault="00CA4600" w:rsidP="00CA4600">
            <w:pPr>
              <w:pStyle w:val="a4"/>
              <w:numPr>
                <w:ilvl w:val="0"/>
                <w:numId w:val="7"/>
              </w:numPr>
              <w:spacing w:before="120" w:after="120"/>
              <w:ind w:left="167" w:right="0" w:hanging="167"/>
              <w:contextualSpacing/>
              <w:rPr>
                <w:sz w:val="20"/>
                <w:szCs w:val="20"/>
                <w:lang w:eastAsia="en-GB"/>
              </w:rPr>
            </w:pPr>
            <w:r w:rsidRPr="00FF7958">
              <w:rPr>
                <w:i/>
                <w:sz w:val="20"/>
                <w:szCs w:val="20"/>
              </w:rPr>
              <w:t>dezvoltarea energiei „verzi”. Stimularea interesului pentru producția și consumul de energie „verde” prin valorificarea surselor regenerabile de energie, inclusiv folosirea tehnologiilor eficiente și curate de ardere a biomasei, precum și facilitarea conectării instalațiilor de producție la capacitățile de distribuție existente.</w:t>
            </w:r>
          </w:p>
        </w:tc>
      </w:tr>
      <w:tr w:rsidR="00CA4600" w:rsidRPr="00FF7958" w:rsidTr="00B835BC">
        <w:tc>
          <w:tcPr>
            <w:tcW w:w="1228" w:type="dxa"/>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shd w:val="clear" w:color="auto" w:fill="DBE5F1" w:themeFill="accent1" w:themeFillTint="33"/>
            <w:hideMark/>
          </w:tcPr>
          <w:p w:rsidR="00CA4600" w:rsidRPr="00FF7958" w:rsidRDefault="00CA4600">
            <w:pPr>
              <w:rPr>
                <w:b/>
                <w:bCs/>
                <w:sz w:val="20"/>
                <w:szCs w:val="20"/>
                <w:lang w:eastAsia="en-GB"/>
              </w:rPr>
            </w:pPr>
            <w:r w:rsidRPr="00FF7958">
              <w:rPr>
                <w:b/>
                <w:bCs/>
                <w:sz w:val="20"/>
                <w:szCs w:val="20"/>
              </w:rPr>
              <w:lastRenderedPageBreak/>
              <w:t>Sănătate</w:t>
            </w:r>
          </w:p>
        </w:tc>
        <w:tc>
          <w:tcPr>
            <w:tcW w:w="2055" w:type="dxa"/>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rsidR="00CA4600" w:rsidRPr="00FF7958" w:rsidRDefault="00CA4600">
            <w:pPr>
              <w:rPr>
                <w:b/>
                <w:bCs/>
                <w:color w:val="244061" w:themeColor="accent1" w:themeShade="80"/>
                <w:sz w:val="20"/>
                <w:szCs w:val="20"/>
              </w:rPr>
            </w:pPr>
            <w:r w:rsidRPr="00FF7958">
              <w:rPr>
                <w:b/>
                <w:bCs/>
                <w:color w:val="244061" w:themeColor="accent1" w:themeShade="80"/>
                <w:sz w:val="20"/>
                <w:szCs w:val="20"/>
              </w:rPr>
              <w:t xml:space="preserve">Biomedicină și </w:t>
            </w:r>
            <w:proofErr w:type="spellStart"/>
            <w:r w:rsidRPr="00FF7958">
              <w:rPr>
                <w:b/>
                <w:bCs/>
                <w:color w:val="244061" w:themeColor="accent1" w:themeShade="80"/>
                <w:sz w:val="20"/>
                <w:szCs w:val="20"/>
              </w:rPr>
              <w:t>biofarmaceutică</w:t>
            </w:r>
            <w:proofErr w:type="spellEnd"/>
          </w:p>
          <w:p w:rsidR="00CA4600" w:rsidRPr="00FF7958" w:rsidRDefault="00CA4600" w:rsidP="00B835BC">
            <w:pPr>
              <w:pStyle w:val="a4"/>
              <w:numPr>
                <w:ilvl w:val="0"/>
                <w:numId w:val="13"/>
              </w:numPr>
              <w:spacing w:before="120" w:after="120"/>
              <w:ind w:left="130" w:right="0" w:hanging="216"/>
              <w:contextualSpacing/>
              <w:rPr>
                <w:sz w:val="20"/>
                <w:szCs w:val="20"/>
              </w:rPr>
            </w:pPr>
            <w:r w:rsidRPr="00FF7958">
              <w:rPr>
                <w:sz w:val="20"/>
                <w:szCs w:val="20"/>
              </w:rPr>
              <w:t>Medicina personalizată</w:t>
            </w:r>
          </w:p>
          <w:p w:rsidR="00CA4600" w:rsidRPr="00FF7958" w:rsidRDefault="00CA4600" w:rsidP="00B835BC">
            <w:pPr>
              <w:pStyle w:val="a4"/>
              <w:numPr>
                <w:ilvl w:val="0"/>
                <w:numId w:val="13"/>
              </w:numPr>
              <w:spacing w:before="120" w:after="120"/>
              <w:ind w:left="130" w:right="0" w:hanging="216"/>
              <w:contextualSpacing/>
              <w:rPr>
                <w:sz w:val="20"/>
                <w:szCs w:val="20"/>
              </w:rPr>
            </w:pPr>
            <w:proofErr w:type="spellStart"/>
            <w:r w:rsidRPr="00FF7958">
              <w:rPr>
                <w:sz w:val="20"/>
                <w:szCs w:val="20"/>
              </w:rPr>
              <w:t>Biofarmaceutică</w:t>
            </w:r>
            <w:proofErr w:type="spellEnd"/>
          </w:p>
          <w:p w:rsidR="00CA4600" w:rsidRPr="00FF7958" w:rsidRDefault="00CA4600">
            <w:pPr>
              <w:rPr>
                <w:sz w:val="20"/>
                <w:szCs w:val="20"/>
                <w:lang w:eastAsia="en-GB"/>
              </w:rPr>
            </w:pPr>
          </w:p>
        </w:tc>
        <w:tc>
          <w:tcPr>
            <w:tcW w:w="2162" w:type="dxa"/>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rsidR="00CA4600" w:rsidRPr="00FF7958" w:rsidRDefault="00CA4600">
            <w:pPr>
              <w:rPr>
                <w:b/>
                <w:bCs/>
                <w:color w:val="244061" w:themeColor="accent1" w:themeShade="80"/>
                <w:sz w:val="20"/>
                <w:szCs w:val="20"/>
              </w:rPr>
            </w:pPr>
            <w:r w:rsidRPr="00FF7958">
              <w:rPr>
                <w:b/>
                <w:bCs/>
                <w:color w:val="244061" w:themeColor="accent1" w:themeShade="80"/>
                <w:sz w:val="20"/>
                <w:szCs w:val="20"/>
              </w:rPr>
              <w:t xml:space="preserve">Sănătate </w:t>
            </w:r>
          </w:p>
          <w:p w:rsidR="00CA4600" w:rsidRPr="00FF7958" w:rsidRDefault="00CA4600" w:rsidP="00B835BC">
            <w:pPr>
              <w:pStyle w:val="a4"/>
              <w:numPr>
                <w:ilvl w:val="0"/>
                <w:numId w:val="13"/>
              </w:numPr>
              <w:spacing w:before="120" w:after="120"/>
              <w:ind w:left="130" w:right="0" w:hanging="216"/>
              <w:contextualSpacing/>
              <w:rPr>
                <w:sz w:val="20"/>
                <w:szCs w:val="20"/>
              </w:rPr>
            </w:pPr>
            <w:r w:rsidRPr="00FF7958">
              <w:rPr>
                <w:sz w:val="20"/>
                <w:szCs w:val="20"/>
              </w:rPr>
              <w:t>Maladiile netransmisibile – monitorizare epidemiologică, prevenție, diagnostic și tratament</w:t>
            </w:r>
          </w:p>
          <w:p w:rsidR="00CA4600" w:rsidRPr="00FF7958" w:rsidRDefault="00CA4600" w:rsidP="00B835BC">
            <w:pPr>
              <w:pStyle w:val="a4"/>
              <w:numPr>
                <w:ilvl w:val="0"/>
                <w:numId w:val="13"/>
              </w:numPr>
              <w:spacing w:before="120" w:after="120"/>
              <w:ind w:left="130" w:right="0" w:hanging="216"/>
              <w:contextualSpacing/>
              <w:rPr>
                <w:sz w:val="20"/>
                <w:szCs w:val="20"/>
              </w:rPr>
            </w:pPr>
            <w:r w:rsidRPr="00FF7958">
              <w:rPr>
                <w:sz w:val="20"/>
                <w:szCs w:val="20"/>
              </w:rPr>
              <w:t>Supravegherea epidemiologică – măsuri de control și răspuns, diagnostic și tratament al bolilor transmisibile</w:t>
            </w:r>
          </w:p>
          <w:p w:rsidR="00CA4600" w:rsidRPr="00FF7958" w:rsidRDefault="00CA4600" w:rsidP="00B835BC">
            <w:pPr>
              <w:pStyle w:val="a4"/>
              <w:numPr>
                <w:ilvl w:val="0"/>
                <w:numId w:val="13"/>
              </w:numPr>
              <w:spacing w:before="120" w:after="120"/>
              <w:ind w:left="130" w:right="0" w:hanging="216"/>
              <w:contextualSpacing/>
              <w:rPr>
                <w:sz w:val="20"/>
                <w:szCs w:val="20"/>
              </w:rPr>
            </w:pPr>
            <w:r w:rsidRPr="00FF7958">
              <w:rPr>
                <w:sz w:val="20"/>
                <w:szCs w:val="20"/>
              </w:rPr>
              <w:t xml:space="preserve">Preparate farmaceutice și </w:t>
            </w:r>
            <w:proofErr w:type="spellStart"/>
            <w:r w:rsidRPr="00FF7958">
              <w:rPr>
                <w:sz w:val="20"/>
                <w:szCs w:val="20"/>
              </w:rPr>
              <w:t>nutraceutice</w:t>
            </w:r>
            <w:proofErr w:type="spellEnd"/>
          </w:p>
          <w:p w:rsidR="00CA4600" w:rsidRPr="00FF7958" w:rsidRDefault="00CA4600">
            <w:pPr>
              <w:rPr>
                <w:sz w:val="20"/>
                <w:szCs w:val="20"/>
                <w:lang w:eastAsia="en-GB"/>
              </w:rPr>
            </w:pPr>
          </w:p>
        </w:tc>
        <w:tc>
          <w:tcPr>
            <w:tcW w:w="4815" w:type="dxa"/>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hideMark/>
          </w:tcPr>
          <w:p w:rsidR="00CA4600" w:rsidRPr="00FF7958" w:rsidRDefault="00CA4600">
            <w:pPr>
              <w:rPr>
                <w:b/>
                <w:bCs/>
                <w:color w:val="244061" w:themeColor="accent1" w:themeShade="80"/>
                <w:sz w:val="20"/>
                <w:szCs w:val="20"/>
              </w:rPr>
            </w:pPr>
            <w:r w:rsidRPr="00FF7958">
              <w:rPr>
                <w:b/>
                <w:bCs/>
                <w:color w:val="244061" w:themeColor="accent1" w:themeShade="80"/>
                <w:sz w:val="20"/>
                <w:szCs w:val="20"/>
              </w:rPr>
              <w:t>Ob.5) asigurarea dreptului fundamental la cea mai bună sănătate fizică și mintală;</w:t>
            </w:r>
          </w:p>
          <w:p w:rsidR="00CA4600" w:rsidRPr="00FF7958" w:rsidRDefault="00CA4600">
            <w:pPr>
              <w:pStyle w:val="a4"/>
              <w:spacing w:before="120" w:after="120"/>
              <w:ind w:left="342" w:hanging="342"/>
              <w:rPr>
                <w:i/>
                <w:sz w:val="20"/>
                <w:szCs w:val="20"/>
              </w:rPr>
            </w:pPr>
            <w:r w:rsidRPr="00FF7958">
              <w:rPr>
                <w:i/>
                <w:sz w:val="20"/>
                <w:szCs w:val="20"/>
              </w:rPr>
              <w:t xml:space="preserve">Acțiuni: </w:t>
            </w:r>
          </w:p>
          <w:p w:rsidR="00CA4600" w:rsidRPr="00FF7958" w:rsidRDefault="00CA4600" w:rsidP="00CA4600">
            <w:pPr>
              <w:pStyle w:val="a4"/>
              <w:numPr>
                <w:ilvl w:val="0"/>
                <w:numId w:val="7"/>
              </w:numPr>
              <w:spacing w:before="120" w:after="120"/>
              <w:ind w:left="167" w:right="0" w:hanging="167"/>
              <w:contextualSpacing/>
              <w:rPr>
                <w:i/>
                <w:sz w:val="20"/>
                <w:szCs w:val="20"/>
              </w:rPr>
            </w:pPr>
            <w:r w:rsidRPr="00FF7958">
              <w:rPr>
                <w:i/>
                <w:sz w:val="20"/>
                <w:szCs w:val="20"/>
              </w:rPr>
              <w:t xml:space="preserve">Reducerea mortalității premature cauzate de boli transmisibile și netransmisibile prin prevenire, inclusiv prin screening și vaccinare, și tratare conform </w:t>
            </w:r>
            <w:proofErr w:type="spellStart"/>
            <w:r w:rsidRPr="00FF7958">
              <w:rPr>
                <w:i/>
                <w:sz w:val="20"/>
                <w:szCs w:val="20"/>
              </w:rPr>
              <w:t>medicinei</w:t>
            </w:r>
            <w:proofErr w:type="spellEnd"/>
            <w:r w:rsidRPr="00FF7958">
              <w:rPr>
                <w:i/>
                <w:sz w:val="20"/>
                <w:szCs w:val="20"/>
              </w:rPr>
              <w:t xml:space="preserve"> personalizate.</w:t>
            </w:r>
          </w:p>
          <w:p w:rsidR="00CA4600" w:rsidRPr="00FF7958" w:rsidRDefault="00CA4600" w:rsidP="00CA4600">
            <w:pPr>
              <w:pStyle w:val="a4"/>
              <w:numPr>
                <w:ilvl w:val="0"/>
                <w:numId w:val="7"/>
              </w:numPr>
              <w:spacing w:before="120" w:after="120"/>
              <w:ind w:left="167" w:right="0" w:hanging="167"/>
              <w:contextualSpacing/>
              <w:rPr>
                <w:i/>
                <w:color w:val="333333"/>
                <w:sz w:val="20"/>
                <w:szCs w:val="20"/>
              </w:rPr>
            </w:pPr>
            <w:r w:rsidRPr="00FF7958">
              <w:rPr>
                <w:i/>
                <w:sz w:val="20"/>
                <w:szCs w:val="20"/>
              </w:rPr>
              <w:t xml:space="preserve">Creșterea gradului de școlarizare medicală a beneficiarilor de servicii și a pacienților, astfel încât aceștia să poată aplica cunoștințele și abilitățile </w:t>
            </w:r>
            <w:r w:rsidRPr="00FF7958">
              <w:rPr>
                <w:i/>
                <w:color w:val="333333"/>
                <w:sz w:val="20"/>
                <w:szCs w:val="20"/>
              </w:rPr>
              <w:t>obținute în interesul sănătății lor, cunoscându-și drepturile și având suficientă încredere pentru a-și proteja propria sănătate și pentru a accesa serviciile de sănătate disponibile.</w:t>
            </w:r>
          </w:p>
          <w:p w:rsidR="00CA4600" w:rsidRPr="00FF7958" w:rsidRDefault="00CA4600" w:rsidP="00CA4600">
            <w:pPr>
              <w:pStyle w:val="a4"/>
              <w:numPr>
                <w:ilvl w:val="0"/>
                <w:numId w:val="7"/>
              </w:numPr>
              <w:spacing w:before="120" w:after="120"/>
              <w:ind w:left="167" w:right="0" w:hanging="167"/>
              <w:contextualSpacing/>
              <w:rPr>
                <w:sz w:val="20"/>
                <w:szCs w:val="20"/>
                <w:lang w:eastAsia="en-GB"/>
              </w:rPr>
            </w:pPr>
            <w:r w:rsidRPr="00FF7958">
              <w:rPr>
                <w:i/>
                <w:color w:val="333333"/>
                <w:sz w:val="20"/>
                <w:szCs w:val="20"/>
              </w:rPr>
              <w:t>Integrarea și</w:t>
            </w:r>
            <w:r w:rsidRPr="00FF7958">
              <w:rPr>
                <w:i/>
                <w:sz w:val="20"/>
                <w:szCs w:val="20"/>
              </w:rPr>
              <w:t xml:space="preserve"> implementarea politicilor de sănătate în toate domeniile care generează factori determinanți ai sănătății și factori de risc ai bolilor netransmisibile.</w:t>
            </w:r>
          </w:p>
        </w:tc>
      </w:tr>
      <w:tr w:rsidR="00CA4600" w:rsidRPr="00FF7958" w:rsidTr="00B835BC">
        <w:tc>
          <w:tcPr>
            <w:tcW w:w="1228" w:type="dxa"/>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shd w:val="clear" w:color="auto" w:fill="DBE5F1" w:themeFill="accent1" w:themeFillTint="33"/>
            <w:hideMark/>
          </w:tcPr>
          <w:p w:rsidR="00CA4600" w:rsidRPr="00FF7958" w:rsidRDefault="00CA4600">
            <w:pPr>
              <w:rPr>
                <w:b/>
                <w:bCs/>
                <w:sz w:val="20"/>
                <w:szCs w:val="20"/>
                <w:lang w:eastAsia="en-GB"/>
              </w:rPr>
            </w:pPr>
            <w:r w:rsidRPr="00FF7958">
              <w:rPr>
                <w:b/>
                <w:bCs/>
                <w:sz w:val="20"/>
                <w:szCs w:val="20"/>
              </w:rPr>
              <w:t>Agricultură și procesare</w:t>
            </w:r>
          </w:p>
        </w:tc>
        <w:tc>
          <w:tcPr>
            <w:tcW w:w="2055" w:type="dxa"/>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hideMark/>
          </w:tcPr>
          <w:p w:rsidR="00CA4600" w:rsidRPr="00FF7958" w:rsidRDefault="00CA4600">
            <w:pPr>
              <w:rPr>
                <w:b/>
                <w:bCs/>
                <w:color w:val="244061" w:themeColor="accent1" w:themeShade="80"/>
                <w:sz w:val="20"/>
                <w:szCs w:val="20"/>
              </w:rPr>
            </w:pPr>
            <w:r w:rsidRPr="00FF7958">
              <w:rPr>
                <w:b/>
                <w:bCs/>
                <w:color w:val="244061" w:themeColor="accent1" w:themeShade="80"/>
                <w:sz w:val="20"/>
                <w:szCs w:val="20"/>
              </w:rPr>
              <w:t>Agricultura și procesarea alimentelor</w:t>
            </w:r>
          </w:p>
          <w:p w:rsidR="00CA4600" w:rsidRPr="00FF7958" w:rsidRDefault="00CA4600" w:rsidP="00B835BC">
            <w:pPr>
              <w:pStyle w:val="a4"/>
              <w:numPr>
                <w:ilvl w:val="0"/>
                <w:numId w:val="13"/>
              </w:numPr>
              <w:spacing w:before="120" w:after="120"/>
              <w:ind w:left="130" w:right="0" w:hanging="216"/>
              <w:contextualSpacing/>
              <w:rPr>
                <w:sz w:val="20"/>
                <w:szCs w:val="20"/>
              </w:rPr>
            </w:pPr>
            <w:r w:rsidRPr="00FF7958">
              <w:rPr>
                <w:sz w:val="20"/>
                <w:szCs w:val="20"/>
              </w:rPr>
              <w:t>Biotehnologii avansate pentru agricultură</w:t>
            </w:r>
          </w:p>
          <w:p w:rsidR="00CA4600" w:rsidRPr="00FF7958" w:rsidRDefault="00CA4600" w:rsidP="00B835BC">
            <w:pPr>
              <w:pStyle w:val="a4"/>
              <w:numPr>
                <w:ilvl w:val="0"/>
                <w:numId w:val="13"/>
              </w:numPr>
              <w:spacing w:before="120" w:after="120"/>
              <w:ind w:left="130" w:right="0" w:hanging="216"/>
              <w:contextualSpacing/>
              <w:rPr>
                <w:sz w:val="20"/>
                <w:szCs w:val="20"/>
              </w:rPr>
            </w:pPr>
            <w:r w:rsidRPr="00FF7958">
              <w:rPr>
                <w:sz w:val="20"/>
                <w:szCs w:val="20"/>
              </w:rPr>
              <w:t>Agricultura sustenabilă (inclusiv ecologică)</w:t>
            </w:r>
          </w:p>
          <w:p w:rsidR="00CA4600" w:rsidRPr="00FF7958" w:rsidRDefault="00CA4600" w:rsidP="00B835BC">
            <w:pPr>
              <w:pStyle w:val="a4"/>
              <w:numPr>
                <w:ilvl w:val="0"/>
                <w:numId w:val="13"/>
              </w:numPr>
              <w:spacing w:before="120" w:after="120"/>
              <w:ind w:left="130" w:right="0" w:hanging="216"/>
              <w:contextualSpacing/>
              <w:rPr>
                <w:sz w:val="20"/>
                <w:szCs w:val="20"/>
              </w:rPr>
            </w:pPr>
            <w:r w:rsidRPr="00FF7958">
              <w:rPr>
                <w:sz w:val="20"/>
                <w:szCs w:val="20"/>
              </w:rPr>
              <w:t>Produse alimentare cu valoare adăugată</w:t>
            </w:r>
          </w:p>
        </w:tc>
        <w:tc>
          <w:tcPr>
            <w:tcW w:w="2162" w:type="dxa"/>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hideMark/>
          </w:tcPr>
          <w:p w:rsidR="00CA4600" w:rsidRPr="00FF7958" w:rsidRDefault="00CA4600">
            <w:pPr>
              <w:rPr>
                <w:b/>
                <w:bCs/>
                <w:color w:val="244061" w:themeColor="accent1" w:themeShade="80"/>
                <w:sz w:val="20"/>
                <w:szCs w:val="20"/>
              </w:rPr>
            </w:pPr>
            <w:r w:rsidRPr="00FF7958">
              <w:rPr>
                <w:b/>
                <w:bCs/>
                <w:color w:val="244061" w:themeColor="accent1" w:themeShade="80"/>
                <w:sz w:val="20"/>
                <w:szCs w:val="20"/>
              </w:rPr>
              <w:t>Agricultură durabilă, securitate alimentară și siguranța alimentelor</w:t>
            </w:r>
          </w:p>
          <w:p w:rsidR="00CA4600" w:rsidRPr="00FF7958" w:rsidRDefault="00CA4600" w:rsidP="00B835BC">
            <w:pPr>
              <w:pStyle w:val="a4"/>
              <w:numPr>
                <w:ilvl w:val="0"/>
                <w:numId w:val="13"/>
              </w:numPr>
              <w:spacing w:before="120" w:after="120"/>
              <w:ind w:left="130" w:right="0" w:hanging="216"/>
              <w:contextualSpacing/>
              <w:rPr>
                <w:sz w:val="20"/>
                <w:szCs w:val="20"/>
                <w:lang w:eastAsia="en-GB"/>
              </w:rPr>
            </w:pPr>
            <w:r w:rsidRPr="00FF7958">
              <w:rPr>
                <w:sz w:val="20"/>
                <w:szCs w:val="20"/>
              </w:rPr>
              <w:t>Securitatea alimentară și siguranța alimentelor</w:t>
            </w:r>
          </w:p>
          <w:p w:rsidR="00CA4600" w:rsidRPr="00FF7958" w:rsidRDefault="00CA4600" w:rsidP="00B835BC">
            <w:pPr>
              <w:pStyle w:val="a4"/>
              <w:numPr>
                <w:ilvl w:val="0"/>
                <w:numId w:val="13"/>
              </w:numPr>
              <w:spacing w:before="120" w:after="120"/>
              <w:ind w:left="130" w:right="0" w:hanging="216"/>
              <w:contextualSpacing/>
              <w:rPr>
                <w:sz w:val="20"/>
                <w:szCs w:val="20"/>
                <w:lang w:eastAsia="en-GB"/>
              </w:rPr>
            </w:pPr>
            <w:r w:rsidRPr="00FF7958">
              <w:rPr>
                <w:sz w:val="20"/>
                <w:szCs w:val="20"/>
              </w:rPr>
              <w:t>Soiuri și hibrizi de culturi agricole, tehnice și furajere performante</w:t>
            </w:r>
          </w:p>
          <w:p w:rsidR="00CA4600" w:rsidRPr="00FF7958" w:rsidRDefault="00CA4600" w:rsidP="00B835BC">
            <w:pPr>
              <w:pStyle w:val="a4"/>
              <w:numPr>
                <w:ilvl w:val="0"/>
                <w:numId w:val="13"/>
              </w:numPr>
              <w:spacing w:before="120" w:after="120"/>
              <w:ind w:left="130" w:right="0" w:hanging="216"/>
              <w:contextualSpacing/>
              <w:rPr>
                <w:sz w:val="20"/>
                <w:szCs w:val="20"/>
                <w:lang w:eastAsia="en-GB"/>
              </w:rPr>
            </w:pPr>
            <w:r w:rsidRPr="00FF7958">
              <w:rPr>
                <w:sz w:val="20"/>
                <w:szCs w:val="20"/>
              </w:rPr>
              <w:t>Managementul durabil al ecosistemelor agricole</w:t>
            </w:r>
          </w:p>
          <w:p w:rsidR="00CA4600" w:rsidRPr="00FF7958" w:rsidRDefault="00CA4600" w:rsidP="00B835BC">
            <w:pPr>
              <w:pStyle w:val="a4"/>
              <w:numPr>
                <w:ilvl w:val="0"/>
                <w:numId w:val="13"/>
              </w:numPr>
              <w:spacing w:before="120" w:after="120"/>
              <w:ind w:left="130" w:right="0" w:hanging="216"/>
              <w:contextualSpacing/>
              <w:rPr>
                <w:sz w:val="20"/>
                <w:szCs w:val="20"/>
                <w:lang w:eastAsia="en-GB"/>
              </w:rPr>
            </w:pPr>
            <w:r w:rsidRPr="00FF7958">
              <w:rPr>
                <w:sz w:val="20"/>
                <w:szCs w:val="20"/>
              </w:rPr>
              <w:t>Tehnologii noi de procesare a materiilor prime agricole. Biotehnologii agroalimentare</w:t>
            </w:r>
          </w:p>
        </w:tc>
        <w:tc>
          <w:tcPr>
            <w:tcW w:w="4815" w:type="dxa"/>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hideMark/>
          </w:tcPr>
          <w:p w:rsidR="00CA4600" w:rsidRPr="00FF7958" w:rsidRDefault="00CA4600">
            <w:pPr>
              <w:rPr>
                <w:b/>
                <w:bCs/>
                <w:color w:val="244061" w:themeColor="accent1" w:themeShade="80"/>
                <w:sz w:val="20"/>
                <w:szCs w:val="20"/>
              </w:rPr>
            </w:pPr>
            <w:r w:rsidRPr="00FF7958">
              <w:rPr>
                <w:b/>
                <w:bCs/>
                <w:color w:val="244061" w:themeColor="accent1" w:themeShade="80"/>
                <w:sz w:val="20"/>
                <w:szCs w:val="20"/>
              </w:rPr>
              <w:t>Ob.10) asigurarea dreptului fundamental la un mediu sănătos și sigur.</w:t>
            </w:r>
          </w:p>
          <w:p w:rsidR="00CA4600" w:rsidRPr="00FF7958" w:rsidRDefault="00CA4600">
            <w:pPr>
              <w:pStyle w:val="a4"/>
              <w:spacing w:before="120" w:after="120"/>
              <w:ind w:left="342" w:hanging="342"/>
              <w:rPr>
                <w:i/>
                <w:sz w:val="20"/>
                <w:szCs w:val="20"/>
              </w:rPr>
            </w:pPr>
            <w:r w:rsidRPr="00FF7958">
              <w:rPr>
                <w:i/>
                <w:sz w:val="20"/>
                <w:szCs w:val="20"/>
              </w:rPr>
              <w:t xml:space="preserve">Acțiuni: </w:t>
            </w:r>
          </w:p>
          <w:p w:rsidR="00CA4600" w:rsidRPr="00FF7958" w:rsidRDefault="00CA4600" w:rsidP="00CA4600">
            <w:pPr>
              <w:pStyle w:val="a4"/>
              <w:numPr>
                <w:ilvl w:val="0"/>
                <w:numId w:val="7"/>
              </w:numPr>
              <w:spacing w:before="120" w:after="120"/>
              <w:ind w:left="167" w:right="0" w:hanging="167"/>
              <w:contextualSpacing/>
              <w:rPr>
                <w:sz w:val="20"/>
                <w:szCs w:val="20"/>
                <w:lang w:eastAsia="en-GB"/>
              </w:rPr>
            </w:pPr>
            <w:r w:rsidRPr="00FF7958">
              <w:rPr>
                <w:i/>
                <w:sz w:val="20"/>
                <w:szCs w:val="20"/>
              </w:rPr>
              <w:t xml:space="preserve">Asigurarea rezistenței la schimbările </w:t>
            </w:r>
            <w:r w:rsidRPr="00FF7958">
              <w:rPr>
                <w:i/>
                <w:color w:val="333333"/>
                <w:sz w:val="20"/>
                <w:szCs w:val="20"/>
              </w:rPr>
              <w:t>climatice</w:t>
            </w:r>
            <w:r w:rsidRPr="00FF7958">
              <w:rPr>
                <w:i/>
                <w:sz w:val="20"/>
                <w:szCs w:val="20"/>
              </w:rPr>
              <w:t xml:space="preserve"> prin reducerea riscurilor legate de schimbările climatice și prin facilitarea adaptării în șase sectoare prioritare – </w:t>
            </w:r>
            <w:r w:rsidRPr="00FF7958">
              <w:rPr>
                <w:b/>
                <w:i/>
                <w:sz w:val="20"/>
                <w:szCs w:val="20"/>
              </w:rPr>
              <w:t>agricultură</w:t>
            </w:r>
            <w:r w:rsidRPr="00FF7958">
              <w:rPr>
                <w:i/>
                <w:sz w:val="20"/>
                <w:szCs w:val="20"/>
              </w:rPr>
              <w:t>, resurse de apă, sănătate, forestier, energie și transport.</w:t>
            </w:r>
          </w:p>
        </w:tc>
      </w:tr>
      <w:tr w:rsidR="00CA4600" w:rsidRPr="00FF7958" w:rsidTr="00B835BC">
        <w:tc>
          <w:tcPr>
            <w:tcW w:w="1228" w:type="dxa"/>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shd w:val="clear" w:color="auto" w:fill="DBE5F1" w:themeFill="accent1" w:themeFillTint="33"/>
            <w:hideMark/>
          </w:tcPr>
          <w:p w:rsidR="00CA4600" w:rsidRPr="00FF7958" w:rsidRDefault="00CA4600">
            <w:pPr>
              <w:rPr>
                <w:b/>
                <w:bCs/>
                <w:sz w:val="20"/>
                <w:szCs w:val="20"/>
                <w:lang w:eastAsia="en-GB"/>
              </w:rPr>
            </w:pPr>
            <w:r w:rsidRPr="00FF7958">
              <w:rPr>
                <w:b/>
                <w:bCs/>
                <w:sz w:val="20"/>
                <w:szCs w:val="20"/>
              </w:rPr>
              <w:t>TIC</w:t>
            </w:r>
          </w:p>
        </w:tc>
        <w:tc>
          <w:tcPr>
            <w:tcW w:w="2055" w:type="dxa"/>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hideMark/>
          </w:tcPr>
          <w:p w:rsidR="00CA4600" w:rsidRPr="00FF7958" w:rsidRDefault="00CA4600">
            <w:pPr>
              <w:rPr>
                <w:b/>
                <w:bCs/>
                <w:color w:val="244061" w:themeColor="accent1" w:themeShade="80"/>
                <w:sz w:val="20"/>
                <w:szCs w:val="20"/>
              </w:rPr>
            </w:pPr>
            <w:r w:rsidRPr="00FF7958">
              <w:rPr>
                <w:b/>
                <w:bCs/>
                <w:color w:val="244061" w:themeColor="accent1" w:themeShade="80"/>
                <w:sz w:val="20"/>
                <w:szCs w:val="20"/>
              </w:rPr>
              <w:t>TIC</w:t>
            </w:r>
          </w:p>
          <w:p w:rsidR="00CA4600" w:rsidRPr="00FF7958" w:rsidRDefault="00CA4600" w:rsidP="00B835BC">
            <w:pPr>
              <w:pStyle w:val="a4"/>
              <w:numPr>
                <w:ilvl w:val="0"/>
                <w:numId w:val="13"/>
              </w:numPr>
              <w:spacing w:before="120" w:after="120"/>
              <w:ind w:left="130" w:right="0" w:hanging="216"/>
              <w:contextualSpacing/>
              <w:rPr>
                <w:sz w:val="20"/>
                <w:szCs w:val="20"/>
              </w:rPr>
            </w:pPr>
            <w:r w:rsidRPr="00FF7958">
              <w:rPr>
                <w:sz w:val="20"/>
                <w:szCs w:val="20"/>
              </w:rPr>
              <w:t xml:space="preserve">Micro/nanomateriale </w:t>
            </w:r>
            <w:r w:rsidRPr="00FF7958">
              <w:rPr>
                <w:sz w:val="20"/>
                <w:szCs w:val="20"/>
              </w:rPr>
              <w:lastRenderedPageBreak/>
              <w:t>și inginerie electronică</w:t>
            </w:r>
          </w:p>
          <w:p w:rsidR="00CA4600" w:rsidRPr="00FF7958" w:rsidRDefault="00CA4600" w:rsidP="00B835BC">
            <w:pPr>
              <w:pStyle w:val="a4"/>
              <w:numPr>
                <w:ilvl w:val="0"/>
                <w:numId w:val="13"/>
              </w:numPr>
              <w:spacing w:before="120" w:after="120"/>
              <w:ind w:left="130" w:right="0" w:hanging="216"/>
              <w:contextualSpacing/>
              <w:rPr>
                <w:sz w:val="20"/>
                <w:szCs w:val="20"/>
              </w:rPr>
            </w:pPr>
            <w:r w:rsidRPr="00FF7958">
              <w:rPr>
                <w:sz w:val="20"/>
                <w:szCs w:val="20"/>
              </w:rPr>
              <w:t>Interoperabilitate, date deschise și e-infrastructuri</w:t>
            </w:r>
          </w:p>
          <w:p w:rsidR="00CA4600" w:rsidRPr="00FF7958" w:rsidRDefault="00CA4600" w:rsidP="00B835BC">
            <w:pPr>
              <w:pStyle w:val="a4"/>
              <w:numPr>
                <w:ilvl w:val="0"/>
                <w:numId w:val="13"/>
              </w:numPr>
              <w:spacing w:before="120" w:after="120"/>
              <w:ind w:left="130" w:right="0" w:hanging="216"/>
              <w:contextualSpacing/>
              <w:rPr>
                <w:sz w:val="20"/>
                <w:szCs w:val="20"/>
                <w:lang w:eastAsia="en-GB"/>
              </w:rPr>
            </w:pPr>
            <w:r w:rsidRPr="00FF7958">
              <w:rPr>
                <w:sz w:val="20"/>
                <w:szCs w:val="20"/>
              </w:rPr>
              <w:t xml:space="preserve">Aplicații mobile, inginerie software, </w:t>
            </w:r>
            <w:proofErr w:type="spellStart"/>
            <w:r w:rsidRPr="00FF7958">
              <w:rPr>
                <w:sz w:val="20"/>
                <w:szCs w:val="20"/>
              </w:rPr>
              <w:t>cloud</w:t>
            </w:r>
            <w:proofErr w:type="spellEnd"/>
            <w:r w:rsidRPr="00FF7958">
              <w:rPr>
                <w:sz w:val="20"/>
                <w:szCs w:val="20"/>
              </w:rPr>
              <w:t xml:space="preserve"> </w:t>
            </w:r>
            <w:proofErr w:type="spellStart"/>
            <w:r w:rsidRPr="00FF7958">
              <w:rPr>
                <w:sz w:val="20"/>
                <w:szCs w:val="20"/>
              </w:rPr>
              <w:t>computing</w:t>
            </w:r>
            <w:proofErr w:type="spellEnd"/>
            <w:r w:rsidRPr="00FF7958">
              <w:rPr>
                <w:sz w:val="20"/>
                <w:szCs w:val="20"/>
              </w:rPr>
              <w:t xml:space="preserve"> </w:t>
            </w:r>
          </w:p>
        </w:tc>
        <w:tc>
          <w:tcPr>
            <w:tcW w:w="2162" w:type="dxa"/>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rsidR="00CA4600" w:rsidRPr="00FF7958" w:rsidRDefault="00CA4600">
            <w:pPr>
              <w:rPr>
                <w:b/>
                <w:bCs/>
                <w:color w:val="244061" w:themeColor="accent1" w:themeShade="80"/>
                <w:sz w:val="20"/>
                <w:szCs w:val="20"/>
              </w:rPr>
            </w:pPr>
            <w:r w:rsidRPr="00FF7958">
              <w:rPr>
                <w:b/>
                <w:bCs/>
                <w:color w:val="244061" w:themeColor="accent1" w:themeShade="80"/>
                <w:sz w:val="20"/>
                <w:szCs w:val="20"/>
              </w:rPr>
              <w:lastRenderedPageBreak/>
              <w:t xml:space="preserve">Competitivitate economică și </w:t>
            </w:r>
            <w:r w:rsidRPr="00FF7958">
              <w:rPr>
                <w:b/>
                <w:bCs/>
                <w:color w:val="244061" w:themeColor="accent1" w:themeShade="80"/>
                <w:sz w:val="20"/>
                <w:szCs w:val="20"/>
              </w:rPr>
              <w:lastRenderedPageBreak/>
              <w:t>tehnologii inovative</w:t>
            </w:r>
          </w:p>
          <w:p w:rsidR="00CA4600" w:rsidRPr="00FF7958" w:rsidRDefault="00CA4600" w:rsidP="00B835BC">
            <w:pPr>
              <w:pStyle w:val="a4"/>
              <w:numPr>
                <w:ilvl w:val="0"/>
                <w:numId w:val="13"/>
              </w:numPr>
              <w:spacing w:before="120" w:after="120"/>
              <w:ind w:left="130" w:right="0" w:hanging="216"/>
              <w:contextualSpacing/>
              <w:rPr>
                <w:sz w:val="20"/>
                <w:szCs w:val="20"/>
              </w:rPr>
            </w:pPr>
            <w:r w:rsidRPr="00FF7958">
              <w:rPr>
                <w:sz w:val="20"/>
                <w:szCs w:val="20"/>
              </w:rPr>
              <w:t>Nanotehnologii</w:t>
            </w:r>
          </w:p>
          <w:p w:rsidR="00CA4600" w:rsidRPr="00FF7958" w:rsidRDefault="00CA4600" w:rsidP="00B835BC">
            <w:pPr>
              <w:pStyle w:val="a4"/>
              <w:numPr>
                <w:ilvl w:val="0"/>
                <w:numId w:val="13"/>
              </w:numPr>
              <w:spacing w:before="120" w:after="120"/>
              <w:ind w:left="130" w:right="0" w:hanging="216"/>
              <w:contextualSpacing/>
              <w:rPr>
                <w:sz w:val="20"/>
                <w:szCs w:val="20"/>
              </w:rPr>
            </w:pPr>
            <w:r w:rsidRPr="00FF7958">
              <w:rPr>
                <w:sz w:val="20"/>
                <w:szCs w:val="20"/>
              </w:rPr>
              <w:t>Tehnologia informației și dezvoltare digitală</w:t>
            </w:r>
          </w:p>
          <w:p w:rsidR="00CA4600" w:rsidRPr="00FF7958" w:rsidRDefault="00CA4600" w:rsidP="00B835BC">
            <w:pPr>
              <w:pStyle w:val="a4"/>
              <w:numPr>
                <w:ilvl w:val="0"/>
                <w:numId w:val="13"/>
              </w:numPr>
              <w:spacing w:before="120" w:after="120"/>
              <w:ind w:left="130" w:right="0" w:hanging="216"/>
              <w:contextualSpacing/>
              <w:rPr>
                <w:sz w:val="20"/>
                <w:szCs w:val="20"/>
              </w:rPr>
            </w:pPr>
            <w:r w:rsidRPr="00FF7958">
              <w:rPr>
                <w:sz w:val="20"/>
                <w:szCs w:val="20"/>
              </w:rPr>
              <w:t xml:space="preserve">Materiale, tehnologii și produse inovative </w:t>
            </w:r>
          </w:p>
          <w:p w:rsidR="00CA4600" w:rsidRPr="00FF7958" w:rsidRDefault="00CA4600">
            <w:pPr>
              <w:rPr>
                <w:sz w:val="20"/>
                <w:szCs w:val="20"/>
                <w:lang w:eastAsia="en-GB"/>
              </w:rPr>
            </w:pPr>
          </w:p>
        </w:tc>
        <w:tc>
          <w:tcPr>
            <w:tcW w:w="4815" w:type="dxa"/>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hideMark/>
          </w:tcPr>
          <w:p w:rsidR="00CA4600" w:rsidRPr="00FF7958" w:rsidRDefault="00CA4600">
            <w:pPr>
              <w:rPr>
                <w:b/>
                <w:bCs/>
                <w:color w:val="244061" w:themeColor="accent1" w:themeShade="80"/>
                <w:sz w:val="20"/>
                <w:szCs w:val="20"/>
              </w:rPr>
            </w:pPr>
            <w:r w:rsidRPr="00FF7958">
              <w:rPr>
                <w:b/>
                <w:bCs/>
                <w:color w:val="244061" w:themeColor="accent1" w:themeShade="80"/>
                <w:sz w:val="20"/>
                <w:szCs w:val="20"/>
              </w:rPr>
              <w:lastRenderedPageBreak/>
              <w:t>Ob.2) creșterea accesului oamenilor la infrastructura fizică, utilitățile publice și condițiile de locuit</w:t>
            </w:r>
          </w:p>
          <w:p w:rsidR="00CA4600" w:rsidRPr="00FF7958" w:rsidRDefault="00CA4600">
            <w:pPr>
              <w:pStyle w:val="a4"/>
              <w:spacing w:before="120" w:after="120"/>
              <w:ind w:left="342" w:hanging="342"/>
              <w:rPr>
                <w:i/>
                <w:color w:val="333333"/>
                <w:sz w:val="20"/>
                <w:szCs w:val="20"/>
              </w:rPr>
            </w:pPr>
            <w:r w:rsidRPr="00FF7958">
              <w:rPr>
                <w:i/>
                <w:sz w:val="20"/>
                <w:szCs w:val="20"/>
              </w:rPr>
              <w:lastRenderedPageBreak/>
              <w:t>Acțiuni</w:t>
            </w:r>
            <w:r w:rsidRPr="00FF7958">
              <w:rPr>
                <w:i/>
                <w:color w:val="333333"/>
                <w:sz w:val="20"/>
                <w:szCs w:val="20"/>
              </w:rPr>
              <w:t xml:space="preserve">: </w:t>
            </w:r>
          </w:p>
          <w:p w:rsidR="00CA4600" w:rsidRPr="00FF7958" w:rsidRDefault="00CA4600" w:rsidP="00CA4600">
            <w:pPr>
              <w:pStyle w:val="a4"/>
              <w:numPr>
                <w:ilvl w:val="0"/>
                <w:numId w:val="7"/>
              </w:numPr>
              <w:spacing w:before="120" w:after="120"/>
              <w:ind w:left="167" w:right="0" w:hanging="167"/>
              <w:contextualSpacing/>
              <w:rPr>
                <w:i/>
                <w:color w:val="333333"/>
                <w:sz w:val="20"/>
                <w:szCs w:val="20"/>
              </w:rPr>
            </w:pPr>
            <w:r w:rsidRPr="00FF7958">
              <w:rPr>
                <w:i/>
                <w:color w:val="333333"/>
                <w:sz w:val="20"/>
                <w:szCs w:val="20"/>
              </w:rPr>
              <w:t xml:space="preserve">Sporirea accesibilității, din punct de vedere financiar, a serviciilor de acces la </w:t>
            </w:r>
            <w:r w:rsidRPr="00FF7958">
              <w:rPr>
                <w:i/>
                <w:sz w:val="20"/>
                <w:szCs w:val="20"/>
              </w:rPr>
              <w:t>internet</w:t>
            </w:r>
            <w:r w:rsidRPr="00FF7958">
              <w:rPr>
                <w:i/>
                <w:color w:val="333333"/>
                <w:sz w:val="20"/>
                <w:szCs w:val="20"/>
              </w:rPr>
              <w:t xml:space="preserve"> în bandă largă prin reducerea costurilor de furnizare a acestor servicii și creșterea concurenței între furnizori, precum și prin includerea în setul serviciului universal a accesului minim garantat la internet în bandă largă, la prețuri reduse</w:t>
            </w:r>
          </w:p>
          <w:p w:rsidR="00CA4600" w:rsidRPr="00FF7958" w:rsidRDefault="00CA4600">
            <w:pPr>
              <w:rPr>
                <w:b/>
                <w:bCs/>
                <w:color w:val="244061" w:themeColor="accent1" w:themeShade="80"/>
                <w:sz w:val="20"/>
                <w:szCs w:val="20"/>
              </w:rPr>
            </w:pPr>
            <w:r w:rsidRPr="00FF7958">
              <w:rPr>
                <w:b/>
                <w:bCs/>
                <w:color w:val="244061" w:themeColor="accent1" w:themeShade="80"/>
                <w:sz w:val="20"/>
                <w:szCs w:val="20"/>
              </w:rPr>
              <w:t>Ob.8) asigurarea unei guvernări eficiente și incluzive și a supremației legii;</w:t>
            </w:r>
          </w:p>
          <w:p w:rsidR="00CA4600" w:rsidRPr="00FF7958" w:rsidRDefault="00CA4600">
            <w:pPr>
              <w:pStyle w:val="a4"/>
              <w:spacing w:before="120" w:after="120"/>
              <w:ind w:left="342" w:hanging="342"/>
              <w:rPr>
                <w:i/>
                <w:color w:val="333333"/>
                <w:sz w:val="20"/>
                <w:szCs w:val="20"/>
              </w:rPr>
            </w:pPr>
            <w:r w:rsidRPr="00FF7958">
              <w:rPr>
                <w:i/>
                <w:sz w:val="20"/>
                <w:szCs w:val="20"/>
              </w:rPr>
              <w:t>Acțiuni</w:t>
            </w:r>
            <w:r w:rsidRPr="00FF7958">
              <w:rPr>
                <w:i/>
                <w:color w:val="333333"/>
                <w:sz w:val="20"/>
                <w:szCs w:val="20"/>
              </w:rPr>
              <w:t xml:space="preserve">: </w:t>
            </w:r>
          </w:p>
          <w:p w:rsidR="00CA4600" w:rsidRPr="00FF7958" w:rsidRDefault="00CA4600" w:rsidP="00CA4600">
            <w:pPr>
              <w:pStyle w:val="a4"/>
              <w:numPr>
                <w:ilvl w:val="0"/>
                <w:numId w:val="7"/>
              </w:numPr>
              <w:spacing w:before="120" w:after="120"/>
              <w:ind w:left="167" w:right="0" w:hanging="167"/>
              <w:contextualSpacing/>
              <w:rPr>
                <w:i/>
                <w:color w:val="333333"/>
                <w:sz w:val="20"/>
                <w:szCs w:val="20"/>
              </w:rPr>
            </w:pPr>
            <w:r w:rsidRPr="00FF7958">
              <w:rPr>
                <w:i/>
                <w:color w:val="333333"/>
                <w:sz w:val="20"/>
                <w:szCs w:val="20"/>
              </w:rPr>
              <w:t>Elaborarea și adoptarea activă a tehnologiilor avansate (</w:t>
            </w:r>
            <w:proofErr w:type="spellStart"/>
            <w:r w:rsidRPr="00FF7958">
              <w:rPr>
                <w:i/>
                <w:color w:val="333333"/>
                <w:sz w:val="20"/>
                <w:szCs w:val="20"/>
              </w:rPr>
              <w:t>blockchain</w:t>
            </w:r>
            <w:proofErr w:type="spellEnd"/>
            <w:r w:rsidRPr="00FF7958">
              <w:rPr>
                <w:i/>
                <w:color w:val="333333"/>
                <w:sz w:val="20"/>
                <w:szCs w:val="20"/>
              </w:rPr>
              <w:t>, inteligență artificială și algoritmi de învățare asistată de calculator) pentru a spori transparența, integritatea și trasabilitatea activității autorităților publice și managementului public, cu un accent special pe sistemul finanțelor publice, administrarea proprietății publice și achizițiile publice,</w:t>
            </w:r>
          </w:p>
          <w:p w:rsidR="00CA4600" w:rsidRPr="00FF7958" w:rsidRDefault="00CA4600" w:rsidP="00CA4600">
            <w:pPr>
              <w:pStyle w:val="a4"/>
              <w:numPr>
                <w:ilvl w:val="0"/>
                <w:numId w:val="7"/>
              </w:numPr>
              <w:spacing w:before="120" w:after="120"/>
              <w:ind w:left="167" w:right="0" w:hanging="167"/>
              <w:contextualSpacing/>
              <w:rPr>
                <w:sz w:val="20"/>
                <w:szCs w:val="20"/>
                <w:lang w:eastAsia="en-GB"/>
              </w:rPr>
            </w:pPr>
            <w:r w:rsidRPr="00FF7958">
              <w:rPr>
                <w:i/>
                <w:color w:val="333333"/>
                <w:sz w:val="20"/>
                <w:szCs w:val="20"/>
              </w:rPr>
              <w:t>Dezvoltarea infrastructurii de guvernare electronică, pentru: a) sporirea accesibilității serviciilor publice administrative și datelor guvernamentale deschise, inclusiv prin puncte alternative, social incluzive de acces la nivel local; b) promovarea principiilor transparenței, trasabilității datelor deschise și a informațiilor oficiale, receptivității autorităților/instituțiilor publice la solicitările cetățenilor și mediului de afaceri; c) diminuarea și/sau eliminarea riscurilor corupției, fraudării, manipulării datelor în procesele de guvernanță și de interacțiune cetățean–stat; d) eficientizarea activității autorităților/instituțiilor publice, prin debirocratizare, asigurarea schimbului de date și a interoperabilității în timp real între sistemele informaționale din sectorul public.</w:t>
            </w:r>
          </w:p>
        </w:tc>
      </w:tr>
    </w:tbl>
    <w:p w:rsidR="00B01E84" w:rsidRPr="009A5E66" w:rsidRDefault="00B01E84" w:rsidP="00B91982">
      <w:pPr>
        <w:pStyle w:val="1"/>
      </w:pPr>
      <w:r w:rsidRPr="009A5E66">
        <w:lastRenderedPageBreak/>
        <w:t>Concordanța cu cadrul bugetar pe termen mediu (CBTM)</w:t>
      </w:r>
    </w:p>
    <w:p w:rsidR="002764B2" w:rsidRPr="007F5A09" w:rsidRDefault="002764B2" w:rsidP="007F5A09">
      <w:pPr>
        <w:spacing w:before="120" w:after="120"/>
        <w:ind w:firstLine="450"/>
        <w:jc w:val="both"/>
        <w:rPr>
          <w:sz w:val="24"/>
          <w:szCs w:val="24"/>
        </w:rPr>
      </w:pPr>
      <w:r w:rsidRPr="007F5A09">
        <w:rPr>
          <w:sz w:val="24"/>
          <w:szCs w:val="24"/>
        </w:rPr>
        <w:t xml:space="preserve">Prioritățile de bază ale Sectorului Cercetare </w:t>
      </w:r>
      <w:r w:rsidR="00713870" w:rsidRPr="007F5A09">
        <w:rPr>
          <w:sz w:val="24"/>
          <w:szCs w:val="24"/>
        </w:rPr>
        <w:t>și</w:t>
      </w:r>
      <w:r w:rsidRPr="007F5A09">
        <w:rPr>
          <w:sz w:val="24"/>
          <w:szCs w:val="24"/>
        </w:rPr>
        <w:t xml:space="preserve"> Inovare pentru perioada 2022-2024 sunt</w:t>
      </w:r>
      <w:r w:rsidR="00C25080" w:rsidRPr="007F5A09">
        <w:rPr>
          <w:sz w:val="24"/>
          <w:szCs w:val="24"/>
        </w:rPr>
        <w:t>:</w:t>
      </w:r>
    </w:p>
    <w:p w:rsidR="002764B2" w:rsidRPr="007F5A09" w:rsidRDefault="002764B2" w:rsidP="00713870">
      <w:pPr>
        <w:pStyle w:val="a4"/>
        <w:numPr>
          <w:ilvl w:val="1"/>
          <w:numId w:val="23"/>
        </w:numPr>
        <w:spacing w:before="120" w:after="120"/>
        <w:ind w:left="720" w:right="0"/>
        <w:contextualSpacing/>
        <w:rPr>
          <w:sz w:val="24"/>
          <w:szCs w:val="24"/>
        </w:rPr>
      </w:pPr>
      <w:r w:rsidRPr="007F5A09">
        <w:rPr>
          <w:sz w:val="24"/>
          <w:szCs w:val="24"/>
        </w:rPr>
        <w:t xml:space="preserve">Dezvoltarea infrastructurii naționale de cercetare și inovare; </w:t>
      </w:r>
    </w:p>
    <w:p w:rsidR="002764B2" w:rsidRPr="007F5A09" w:rsidRDefault="002764B2" w:rsidP="00713870">
      <w:pPr>
        <w:pStyle w:val="a4"/>
        <w:numPr>
          <w:ilvl w:val="1"/>
          <w:numId w:val="23"/>
        </w:numPr>
        <w:spacing w:before="120" w:after="120"/>
        <w:ind w:left="720" w:right="0"/>
        <w:contextualSpacing/>
        <w:rPr>
          <w:sz w:val="24"/>
          <w:szCs w:val="24"/>
        </w:rPr>
      </w:pPr>
      <w:r w:rsidRPr="007F5A09">
        <w:rPr>
          <w:sz w:val="24"/>
          <w:szCs w:val="24"/>
        </w:rPr>
        <w:t xml:space="preserve">Dezvoltarea </w:t>
      </w:r>
      <w:r w:rsidR="00713870" w:rsidRPr="007F5A09">
        <w:rPr>
          <w:sz w:val="24"/>
          <w:szCs w:val="24"/>
        </w:rPr>
        <w:t>și</w:t>
      </w:r>
      <w:r w:rsidRPr="007F5A09">
        <w:rPr>
          <w:sz w:val="24"/>
          <w:szCs w:val="24"/>
        </w:rPr>
        <w:t xml:space="preserve"> perfecționarea cadrului de politici și normativ în domeniile cercetării și inovării; </w:t>
      </w:r>
    </w:p>
    <w:p w:rsidR="002764B2" w:rsidRPr="007F5A09" w:rsidRDefault="002764B2" w:rsidP="00713870">
      <w:pPr>
        <w:pStyle w:val="a4"/>
        <w:numPr>
          <w:ilvl w:val="1"/>
          <w:numId w:val="23"/>
        </w:numPr>
        <w:spacing w:before="120" w:after="120"/>
        <w:ind w:left="720" w:right="0"/>
        <w:contextualSpacing/>
        <w:rPr>
          <w:sz w:val="24"/>
          <w:szCs w:val="24"/>
        </w:rPr>
      </w:pPr>
      <w:r w:rsidRPr="007F5A09">
        <w:rPr>
          <w:sz w:val="24"/>
          <w:szCs w:val="24"/>
        </w:rPr>
        <w:t xml:space="preserve">Intensificarea cooperării la nivel european și internațional în domeniile cercetării </w:t>
      </w:r>
      <w:r w:rsidR="00713870" w:rsidRPr="007F5A09">
        <w:rPr>
          <w:sz w:val="24"/>
          <w:szCs w:val="24"/>
        </w:rPr>
        <w:t>și</w:t>
      </w:r>
      <w:r w:rsidRPr="007F5A09">
        <w:rPr>
          <w:sz w:val="24"/>
          <w:szCs w:val="24"/>
        </w:rPr>
        <w:t xml:space="preserve"> inovării</w:t>
      </w:r>
      <w:r w:rsidR="00C25080" w:rsidRPr="007F5A09">
        <w:rPr>
          <w:sz w:val="24"/>
          <w:szCs w:val="24"/>
        </w:rPr>
        <w:t>.</w:t>
      </w:r>
      <w:r w:rsidRPr="007F5A09">
        <w:rPr>
          <w:sz w:val="24"/>
          <w:szCs w:val="24"/>
        </w:rPr>
        <w:t xml:space="preserve"> </w:t>
      </w:r>
    </w:p>
    <w:p w:rsidR="002764B2" w:rsidRPr="0056454B" w:rsidRDefault="002764B2" w:rsidP="007F5A09">
      <w:pPr>
        <w:spacing w:before="120" w:after="120"/>
        <w:ind w:firstLine="450"/>
        <w:jc w:val="both"/>
        <w:rPr>
          <w:sz w:val="24"/>
          <w:szCs w:val="24"/>
        </w:rPr>
      </w:pPr>
      <w:r w:rsidRPr="007F5A09">
        <w:rPr>
          <w:sz w:val="24"/>
          <w:szCs w:val="24"/>
        </w:rPr>
        <w:t xml:space="preserve">Realizarea activităților specifice </w:t>
      </w:r>
      <w:r w:rsidR="00713870">
        <w:rPr>
          <w:sz w:val="24"/>
          <w:szCs w:val="24"/>
        </w:rPr>
        <w:t>priorității 2,</w:t>
      </w:r>
      <w:r w:rsidRPr="007F5A09">
        <w:rPr>
          <w:sz w:val="24"/>
          <w:szCs w:val="24"/>
        </w:rPr>
        <w:t xml:space="preserve"> din respectiva provocărilor cu care se confruntă </w:t>
      </w:r>
      <w:r w:rsidR="007F5A09" w:rsidRPr="007F5A09">
        <w:rPr>
          <w:sz w:val="24"/>
          <w:szCs w:val="24"/>
        </w:rPr>
        <w:t xml:space="preserve">sectorul </w:t>
      </w:r>
      <w:r w:rsidRPr="007F5A09">
        <w:rPr>
          <w:sz w:val="24"/>
          <w:szCs w:val="24"/>
        </w:rPr>
        <w:t xml:space="preserve">cercetării și inovării, urmează să asigure </w:t>
      </w:r>
      <w:r w:rsidR="00C25080" w:rsidRPr="007F5A09">
        <w:rPr>
          <w:sz w:val="24"/>
          <w:szCs w:val="24"/>
        </w:rPr>
        <w:t xml:space="preserve">și </w:t>
      </w:r>
      <w:r w:rsidRPr="0056454B">
        <w:rPr>
          <w:sz w:val="24"/>
          <w:szCs w:val="24"/>
        </w:rPr>
        <w:t>sporirea capacităților organizațiilor din domeniile cercetării și inovării de a genera inovații pentru mediul de afaceri prin realizarea exercițiului de descoperire antreprenorială</w:t>
      </w:r>
      <w:r w:rsidR="007F5A09">
        <w:rPr>
          <w:sz w:val="24"/>
          <w:szCs w:val="24"/>
        </w:rPr>
        <w:t xml:space="preserve"> și</w:t>
      </w:r>
      <w:r w:rsidRPr="0056454B">
        <w:rPr>
          <w:sz w:val="24"/>
          <w:szCs w:val="24"/>
        </w:rPr>
        <w:t xml:space="preserve"> prin elaborarea Strategiei de specializare inteligentă, document de politici în materie de cercetare </w:t>
      </w:r>
      <w:r w:rsidR="00713870" w:rsidRPr="0056454B">
        <w:rPr>
          <w:sz w:val="24"/>
          <w:szCs w:val="24"/>
        </w:rPr>
        <w:t>și</w:t>
      </w:r>
      <w:r w:rsidRPr="0056454B">
        <w:rPr>
          <w:sz w:val="24"/>
          <w:szCs w:val="24"/>
        </w:rPr>
        <w:t xml:space="preserve"> inovare axat pe consolidarea capacității generale de inovare prin instrumente de sprijin specifice</w:t>
      </w:r>
      <w:r w:rsidR="007F5A09">
        <w:rPr>
          <w:sz w:val="24"/>
          <w:szCs w:val="24"/>
        </w:rPr>
        <w:t>.</w:t>
      </w:r>
      <w:r w:rsidR="00713870">
        <w:rPr>
          <w:sz w:val="24"/>
          <w:szCs w:val="24"/>
        </w:rPr>
        <w:t xml:space="preserve"> </w:t>
      </w:r>
    </w:p>
    <w:p w:rsidR="0056454B" w:rsidRDefault="0056454B" w:rsidP="007F5A09">
      <w:pPr>
        <w:spacing w:before="120" w:after="120"/>
        <w:ind w:firstLine="450"/>
        <w:jc w:val="both"/>
        <w:rPr>
          <w:sz w:val="24"/>
          <w:szCs w:val="24"/>
        </w:rPr>
      </w:pPr>
      <w:r w:rsidRPr="007F5A09">
        <w:rPr>
          <w:sz w:val="24"/>
          <w:szCs w:val="24"/>
        </w:rPr>
        <w:t>Sub aspectul impactului priorităților asupra alocărilor resurselor în sectorul Cercetării și Inovării, se specifică că acțiunile pentru implementarea acestora v</w:t>
      </w:r>
      <w:r w:rsidR="007E2E1E">
        <w:rPr>
          <w:sz w:val="24"/>
          <w:szCs w:val="24"/>
        </w:rPr>
        <w:t>or</w:t>
      </w:r>
      <w:r w:rsidRPr="007F5A09">
        <w:rPr>
          <w:sz w:val="24"/>
          <w:szCs w:val="24"/>
        </w:rPr>
        <w:t xml:space="preserve"> necesita mijloace financiare suplimentare. </w:t>
      </w:r>
      <w:r w:rsidR="007E2E1E">
        <w:rPr>
          <w:sz w:val="24"/>
          <w:szCs w:val="24"/>
        </w:rPr>
        <w:t>Î</w:t>
      </w:r>
      <w:r w:rsidRPr="007F5A09">
        <w:rPr>
          <w:sz w:val="24"/>
          <w:szCs w:val="24"/>
        </w:rPr>
        <w:t>n acest sens, implementarea Strategiei de specializare inteligentă în perioada 2022-</w:t>
      </w:r>
      <w:r w:rsidRPr="007F5A09">
        <w:rPr>
          <w:sz w:val="24"/>
          <w:szCs w:val="24"/>
        </w:rPr>
        <w:lastRenderedPageBreak/>
        <w:t xml:space="preserve">2024, pentru care costurile </w:t>
      </w:r>
      <w:r w:rsidR="00C25080" w:rsidRPr="007F5A09">
        <w:rPr>
          <w:sz w:val="24"/>
          <w:szCs w:val="24"/>
        </w:rPr>
        <w:t xml:space="preserve">stabilite în CBTM </w:t>
      </w:r>
      <w:r w:rsidRPr="007F5A09">
        <w:rPr>
          <w:sz w:val="24"/>
          <w:szCs w:val="24"/>
        </w:rPr>
        <w:t>se</w:t>
      </w:r>
      <w:r w:rsidR="00DF1237">
        <w:rPr>
          <w:sz w:val="24"/>
          <w:szCs w:val="24"/>
        </w:rPr>
        <w:t xml:space="preserve"> propun a fi </w:t>
      </w:r>
      <w:r w:rsidRPr="007F5A09">
        <w:rPr>
          <w:sz w:val="24"/>
          <w:szCs w:val="24"/>
        </w:rPr>
        <w:t xml:space="preserve">estimează în sumă totală de </w:t>
      </w:r>
      <w:r w:rsidRPr="00F5464D">
        <w:rPr>
          <w:sz w:val="24"/>
          <w:szCs w:val="24"/>
        </w:rPr>
        <w:t>50 m</w:t>
      </w:r>
      <w:r w:rsidR="00C25080" w:rsidRPr="00F5464D">
        <w:rPr>
          <w:sz w:val="24"/>
          <w:szCs w:val="24"/>
        </w:rPr>
        <w:t>i</w:t>
      </w:r>
      <w:r w:rsidRPr="00F5464D">
        <w:rPr>
          <w:sz w:val="24"/>
          <w:szCs w:val="24"/>
        </w:rPr>
        <w:t>l</w:t>
      </w:r>
      <w:r w:rsidR="00C25080" w:rsidRPr="00F5464D">
        <w:rPr>
          <w:sz w:val="24"/>
          <w:szCs w:val="24"/>
        </w:rPr>
        <w:t>.</w:t>
      </w:r>
      <w:r w:rsidRPr="00F5464D">
        <w:rPr>
          <w:sz w:val="24"/>
          <w:szCs w:val="24"/>
        </w:rPr>
        <w:t xml:space="preserve"> lei</w:t>
      </w:r>
      <w:r w:rsidR="00713870">
        <w:rPr>
          <w:sz w:val="24"/>
          <w:szCs w:val="24"/>
        </w:rPr>
        <w:t xml:space="preserve"> (</w:t>
      </w:r>
      <w:r w:rsidR="00713870" w:rsidRPr="00D110DD">
        <w:rPr>
          <w:i/>
          <w:iCs/>
          <w:sz w:val="23"/>
          <w:szCs w:val="23"/>
        </w:rPr>
        <w:t>Indicator –strategic 2: Plan de acțiuni privind implementarea Strategiei de specializare inteligentă pentru anii 2022-2024</w:t>
      </w:r>
      <w:r w:rsidR="00713870">
        <w:rPr>
          <w:sz w:val="24"/>
          <w:szCs w:val="24"/>
        </w:rPr>
        <w:t>)</w:t>
      </w:r>
      <w:r w:rsidR="00D110DD">
        <w:rPr>
          <w:sz w:val="24"/>
          <w:szCs w:val="24"/>
        </w:rPr>
        <w:t>.</w:t>
      </w:r>
    </w:p>
    <w:p w:rsidR="007E2E1E" w:rsidRPr="00217A0D" w:rsidRDefault="00DF1237" w:rsidP="007E2E1E">
      <w:pPr>
        <w:spacing w:before="120" w:after="120"/>
        <w:ind w:firstLine="450"/>
        <w:jc w:val="both"/>
        <w:rPr>
          <w:sz w:val="23"/>
          <w:szCs w:val="23"/>
        </w:rPr>
      </w:pPr>
      <w:r>
        <w:rPr>
          <w:sz w:val="23"/>
          <w:szCs w:val="23"/>
        </w:rPr>
        <w:t>Sursele suplimentare urmeaz</w:t>
      </w:r>
      <w:r w:rsidR="00B35C04">
        <w:rPr>
          <w:sz w:val="23"/>
          <w:szCs w:val="23"/>
        </w:rPr>
        <w:t>ă</w:t>
      </w:r>
      <w:r>
        <w:rPr>
          <w:sz w:val="23"/>
          <w:szCs w:val="23"/>
        </w:rPr>
        <w:t xml:space="preserve"> a fi acoperite atât din mijloace bugetare cât și din surse externe. Precizăm că în proiectul S</w:t>
      </w:r>
      <w:r w:rsidR="007E2E1E" w:rsidRPr="007E2E1E">
        <w:rPr>
          <w:sz w:val="23"/>
          <w:szCs w:val="23"/>
        </w:rPr>
        <w:t>trategi</w:t>
      </w:r>
      <w:r>
        <w:rPr>
          <w:sz w:val="23"/>
          <w:szCs w:val="23"/>
        </w:rPr>
        <w:t>ei</w:t>
      </w:r>
      <w:r w:rsidR="007E2E1E" w:rsidRPr="007E2E1E">
        <w:rPr>
          <w:sz w:val="23"/>
          <w:szCs w:val="23"/>
        </w:rPr>
        <w:t xml:space="preserve"> sectorial</w:t>
      </w:r>
      <w:r>
        <w:rPr>
          <w:sz w:val="23"/>
          <w:szCs w:val="23"/>
        </w:rPr>
        <w:t>e</w:t>
      </w:r>
      <w:r w:rsidR="007E2E1E" w:rsidRPr="007E2E1E">
        <w:rPr>
          <w:sz w:val="23"/>
          <w:szCs w:val="23"/>
        </w:rPr>
        <w:t xml:space="preserve"> de cheltuieli / Sectorul ,,Cercetare și Inovare” </w:t>
      </w:r>
      <w:r>
        <w:rPr>
          <w:sz w:val="23"/>
          <w:szCs w:val="23"/>
        </w:rPr>
        <w:t xml:space="preserve">s-au prevăzut acțiunile și costurile necesare </w:t>
      </w:r>
      <w:r w:rsidR="007E2E1E" w:rsidRPr="007E2E1E">
        <w:rPr>
          <w:sz w:val="23"/>
          <w:szCs w:val="23"/>
        </w:rPr>
        <w:t>pe anii 2022-2024 /</w:t>
      </w:r>
      <w:r w:rsidR="00F5464D">
        <w:rPr>
          <w:sz w:val="23"/>
          <w:szCs w:val="23"/>
        </w:rPr>
        <w:t xml:space="preserve"> </w:t>
      </w:r>
      <w:r w:rsidR="007E2E1E" w:rsidRPr="007E2E1E">
        <w:rPr>
          <w:sz w:val="23"/>
          <w:szCs w:val="23"/>
        </w:rPr>
        <w:t>Principalele acțiuni/masuri de politici noi (implementate începând cu 2022) pe sectorul Cercetare și Inovare</w:t>
      </w:r>
      <w:r>
        <w:rPr>
          <w:sz w:val="23"/>
          <w:szCs w:val="23"/>
        </w:rPr>
        <w:t xml:space="preserve">, pentru implementarea Strategiei. </w:t>
      </w:r>
      <w:r w:rsidR="007E2E1E" w:rsidRPr="007E2E1E">
        <w:rPr>
          <w:sz w:val="23"/>
          <w:szCs w:val="23"/>
        </w:rPr>
        <w:t xml:space="preserve"> </w:t>
      </w:r>
      <w:r w:rsidR="00B35C04">
        <w:rPr>
          <w:sz w:val="23"/>
          <w:szCs w:val="23"/>
        </w:rPr>
        <w:t xml:space="preserve">Pentru anul 2022 costurile pentru acțiuni urmează a fi acoperite din Grantul acordat </w:t>
      </w:r>
      <w:r w:rsidR="00F5464D" w:rsidRPr="00F5464D">
        <w:rPr>
          <w:sz w:val="23"/>
          <w:szCs w:val="23"/>
        </w:rPr>
        <w:t>retroactiv</w:t>
      </w:r>
      <w:r w:rsidR="00F5464D">
        <w:rPr>
          <w:sz w:val="23"/>
          <w:szCs w:val="23"/>
        </w:rPr>
        <w:t xml:space="preserve"> </w:t>
      </w:r>
      <w:r w:rsidR="00B35C04">
        <w:rPr>
          <w:sz w:val="23"/>
          <w:szCs w:val="23"/>
        </w:rPr>
        <w:t xml:space="preserve">de Uniunea Europeană  </w:t>
      </w:r>
      <w:r w:rsidR="00B35C04" w:rsidRPr="00B35C04">
        <w:rPr>
          <w:sz w:val="23"/>
          <w:szCs w:val="23"/>
        </w:rPr>
        <w:t xml:space="preserve">pentru suportul financiar pe anii 2018-2019 în vederea participării </w:t>
      </w:r>
      <w:r w:rsidR="00B35C04" w:rsidRPr="00217A0D">
        <w:rPr>
          <w:sz w:val="23"/>
          <w:szCs w:val="23"/>
        </w:rPr>
        <w:t>Republicii Moldova la Programul Uniunii Europene Orizont 2020.</w:t>
      </w:r>
    </w:p>
    <w:p w:rsidR="00EF62ED" w:rsidRDefault="00EF62ED" w:rsidP="00217A0D">
      <w:pPr>
        <w:spacing w:before="120" w:after="120"/>
        <w:ind w:firstLine="450"/>
        <w:jc w:val="both"/>
        <w:rPr>
          <w:sz w:val="23"/>
          <w:szCs w:val="23"/>
        </w:rPr>
      </w:pPr>
      <w:r w:rsidRPr="00217A0D">
        <w:rPr>
          <w:sz w:val="23"/>
          <w:szCs w:val="23"/>
        </w:rPr>
        <w:t>Resursele minime necesare pentru implementarea Strategiei</w:t>
      </w:r>
      <w:r w:rsidR="00217A0D" w:rsidRPr="00217A0D">
        <w:rPr>
          <w:sz w:val="23"/>
          <w:szCs w:val="23"/>
        </w:rPr>
        <w:t xml:space="preserve"> de Specializare inteligentă</w:t>
      </w:r>
      <w:r w:rsidRPr="00217A0D">
        <w:rPr>
          <w:sz w:val="23"/>
          <w:szCs w:val="23"/>
        </w:rPr>
        <w:t xml:space="preserve">, reieșind din costul ideilor de proiect identificare în cadrul </w:t>
      </w:r>
      <w:r w:rsidR="00217A0D" w:rsidRPr="00217A0D">
        <w:rPr>
          <w:sz w:val="23"/>
          <w:szCs w:val="23"/>
        </w:rPr>
        <w:t xml:space="preserve">procesului de </w:t>
      </w:r>
      <w:r w:rsidRPr="00217A0D">
        <w:rPr>
          <w:sz w:val="23"/>
          <w:szCs w:val="23"/>
        </w:rPr>
        <w:t xml:space="preserve">descoperire antreprenorială constituie </w:t>
      </w:r>
      <w:r w:rsidR="00217A0D" w:rsidRPr="00217A0D">
        <w:rPr>
          <w:sz w:val="23"/>
          <w:szCs w:val="23"/>
        </w:rPr>
        <w:t>2</w:t>
      </w:r>
      <w:r w:rsidRPr="00217A0D">
        <w:rPr>
          <w:sz w:val="23"/>
          <w:szCs w:val="23"/>
        </w:rPr>
        <w:t>0</w:t>
      </w:r>
      <w:r w:rsidR="00217A0D" w:rsidRPr="00217A0D">
        <w:rPr>
          <w:sz w:val="23"/>
          <w:szCs w:val="23"/>
        </w:rPr>
        <w:t xml:space="preserve"> </w:t>
      </w:r>
      <w:proofErr w:type="spellStart"/>
      <w:r w:rsidR="00217A0D" w:rsidRPr="00217A0D">
        <w:rPr>
          <w:sz w:val="23"/>
          <w:szCs w:val="23"/>
        </w:rPr>
        <w:t>mln</w:t>
      </w:r>
      <w:proofErr w:type="spellEnd"/>
      <w:r w:rsidR="00217A0D" w:rsidRPr="00217A0D">
        <w:rPr>
          <w:sz w:val="23"/>
          <w:szCs w:val="23"/>
        </w:rPr>
        <w:t xml:space="preserve"> lei </w:t>
      </w:r>
      <w:r w:rsidRPr="00217A0D">
        <w:rPr>
          <w:sz w:val="23"/>
          <w:szCs w:val="23"/>
        </w:rPr>
        <w:t xml:space="preserve">alocate anual, </w:t>
      </w:r>
      <w:r w:rsidR="00217A0D" w:rsidRPr="00217A0D">
        <w:rPr>
          <w:sz w:val="23"/>
          <w:szCs w:val="23"/>
        </w:rPr>
        <w:t xml:space="preserve">cu excepția primului an de implementare a Strategiei, </w:t>
      </w:r>
      <w:r w:rsidRPr="00217A0D">
        <w:rPr>
          <w:sz w:val="23"/>
          <w:szCs w:val="23"/>
        </w:rPr>
        <w:t xml:space="preserve">sau 50 </w:t>
      </w:r>
      <w:proofErr w:type="spellStart"/>
      <w:r w:rsidRPr="00217A0D">
        <w:rPr>
          <w:sz w:val="23"/>
          <w:szCs w:val="23"/>
        </w:rPr>
        <w:t>ml</w:t>
      </w:r>
      <w:r w:rsidR="00217A0D" w:rsidRPr="00217A0D">
        <w:rPr>
          <w:sz w:val="23"/>
          <w:szCs w:val="23"/>
        </w:rPr>
        <w:t>n</w:t>
      </w:r>
      <w:proofErr w:type="spellEnd"/>
      <w:r w:rsidR="00217A0D" w:rsidRPr="00217A0D">
        <w:rPr>
          <w:sz w:val="23"/>
          <w:szCs w:val="23"/>
        </w:rPr>
        <w:t xml:space="preserve"> lei</w:t>
      </w:r>
      <w:r w:rsidRPr="00217A0D">
        <w:rPr>
          <w:sz w:val="23"/>
          <w:szCs w:val="23"/>
        </w:rPr>
        <w:t xml:space="preserve"> pentru </w:t>
      </w:r>
      <w:r w:rsidR="006B12AD" w:rsidRPr="00217A0D">
        <w:rPr>
          <w:sz w:val="23"/>
          <w:szCs w:val="23"/>
        </w:rPr>
        <w:t>perioada</w:t>
      </w:r>
      <w:r w:rsidRPr="00217A0D">
        <w:rPr>
          <w:sz w:val="23"/>
          <w:szCs w:val="23"/>
        </w:rPr>
        <w:t xml:space="preserve"> 2022-2024. Din acestea 10</w:t>
      </w:r>
      <w:r w:rsidR="00217A0D" w:rsidRPr="00217A0D">
        <w:rPr>
          <w:sz w:val="23"/>
          <w:szCs w:val="23"/>
        </w:rPr>
        <w:t>% din costuri</w:t>
      </w:r>
      <w:r w:rsidRPr="00217A0D">
        <w:rPr>
          <w:sz w:val="23"/>
          <w:szCs w:val="23"/>
        </w:rPr>
        <w:t xml:space="preserve"> vor </w:t>
      </w:r>
      <w:r w:rsidR="00217A0D" w:rsidRPr="00217A0D">
        <w:rPr>
          <w:sz w:val="23"/>
          <w:szCs w:val="23"/>
        </w:rPr>
        <w:t>constitui investiții a</w:t>
      </w:r>
      <w:r w:rsidRPr="00217A0D">
        <w:rPr>
          <w:sz w:val="23"/>
          <w:szCs w:val="23"/>
        </w:rPr>
        <w:t xml:space="preserve"> sectorului privat, 30%</w:t>
      </w:r>
      <w:r w:rsidR="00217A0D" w:rsidRPr="00217A0D">
        <w:rPr>
          <w:sz w:val="23"/>
          <w:szCs w:val="23"/>
        </w:rPr>
        <w:t xml:space="preserve"> </w:t>
      </w:r>
      <w:r w:rsidR="006B12AD" w:rsidRPr="00217A0D">
        <w:rPr>
          <w:sz w:val="23"/>
          <w:szCs w:val="23"/>
        </w:rPr>
        <w:t>vor fi resurse identificate de la partenerii de dezvoltare (urmează a fi efectuate negocierile odată cu aprobarea Strategiei</w:t>
      </w:r>
      <w:r w:rsidR="00217A0D" w:rsidRPr="00217A0D">
        <w:rPr>
          <w:sz w:val="23"/>
          <w:szCs w:val="23"/>
        </w:rPr>
        <w:t>)</w:t>
      </w:r>
      <w:r w:rsidR="006B12AD" w:rsidRPr="00217A0D">
        <w:rPr>
          <w:sz w:val="23"/>
          <w:szCs w:val="23"/>
        </w:rPr>
        <w:t xml:space="preserve"> și 60 % urmează a fi alocate din bugetul de stat.</w:t>
      </w:r>
      <w:r w:rsidR="006B12AD">
        <w:rPr>
          <w:sz w:val="23"/>
          <w:szCs w:val="23"/>
        </w:rPr>
        <w:t xml:space="preserve"> </w:t>
      </w:r>
    </w:p>
    <w:p w:rsidR="006B12AD" w:rsidRDefault="001A6038" w:rsidP="007E2E1E">
      <w:pPr>
        <w:spacing w:before="120" w:after="120"/>
        <w:ind w:firstLine="450"/>
        <w:jc w:val="both"/>
        <w:rPr>
          <w:sz w:val="23"/>
          <w:szCs w:val="23"/>
        </w:rPr>
      </w:pPr>
      <w:r w:rsidRPr="001A6038">
        <w:rPr>
          <w:sz w:val="23"/>
          <w:szCs w:val="23"/>
        </w:rPr>
        <w:t xml:space="preserve">Totodată, </w:t>
      </w:r>
      <w:r>
        <w:rPr>
          <w:sz w:val="23"/>
          <w:szCs w:val="23"/>
        </w:rPr>
        <w:t xml:space="preserve">Strategia </w:t>
      </w:r>
      <w:r w:rsidRPr="001A6038">
        <w:rPr>
          <w:sz w:val="23"/>
          <w:szCs w:val="23"/>
        </w:rPr>
        <w:t xml:space="preserve">va fi corelată cu cadrul bugetar pe termen mediu, estimându-se </w:t>
      </w:r>
      <w:r>
        <w:rPr>
          <w:sz w:val="23"/>
          <w:szCs w:val="23"/>
        </w:rPr>
        <w:t>costurile</w:t>
      </w:r>
      <w:r w:rsidRPr="001A6038">
        <w:rPr>
          <w:sz w:val="23"/>
          <w:szCs w:val="23"/>
        </w:rPr>
        <w:t xml:space="preserve"> de finanțare pentru </w:t>
      </w:r>
      <w:r>
        <w:rPr>
          <w:sz w:val="23"/>
          <w:szCs w:val="23"/>
        </w:rPr>
        <w:t>acțiunile/măsurile de politici</w:t>
      </w:r>
      <w:r w:rsidRPr="001A6038">
        <w:rPr>
          <w:sz w:val="23"/>
          <w:szCs w:val="23"/>
        </w:rPr>
        <w:t xml:space="preserve">, fiind propuse și sursele alternative de finanțare a </w:t>
      </w:r>
      <w:r>
        <w:rPr>
          <w:sz w:val="23"/>
          <w:szCs w:val="23"/>
        </w:rPr>
        <w:t>Strategiei</w:t>
      </w:r>
      <w:r w:rsidRPr="001A6038">
        <w:rPr>
          <w:sz w:val="23"/>
          <w:szCs w:val="23"/>
        </w:rPr>
        <w:t xml:space="preserve">. </w:t>
      </w:r>
      <w:r>
        <w:rPr>
          <w:sz w:val="23"/>
          <w:szCs w:val="23"/>
        </w:rPr>
        <w:t>Având</w:t>
      </w:r>
      <w:r w:rsidR="006B12AD">
        <w:rPr>
          <w:sz w:val="23"/>
          <w:szCs w:val="23"/>
        </w:rPr>
        <w:t xml:space="preserve"> suportul Comisiei Europene </w:t>
      </w:r>
      <w:r>
        <w:rPr>
          <w:sz w:val="23"/>
          <w:szCs w:val="23"/>
        </w:rPr>
        <w:t>în elaborarea Strategiei</w:t>
      </w:r>
      <w:r w:rsidRPr="001A6038">
        <w:rPr>
          <w:sz w:val="23"/>
          <w:szCs w:val="23"/>
        </w:rPr>
        <w:t xml:space="preserve"> de Specializare inteligentă</w:t>
      </w:r>
      <w:r>
        <w:rPr>
          <w:sz w:val="23"/>
          <w:szCs w:val="23"/>
        </w:rPr>
        <w:t xml:space="preserve">, </w:t>
      </w:r>
      <w:r w:rsidR="006B12AD">
        <w:rPr>
          <w:sz w:val="23"/>
          <w:szCs w:val="23"/>
        </w:rPr>
        <w:t>vom beneficia de suportul lor în identificarea partenerilor de finanțare.</w:t>
      </w:r>
    </w:p>
    <w:p w:rsidR="00B01E84" w:rsidRPr="009A5E66" w:rsidRDefault="00B01E84" w:rsidP="00B91982">
      <w:pPr>
        <w:pStyle w:val="1"/>
      </w:pPr>
      <w:r w:rsidRPr="009A5E66">
        <w:t>Concordanța cu prioritățile guvernamentale și celelalte documente de planificare și de politici publice</w:t>
      </w:r>
    </w:p>
    <w:p w:rsidR="009B34C0" w:rsidRPr="00FF7958" w:rsidRDefault="009B34C0" w:rsidP="004D0A87">
      <w:pPr>
        <w:spacing w:before="120" w:after="120"/>
        <w:ind w:firstLine="450"/>
        <w:jc w:val="both"/>
        <w:rPr>
          <w:sz w:val="24"/>
          <w:szCs w:val="24"/>
        </w:rPr>
      </w:pPr>
      <w:r w:rsidRPr="00FF7958">
        <w:rPr>
          <w:sz w:val="24"/>
          <w:szCs w:val="24"/>
        </w:rPr>
        <w:t xml:space="preserve">Programul național în domeniile cercetării și inovării pentru anii 2020-2023, adoptat de Guvernul RM în 2019 (Hotărârea Guvernului nr.381/2019) și-a propus, în contextul dezideratului de a spori impactul rezultatelor activității de cercetare și inovare asupra mediului de afaceri și societății în ansamblu, preluarea și transpunerea principiilor specializării inteligente. În acest sens, obiectivul specific 1.2. din Program - </w:t>
      </w:r>
      <w:r w:rsidRPr="0056454B">
        <w:rPr>
          <w:i/>
          <w:sz w:val="24"/>
          <w:szCs w:val="24"/>
        </w:rPr>
        <w:t>Identificarea nișelor de specializare inteligentă a Republicii Moldova pentru promovarea cercetării bazate pe excelență în domenii strategice, cu relevanță și impact asupra economiei și a societății</w:t>
      </w:r>
      <w:r w:rsidRPr="00FF7958">
        <w:rPr>
          <w:sz w:val="24"/>
          <w:szCs w:val="24"/>
        </w:rPr>
        <w:t xml:space="preserve"> prevede următoarele activități: desfășurarea procesului de descoperire antreprenorială; aprobarea priorităților strategice ale domeniilor cercetării și inovării pentru anii 2023-2027, în corespundere cu nișele de specializare identificate și identificarea domeniilor pentru care este necesară crearea unor noi centre de cercetare.</w:t>
      </w:r>
    </w:p>
    <w:p w:rsidR="00FE2989" w:rsidRPr="00FF7958" w:rsidRDefault="00FE2989" w:rsidP="00FE2989">
      <w:pPr>
        <w:spacing w:before="240" w:after="240"/>
        <w:ind w:firstLine="450"/>
        <w:jc w:val="both"/>
        <w:rPr>
          <w:sz w:val="24"/>
          <w:szCs w:val="24"/>
        </w:rPr>
      </w:pPr>
      <w:r w:rsidRPr="00FF7958">
        <w:rPr>
          <w:sz w:val="24"/>
          <w:szCs w:val="24"/>
        </w:rPr>
        <w:t>Specializarea Inteligentă constituie o prioritate și la nivelul macroregiunilor din care face parte Republica Moldova. Spre exemplu, Strategia UE pentru regiunea Dunării menționează specializarea inteligentă, în mod specific, drept o etapă pentru atingerea obiectivelor din Zona prioritară 7 (Societatea Cunoașterii). Elaborarea strategiilor de specializare inteligentă (și mai nou implementarea acestora</w:t>
      </w:r>
      <w:r w:rsidRPr="00FF7958">
        <w:rPr>
          <w:sz w:val="24"/>
          <w:szCs w:val="24"/>
          <w:vertAlign w:val="superscript"/>
        </w:rPr>
        <w:footnoteReference w:id="7"/>
      </w:r>
      <w:r w:rsidRPr="00FF7958">
        <w:rPr>
          <w:sz w:val="24"/>
          <w:szCs w:val="24"/>
        </w:rPr>
        <w:t>) reprezintă o prioritate și în cadrul Parteneriatului Estic, în 2016 fiind fixat obiectivul ca cel puțin una din cele șase țări participante să dezvolte o strategie RIS3 până în anul 2020</w:t>
      </w:r>
      <w:r w:rsidRPr="00FF7958">
        <w:rPr>
          <w:sz w:val="24"/>
          <w:szCs w:val="24"/>
          <w:vertAlign w:val="superscript"/>
        </w:rPr>
        <w:footnoteReference w:id="8"/>
      </w:r>
      <w:r w:rsidRPr="00FF7958">
        <w:rPr>
          <w:sz w:val="24"/>
          <w:szCs w:val="24"/>
        </w:rPr>
        <w:t xml:space="preserve">. </w:t>
      </w:r>
    </w:p>
    <w:p w:rsidR="00FE2989" w:rsidRPr="00FF7958" w:rsidRDefault="00FE2989" w:rsidP="00FE2989">
      <w:pPr>
        <w:spacing w:before="240" w:after="240"/>
        <w:ind w:firstLine="450"/>
        <w:jc w:val="both"/>
        <w:rPr>
          <w:sz w:val="24"/>
          <w:szCs w:val="24"/>
        </w:rPr>
      </w:pPr>
      <w:r w:rsidRPr="00FF7958">
        <w:rPr>
          <w:sz w:val="24"/>
          <w:szCs w:val="24"/>
        </w:rPr>
        <w:t>Oportunitatea elaborării unei astfel de strategii pentru țara noastră a fost menționată și în Raportul echipei de experți străini care au evaluat sistemul de cercetare-inovare din Republica Moldova în 2015-2016</w:t>
      </w:r>
      <w:r w:rsidRPr="00FF7958">
        <w:rPr>
          <w:sz w:val="24"/>
          <w:szCs w:val="24"/>
          <w:vertAlign w:val="superscript"/>
        </w:rPr>
        <w:footnoteReference w:id="9"/>
      </w:r>
      <w:r w:rsidRPr="00FF7958">
        <w:rPr>
          <w:sz w:val="24"/>
          <w:szCs w:val="24"/>
        </w:rPr>
        <w:t xml:space="preserve">. Una din recomandările raportului respectiv pledează pentru o mai bună integrare a politicii de cercetare și inovare în strategia generală de politică economică; îmbunătățirea </w:t>
      </w:r>
      <w:proofErr w:type="spellStart"/>
      <w:r w:rsidRPr="00FF7958">
        <w:rPr>
          <w:sz w:val="24"/>
          <w:szCs w:val="24"/>
        </w:rPr>
        <w:t>sinergiile</w:t>
      </w:r>
      <w:proofErr w:type="spellEnd"/>
      <w:r w:rsidRPr="00FF7958">
        <w:rPr>
          <w:sz w:val="24"/>
          <w:szCs w:val="24"/>
        </w:rPr>
        <w:t xml:space="preserve"> dintre strategiile de cercetare și inovare, dar și necesitatea stabilirii </w:t>
      </w:r>
      <w:r w:rsidRPr="00FF7958">
        <w:rPr>
          <w:sz w:val="24"/>
          <w:szCs w:val="24"/>
        </w:rPr>
        <w:lastRenderedPageBreak/>
        <w:t xml:space="preserve">priorităților prin implicarea sporită a părților interesate. </w:t>
      </w:r>
    </w:p>
    <w:p w:rsidR="00B01E84" w:rsidRPr="00F452CA" w:rsidRDefault="00B01E84" w:rsidP="00B91982">
      <w:pPr>
        <w:pStyle w:val="1"/>
      </w:pPr>
      <w:r w:rsidRPr="00F452CA">
        <w:t xml:space="preserve">Perioada planificată pentru elaborarea documentului de politici publice </w:t>
      </w:r>
    </w:p>
    <w:p w:rsidR="001E57E5" w:rsidRPr="00FF7958" w:rsidRDefault="003B2923" w:rsidP="00275B9C">
      <w:pPr>
        <w:spacing w:before="120" w:after="120"/>
        <w:ind w:firstLine="450"/>
        <w:jc w:val="both"/>
        <w:rPr>
          <w:b/>
          <w:bCs/>
          <w:sz w:val="24"/>
          <w:szCs w:val="24"/>
        </w:rPr>
      </w:pPr>
      <w:r w:rsidRPr="00FF7958">
        <w:rPr>
          <w:sz w:val="24"/>
          <w:szCs w:val="24"/>
        </w:rPr>
        <w:t>Termenele, de elaborare a</w:t>
      </w:r>
      <w:r w:rsidR="007417EA" w:rsidRPr="00FF7958">
        <w:rPr>
          <w:sz w:val="24"/>
          <w:szCs w:val="24"/>
        </w:rPr>
        <w:t>le</w:t>
      </w:r>
      <w:r w:rsidRPr="00FF7958">
        <w:rPr>
          <w:sz w:val="24"/>
          <w:szCs w:val="24"/>
        </w:rPr>
        <w:t xml:space="preserve"> </w:t>
      </w:r>
      <w:r w:rsidR="007417EA" w:rsidRPr="00FF7958">
        <w:rPr>
          <w:sz w:val="24"/>
          <w:szCs w:val="24"/>
        </w:rPr>
        <w:t xml:space="preserve">Strategiei de Specializare Inteligentă a Republicii Moldova - SMART MOLDOVA 2030 </w:t>
      </w:r>
      <w:r w:rsidRPr="00FF7958">
        <w:rPr>
          <w:sz w:val="24"/>
          <w:szCs w:val="24"/>
        </w:rPr>
        <w:t>sunt determinate de termenii de referință ai Proiectului-suport</w:t>
      </w:r>
      <w:r w:rsidR="007417EA" w:rsidRPr="00FF7958">
        <w:rPr>
          <w:sz w:val="24"/>
          <w:szCs w:val="24"/>
        </w:rPr>
        <w:t xml:space="preserve"> și </w:t>
      </w:r>
      <w:r w:rsidR="00275B9C" w:rsidRPr="00FF7958">
        <w:rPr>
          <w:sz w:val="24"/>
          <w:szCs w:val="24"/>
        </w:rPr>
        <w:t xml:space="preserve">anume: </w:t>
      </w:r>
      <w:r w:rsidR="00275B9C" w:rsidRPr="00FF7958">
        <w:rPr>
          <w:b/>
          <w:bCs/>
          <w:sz w:val="24"/>
          <w:szCs w:val="24"/>
        </w:rPr>
        <w:t>septembrie</w:t>
      </w:r>
      <w:r w:rsidRPr="00FF7958">
        <w:rPr>
          <w:b/>
          <w:bCs/>
          <w:sz w:val="24"/>
          <w:szCs w:val="24"/>
        </w:rPr>
        <w:t xml:space="preserve"> </w:t>
      </w:r>
      <w:r w:rsidR="00275B9C" w:rsidRPr="00FF7958">
        <w:rPr>
          <w:b/>
          <w:bCs/>
          <w:sz w:val="24"/>
          <w:szCs w:val="24"/>
        </w:rPr>
        <w:t>- octombrie 2021</w:t>
      </w:r>
      <w:r w:rsidRPr="00FF7958">
        <w:rPr>
          <w:b/>
          <w:bCs/>
          <w:sz w:val="24"/>
          <w:szCs w:val="24"/>
        </w:rPr>
        <w:t>.</w:t>
      </w:r>
    </w:p>
    <w:p w:rsidR="00E92E2C" w:rsidRPr="0056454B" w:rsidRDefault="00E92E2C" w:rsidP="00275B9C">
      <w:pPr>
        <w:spacing w:before="120" w:after="120"/>
        <w:ind w:firstLine="450"/>
        <w:jc w:val="both"/>
        <w:rPr>
          <w:bCs/>
          <w:sz w:val="24"/>
          <w:szCs w:val="24"/>
        </w:rPr>
      </w:pPr>
      <w:r w:rsidRPr="00F452CA">
        <w:rPr>
          <w:bCs/>
          <w:sz w:val="24"/>
          <w:szCs w:val="24"/>
        </w:rPr>
        <w:t>Vom menționa că</w:t>
      </w:r>
      <w:r w:rsidRPr="00FF7958">
        <w:rPr>
          <w:bCs/>
          <w:sz w:val="24"/>
          <w:szCs w:val="24"/>
        </w:rPr>
        <w:t xml:space="preserve">, elaborarea prezentului concept a fost precedat de </w:t>
      </w:r>
      <w:r w:rsidR="000C751C" w:rsidRPr="00FF7958">
        <w:rPr>
          <w:bCs/>
          <w:sz w:val="24"/>
          <w:szCs w:val="24"/>
        </w:rPr>
        <w:t>o amplă activitate analitică cu implicarea experților naționali și străini, iar selectarea</w:t>
      </w:r>
      <w:r w:rsidRPr="0056454B">
        <w:rPr>
          <w:bCs/>
          <w:sz w:val="24"/>
          <w:szCs w:val="24"/>
        </w:rPr>
        <w:t xml:space="preserve"> domeniilor prioritare</w:t>
      </w:r>
      <w:r w:rsidR="000C751C" w:rsidRPr="00FF7958">
        <w:rPr>
          <w:bCs/>
          <w:sz w:val="24"/>
          <w:szCs w:val="24"/>
        </w:rPr>
        <w:t xml:space="preserve"> de specializare inteligentă</w:t>
      </w:r>
      <w:r w:rsidRPr="0056454B">
        <w:rPr>
          <w:bCs/>
          <w:sz w:val="24"/>
          <w:szCs w:val="24"/>
        </w:rPr>
        <w:t xml:space="preserve"> s-a bazat pe </w:t>
      </w:r>
      <w:r w:rsidR="000C751C" w:rsidRPr="00FF7958">
        <w:rPr>
          <w:bCs/>
          <w:sz w:val="24"/>
          <w:szCs w:val="24"/>
        </w:rPr>
        <w:t>o analiză</w:t>
      </w:r>
      <w:r w:rsidRPr="0056454B">
        <w:rPr>
          <w:bCs/>
          <w:sz w:val="24"/>
          <w:szCs w:val="24"/>
        </w:rPr>
        <w:t xml:space="preserve"> cantitativă detaliată a potențialului economic, de inovare și de cercetare al Republicii Moldova (</w:t>
      </w:r>
      <w:r w:rsidRPr="0056454B">
        <w:rPr>
          <w:bCs/>
          <w:i/>
          <w:sz w:val="24"/>
          <w:szCs w:val="24"/>
        </w:rPr>
        <w:t xml:space="preserve">Cartografierea potențialului economic, de inovare și științific a Republicii Moldova </w:t>
      </w:r>
      <w:r w:rsidRPr="0056454B">
        <w:rPr>
          <w:bCs/>
          <w:sz w:val="24"/>
          <w:szCs w:val="24"/>
        </w:rPr>
        <w:t>și</w:t>
      </w:r>
      <w:r w:rsidRPr="0056454B">
        <w:rPr>
          <w:bCs/>
          <w:i/>
          <w:sz w:val="24"/>
          <w:szCs w:val="24"/>
        </w:rPr>
        <w:t xml:space="preserve"> Caracterizarea domeniilor prioritare preliminare pentru specializarea inteligentă în Moldova</w:t>
      </w:r>
      <w:r w:rsidRPr="0056454B">
        <w:rPr>
          <w:bCs/>
          <w:sz w:val="24"/>
          <w:szCs w:val="24"/>
        </w:rPr>
        <w:t xml:space="preserve">), </w:t>
      </w:r>
      <w:r w:rsidR="000C751C" w:rsidRPr="00FF7958">
        <w:rPr>
          <w:bCs/>
          <w:sz w:val="24"/>
          <w:szCs w:val="24"/>
        </w:rPr>
        <w:t xml:space="preserve">o </w:t>
      </w:r>
      <w:r w:rsidRPr="0056454B">
        <w:rPr>
          <w:bCs/>
          <w:sz w:val="24"/>
          <w:szCs w:val="24"/>
        </w:rPr>
        <w:t xml:space="preserve">analiza calitativă </w:t>
      </w:r>
      <w:r w:rsidR="000C751C" w:rsidRPr="00FF7958">
        <w:rPr>
          <w:bCs/>
          <w:sz w:val="24"/>
          <w:szCs w:val="24"/>
        </w:rPr>
        <w:t>a rezultatelor intervievării</w:t>
      </w:r>
      <w:r w:rsidRPr="0056454B">
        <w:rPr>
          <w:bCs/>
          <w:sz w:val="24"/>
          <w:szCs w:val="24"/>
        </w:rPr>
        <w:t xml:space="preserve"> a circa 40 de actori cheie </w:t>
      </w:r>
      <w:r w:rsidR="000C751C" w:rsidRPr="00FF7958">
        <w:rPr>
          <w:bCs/>
          <w:sz w:val="24"/>
          <w:szCs w:val="24"/>
        </w:rPr>
        <w:t>reprezentanți ai</w:t>
      </w:r>
      <w:r w:rsidRPr="0056454B">
        <w:rPr>
          <w:bCs/>
          <w:sz w:val="24"/>
          <w:szCs w:val="24"/>
        </w:rPr>
        <w:t xml:space="preserve"> sectorului de afaceri și de cercetare</w:t>
      </w:r>
      <w:r w:rsidR="000C751C" w:rsidRPr="00FF7958">
        <w:rPr>
          <w:bCs/>
          <w:sz w:val="24"/>
          <w:szCs w:val="24"/>
        </w:rPr>
        <w:t xml:space="preserve">, dar și pe rezultatele </w:t>
      </w:r>
      <w:r w:rsidR="000C751C" w:rsidRPr="0056454B">
        <w:rPr>
          <w:bCs/>
          <w:i/>
          <w:sz w:val="24"/>
          <w:szCs w:val="24"/>
        </w:rPr>
        <w:t>P</w:t>
      </w:r>
      <w:r w:rsidRPr="0056454B">
        <w:rPr>
          <w:bCs/>
          <w:i/>
          <w:sz w:val="24"/>
          <w:szCs w:val="24"/>
        </w:rPr>
        <w:t>rocesul</w:t>
      </w:r>
      <w:r w:rsidR="000C751C" w:rsidRPr="0056454B">
        <w:rPr>
          <w:bCs/>
          <w:i/>
          <w:sz w:val="24"/>
          <w:szCs w:val="24"/>
        </w:rPr>
        <w:t>ui de Descoperire A</w:t>
      </w:r>
      <w:r w:rsidRPr="0056454B">
        <w:rPr>
          <w:bCs/>
          <w:i/>
          <w:sz w:val="24"/>
          <w:szCs w:val="24"/>
        </w:rPr>
        <w:t>ntreprenorială</w:t>
      </w:r>
      <w:r w:rsidRPr="0056454B">
        <w:rPr>
          <w:bCs/>
          <w:sz w:val="24"/>
          <w:szCs w:val="24"/>
        </w:rPr>
        <w:t xml:space="preserve">, care a inclus organizarea atelierelor de lucru cu </w:t>
      </w:r>
      <w:r w:rsidR="000C751C" w:rsidRPr="00FF7958">
        <w:rPr>
          <w:bCs/>
          <w:sz w:val="24"/>
          <w:szCs w:val="24"/>
        </w:rPr>
        <w:t>reprezentanții tuturor părților</w:t>
      </w:r>
      <w:r w:rsidRPr="0056454B">
        <w:rPr>
          <w:bCs/>
          <w:sz w:val="24"/>
          <w:szCs w:val="24"/>
        </w:rPr>
        <w:t xml:space="preserve"> interesate, cu un accent special pe implicarea</w:t>
      </w:r>
      <w:r w:rsidR="000C751C" w:rsidRPr="00FF7958">
        <w:rPr>
          <w:bCs/>
          <w:sz w:val="24"/>
          <w:szCs w:val="24"/>
        </w:rPr>
        <w:t xml:space="preserve"> sectorului de afaceri (10 evenimente organizate</w:t>
      </w:r>
      <w:r w:rsidR="003A5F94">
        <w:rPr>
          <w:bCs/>
          <w:sz w:val="24"/>
          <w:szCs w:val="24"/>
        </w:rPr>
        <w:t xml:space="preserve"> / 477 participanți</w:t>
      </w:r>
      <w:r w:rsidRPr="0056454B">
        <w:rPr>
          <w:bCs/>
          <w:sz w:val="24"/>
          <w:szCs w:val="24"/>
        </w:rPr>
        <w:t xml:space="preserve">). </w:t>
      </w:r>
      <w:r w:rsidR="003F0C04" w:rsidRPr="00FF7958">
        <w:rPr>
          <w:bCs/>
          <w:sz w:val="24"/>
          <w:szCs w:val="24"/>
        </w:rPr>
        <w:t>Astfel, p</w:t>
      </w:r>
      <w:r w:rsidRPr="0056454B">
        <w:rPr>
          <w:bCs/>
          <w:sz w:val="24"/>
          <w:szCs w:val="24"/>
        </w:rPr>
        <w:t xml:space="preserve">rocesul de selectare a domeniilor prioritare a </w:t>
      </w:r>
      <w:r w:rsidR="000C751C" w:rsidRPr="00FF7958">
        <w:rPr>
          <w:bCs/>
          <w:sz w:val="24"/>
          <w:szCs w:val="24"/>
        </w:rPr>
        <w:t>avut loc</w:t>
      </w:r>
      <w:r w:rsidRPr="0056454B">
        <w:rPr>
          <w:bCs/>
          <w:sz w:val="24"/>
          <w:szCs w:val="24"/>
        </w:rPr>
        <w:t xml:space="preserve"> în conformitate cu cadrul definit de Ghidul privind RIS3, elaborat sub egida Centrului Comun de Cercetare al Comisiei Europene</w:t>
      </w:r>
      <w:r w:rsidR="003A5F94">
        <w:rPr>
          <w:bCs/>
          <w:sz w:val="24"/>
          <w:szCs w:val="24"/>
        </w:rPr>
        <w:t>.</w:t>
      </w:r>
      <w:r w:rsidR="00D110DD">
        <w:rPr>
          <w:bCs/>
          <w:sz w:val="24"/>
          <w:szCs w:val="24"/>
        </w:rPr>
        <w:t xml:space="preserve"> </w:t>
      </w:r>
    </w:p>
    <w:p w:rsidR="001E57E5" w:rsidRPr="00F452CA" w:rsidRDefault="003B2923" w:rsidP="00B91982">
      <w:pPr>
        <w:pStyle w:val="1"/>
      </w:pPr>
      <w:r w:rsidRPr="00F452CA">
        <w:t>Părțile implicate:</w:t>
      </w:r>
    </w:p>
    <w:p w:rsidR="00230E06" w:rsidRPr="00FF7958" w:rsidRDefault="00230E06" w:rsidP="00230E06">
      <w:pPr>
        <w:spacing w:before="120" w:after="120"/>
        <w:ind w:firstLine="450"/>
        <w:jc w:val="both"/>
        <w:rPr>
          <w:sz w:val="24"/>
          <w:szCs w:val="24"/>
        </w:rPr>
      </w:pPr>
      <w:r w:rsidRPr="00FF7958">
        <w:rPr>
          <w:sz w:val="24"/>
          <w:szCs w:val="24"/>
        </w:rPr>
        <w:t xml:space="preserve">Asigurarea reprezentativității tuturor celor patru categorii de actori incluși în </w:t>
      </w:r>
      <w:proofErr w:type="spellStart"/>
      <w:r w:rsidRPr="00FF7958">
        <w:rPr>
          <w:sz w:val="24"/>
          <w:szCs w:val="24"/>
        </w:rPr>
        <w:t>helixul</w:t>
      </w:r>
      <w:proofErr w:type="spellEnd"/>
      <w:r w:rsidRPr="00FF7958" w:rsidDel="00676FC6">
        <w:rPr>
          <w:sz w:val="24"/>
          <w:szCs w:val="24"/>
        </w:rPr>
        <w:t xml:space="preserve"> </w:t>
      </w:r>
      <w:r w:rsidRPr="00FF7958">
        <w:rPr>
          <w:sz w:val="24"/>
          <w:szCs w:val="24"/>
        </w:rPr>
        <w:t xml:space="preserve">cvadruplu (autorități publice, mediul academic, cel antreprenorial și societatea civilă) este o prioritate în procesul de elaborare a S3. </w:t>
      </w:r>
    </w:p>
    <w:p w:rsidR="001E57E5" w:rsidRPr="00FF7958" w:rsidRDefault="00230E06" w:rsidP="00230E06">
      <w:pPr>
        <w:spacing w:before="120" w:after="120"/>
        <w:ind w:firstLine="450"/>
        <w:jc w:val="both"/>
        <w:rPr>
          <w:sz w:val="24"/>
          <w:szCs w:val="24"/>
        </w:rPr>
      </w:pPr>
      <w:r w:rsidRPr="00FF7958">
        <w:rPr>
          <w:sz w:val="24"/>
          <w:szCs w:val="24"/>
        </w:rPr>
        <w:t xml:space="preserve">Prin urmare principalii actori implicați în proces urmează a fi: </w:t>
      </w:r>
      <w:r w:rsidR="003B2923" w:rsidRPr="00FF7958">
        <w:rPr>
          <w:sz w:val="24"/>
          <w:szCs w:val="24"/>
        </w:rPr>
        <w:t xml:space="preserve">Ministerul Educației și Cercetării, </w:t>
      </w:r>
      <w:r w:rsidR="00A47E37" w:rsidRPr="00FF7958">
        <w:rPr>
          <w:sz w:val="24"/>
          <w:szCs w:val="24"/>
        </w:rPr>
        <w:t xml:space="preserve">Ministerul Infrastructurii și Dezvoltării Regionale, </w:t>
      </w:r>
      <w:r w:rsidR="003B2923" w:rsidRPr="00FF7958">
        <w:rPr>
          <w:sz w:val="24"/>
          <w:szCs w:val="24"/>
        </w:rPr>
        <w:t xml:space="preserve">Ministerul Finanțelor, Ministerul Economiei, </w:t>
      </w:r>
      <w:r w:rsidR="00275B9C" w:rsidRPr="00FF7958">
        <w:rPr>
          <w:sz w:val="24"/>
          <w:szCs w:val="24"/>
        </w:rPr>
        <w:t xml:space="preserve">Ministerul Agriculturii și Industriei Alimentare, </w:t>
      </w:r>
      <w:r w:rsidR="00AE3BAE" w:rsidRPr="00FF7958">
        <w:rPr>
          <w:sz w:val="24"/>
          <w:szCs w:val="24"/>
        </w:rPr>
        <w:t xml:space="preserve">Ministerul Sănătății, Ministerul Mediului, </w:t>
      </w:r>
      <w:r w:rsidR="00F452CA" w:rsidRPr="00F452CA">
        <w:rPr>
          <w:sz w:val="24"/>
          <w:szCs w:val="24"/>
        </w:rPr>
        <w:t>Agenția Națională pentru Cercetare și Dezvoltare</w:t>
      </w:r>
      <w:r w:rsidR="003F0C04" w:rsidRPr="00FF7958">
        <w:rPr>
          <w:sz w:val="24"/>
          <w:szCs w:val="24"/>
        </w:rPr>
        <w:t xml:space="preserve">, </w:t>
      </w:r>
      <w:r w:rsidR="00F452CA" w:rsidRPr="00F452CA">
        <w:rPr>
          <w:sz w:val="24"/>
          <w:szCs w:val="24"/>
        </w:rPr>
        <w:t>Organizația pentru Dezvoltarea Sectorului Întreprinderilor Mici și Mijlocii</w:t>
      </w:r>
      <w:r w:rsidR="003F0C04" w:rsidRPr="00FF7958">
        <w:rPr>
          <w:sz w:val="24"/>
          <w:szCs w:val="24"/>
        </w:rPr>
        <w:t>, organizațiile din domeniile cercet</w:t>
      </w:r>
      <w:r w:rsidR="009F72E9">
        <w:rPr>
          <w:sz w:val="24"/>
          <w:szCs w:val="24"/>
        </w:rPr>
        <w:t>ă</w:t>
      </w:r>
      <w:r w:rsidR="003F0C04" w:rsidRPr="00FF7958">
        <w:rPr>
          <w:sz w:val="24"/>
          <w:szCs w:val="24"/>
        </w:rPr>
        <w:t>r</w:t>
      </w:r>
      <w:r w:rsidR="009F72E9">
        <w:rPr>
          <w:sz w:val="24"/>
          <w:szCs w:val="24"/>
        </w:rPr>
        <w:t xml:space="preserve">ii și </w:t>
      </w:r>
      <w:r w:rsidR="003F0C04" w:rsidRPr="00FF7958">
        <w:rPr>
          <w:sz w:val="24"/>
          <w:szCs w:val="24"/>
        </w:rPr>
        <w:t>inov</w:t>
      </w:r>
      <w:r w:rsidR="009F72E9">
        <w:rPr>
          <w:sz w:val="24"/>
          <w:szCs w:val="24"/>
        </w:rPr>
        <w:t>ării,</w:t>
      </w:r>
      <w:r w:rsidR="003B2923" w:rsidRPr="00FF7958">
        <w:rPr>
          <w:sz w:val="24"/>
          <w:szCs w:val="24"/>
        </w:rPr>
        <w:t xml:space="preserve"> </w:t>
      </w:r>
      <w:r w:rsidRPr="00FF7958">
        <w:rPr>
          <w:sz w:val="24"/>
          <w:szCs w:val="24"/>
        </w:rPr>
        <w:t>partenerii de dezvoltare</w:t>
      </w:r>
      <w:r w:rsidR="003B2923" w:rsidRPr="00FF7958">
        <w:rPr>
          <w:sz w:val="24"/>
          <w:szCs w:val="24"/>
        </w:rPr>
        <w:t xml:space="preserve">; </w:t>
      </w:r>
      <w:r w:rsidR="009F72E9">
        <w:rPr>
          <w:sz w:val="24"/>
          <w:szCs w:val="24"/>
        </w:rPr>
        <w:t>a</w:t>
      </w:r>
      <w:r w:rsidR="00742EA6" w:rsidRPr="00FF7958">
        <w:rPr>
          <w:sz w:val="24"/>
          <w:szCs w:val="24"/>
        </w:rPr>
        <w:t xml:space="preserve">sociații de afaceri </w:t>
      </w:r>
      <w:r w:rsidR="003F0C04" w:rsidRPr="00FF7958">
        <w:rPr>
          <w:sz w:val="24"/>
          <w:szCs w:val="24"/>
        </w:rPr>
        <w:t xml:space="preserve">sectoriale </w:t>
      </w:r>
      <w:r w:rsidR="00742EA6" w:rsidRPr="00FF7958">
        <w:rPr>
          <w:sz w:val="24"/>
          <w:szCs w:val="24"/>
        </w:rPr>
        <w:t>și ONG-uri de profil corespunzător domeniilor prioritare identificate</w:t>
      </w:r>
      <w:r w:rsidR="003B2923" w:rsidRPr="00FF7958">
        <w:rPr>
          <w:sz w:val="24"/>
          <w:szCs w:val="24"/>
        </w:rPr>
        <w:t>.</w:t>
      </w:r>
    </w:p>
    <w:p w:rsidR="00742EA6" w:rsidRPr="00FF7958" w:rsidRDefault="00742EA6" w:rsidP="00230E06">
      <w:pPr>
        <w:spacing w:before="120" w:after="120"/>
        <w:ind w:firstLine="450"/>
        <w:jc w:val="both"/>
        <w:rPr>
          <w:sz w:val="24"/>
          <w:szCs w:val="24"/>
        </w:rPr>
      </w:pPr>
      <w:r w:rsidRPr="00FF7958">
        <w:rPr>
          <w:sz w:val="24"/>
          <w:szCs w:val="24"/>
        </w:rPr>
        <w:t>Proiectul strategiei urmează a fi consultat în cadrul echipei naționale de implementare a specializării inteligente (2 ședințe tehnice); vor fi organizate 2 consultări publice; va fi prezentat spre examinare Grupului de lucru pentru reglementarea activității de întreprinzător (2 ședințe); va fi prezentat</w:t>
      </w:r>
      <w:r w:rsidR="007919BB" w:rsidRPr="00FF7958">
        <w:rPr>
          <w:sz w:val="24"/>
          <w:szCs w:val="24"/>
        </w:rPr>
        <w:t xml:space="preserve"> în cadrul unui eveniment dedicat</w:t>
      </w:r>
      <w:r w:rsidR="003F0C04" w:rsidRPr="00FF7958">
        <w:rPr>
          <w:sz w:val="24"/>
          <w:szCs w:val="24"/>
        </w:rPr>
        <w:t>, organizat împreună cu Centrul Comun de Cercetare al Comisiei Europene</w:t>
      </w:r>
      <w:r w:rsidR="00D110DD">
        <w:rPr>
          <w:sz w:val="24"/>
          <w:szCs w:val="24"/>
        </w:rPr>
        <w:t xml:space="preserve"> </w:t>
      </w:r>
      <w:r w:rsidR="007919BB" w:rsidRPr="00FF7958">
        <w:rPr>
          <w:sz w:val="24"/>
          <w:szCs w:val="24"/>
        </w:rPr>
        <w:t>(conferință).</w:t>
      </w:r>
      <w:r w:rsidRPr="00FF7958">
        <w:rPr>
          <w:sz w:val="24"/>
          <w:szCs w:val="24"/>
        </w:rPr>
        <w:t xml:space="preserve"> </w:t>
      </w:r>
    </w:p>
    <w:p w:rsidR="00742EA6" w:rsidRPr="00FF7958" w:rsidRDefault="00742EA6" w:rsidP="00230E06">
      <w:pPr>
        <w:spacing w:before="120" w:after="120"/>
        <w:ind w:firstLine="450"/>
        <w:jc w:val="both"/>
        <w:rPr>
          <w:sz w:val="24"/>
          <w:szCs w:val="24"/>
        </w:rPr>
      </w:pPr>
    </w:p>
    <w:p w:rsidR="00B01E84" w:rsidRPr="00FF7958" w:rsidRDefault="00B01E84">
      <w:pPr>
        <w:pStyle w:val="a3"/>
        <w:spacing w:before="156" w:line="276" w:lineRule="auto"/>
        <w:ind w:left="118" w:right="371" w:firstLine="427"/>
      </w:pPr>
    </w:p>
    <w:sectPr w:rsidR="00B01E84" w:rsidRPr="00FF7958" w:rsidSect="00CF39D7">
      <w:footerReference w:type="default" r:id="rId8"/>
      <w:pgSz w:w="11910" w:h="16840"/>
      <w:pgMar w:top="1080" w:right="1020" w:bottom="25" w:left="1260" w:header="0" w:footer="99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7494A" w:rsidRDefault="00C7494A">
      <w:r>
        <w:separator/>
      </w:r>
    </w:p>
  </w:endnote>
  <w:endnote w:type="continuationSeparator" w:id="0">
    <w:p w:rsidR="00C7494A" w:rsidRDefault="00C7494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Calibri"/>
    <w:charset w:val="00"/>
    <w:family w:val="swiss"/>
    <w:pitch w:val="variable"/>
    <w:sig w:usb0="00000001"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72028174"/>
      <w:docPartObj>
        <w:docPartGallery w:val="Page Numbers (Bottom of Page)"/>
        <w:docPartUnique/>
      </w:docPartObj>
    </w:sdtPr>
    <w:sdtEndPr>
      <w:rPr>
        <w:noProof/>
      </w:rPr>
    </w:sdtEndPr>
    <w:sdtContent>
      <w:p w:rsidR="004D0A87" w:rsidRDefault="00F275DE">
        <w:pPr>
          <w:pStyle w:val="ac"/>
          <w:jc w:val="right"/>
        </w:pPr>
        <w:r>
          <w:fldChar w:fldCharType="begin"/>
        </w:r>
        <w:r w:rsidR="004D0A87">
          <w:instrText xml:space="preserve"> PAGE   \* MERGEFORMAT </w:instrText>
        </w:r>
        <w:r>
          <w:fldChar w:fldCharType="separate"/>
        </w:r>
        <w:r w:rsidR="009F72E9">
          <w:rPr>
            <w:noProof/>
          </w:rPr>
          <w:t>9</w:t>
        </w:r>
        <w:r>
          <w:rPr>
            <w:noProof/>
          </w:rPr>
          <w:fldChar w:fldCharType="end"/>
        </w:r>
      </w:p>
    </w:sdtContent>
  </w:sdt>
  <w:p w:rsidR="001E57E5" w:rsidRDefault="001E57E5">
    <w:pPr>
      <w:pStyle w:val="a3"/>
      <w:spacing w:line="14" w:lineRule="auto"/>
      <w:ind w:left="0"/>
      <w:jc w:val="left"/>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7494A" w:rsidRDefault="00C7494A">
      <w:r>
        <w:separator/>
      </w:r>
    </w:p>
  </w:footnote>
  <w:footnote w:type="continuationSeparator" w:id="0">
    <w:p w:rsidR="00C7494A" w:rsidRDefault="00C7494A">
      <w:r>
        <w:continuationSeparator/>
      </w:r>
    </w:p>
  </w:footnote>
  <w:footnote w:id="1">
    <w:p w:rsidR="00AE2AFC" w:rsidRPr="00041591" w:rsidRDefault="00AE2AFC" w:rsidP="00AE2AFC">
      <w:pPr>
        <w:contextualSpacing/>
        <w:jc w:val="both"/>
        <w:rPr>
          <w:rFonts w:eastAsia="Arial"/>
          <w:color w:val="000000"/>
          <w:sz w:val="16"/>
          <w:szCs w:val="16"/>
        </w:rPr>
      </w:pPr>
      <w:r w:rsidRPr="00041591">
        <w:rPr>
          <w:rStyle w:val="a9"/>
          <w:rFonts w:ascii="Times New Roman" w:hAnsi="Times New Roman" w:cs="Times New Roman"/>
          <w:sz w:val="16"/>
          <w:szCs w:val="16"/>
        </w:rPr>
        <w:footnoteRef/>
      </w:r>
      <w:r w:rsidRPr="00041591">
        <w:rPr>
          <w:color w:val="000000"/>
          <w:sz w:val="16"/>
          <w:szCs w:val="16"/>
        </w:rPr>
        <w:t xml:space="preserve"> Practica statelor UE demonstrează existența strategiilor de specializare inteligentă, atât la nivel regional, cât și național. Conform Regulamentului Nr. 1059/2003 al Parlamentului European și al Consiliului din 26 mai 2003 privind instituirea unui nomenclator comun al unităților teritoriale de statistică (NUTS), în cazul în care efectivul populației dintr-un stat este mai mic decât pragul minim al unui anumit nivel NUTS (pentru NUTS 1 numărul minimum este de 3 milioane), statul constituie în ansamblul său o unitate teritorială NUTS de acest nivel. </w:t>
      </w:r>
    </w:p>
  </w:footnote>
  <w:footnote w:id="2">
    <w:p w:rsidR="002764B2" w:rsidRPr="002764B2" w:rsidRDefault="002764B2">
      <w:pPr>
        <w:pStyle w:val="a7"/>
      </w:pPr>
      <w:r>
        <w:rPr>
          <w:rStyle w:val="a9"/>
        </w:rPr>
        <w:footnoteRef/>
      </w:r>
      <w:r>
        <w:t xml:space="preserve"> </w:t>
      </w:r>
      <w:r w:rsidRPr="00D21FDD">
        <w:rPr>
          <w:rFonts w:cstheme="minorHAnsi"/>
          <w:sz w:val="16"/>
          <w:szCs w:val="16"/>
          <w:lang w:val="ro-RO"/>
        </w:rPr>
        <w:t xml:space="preserve">2019 Global </w:t>
      </w:r>
      <w:proofErr w:type="spellStart"/>
      <w:r w:rsidRPr="00D21FDD">
        <w:rPr>
          <w:rFonts w:cstheme="minorHAnsi"/>
          <w:sz w:val="16"/>
          <w:szCs w:val="16"/>
          <w:lang w:val="ro-RO"/>
        </w:rPr>
        <w:t>Competitiveness</w:t>
      </w:r>
      <w:proofErr w:type="spellEnd"/>
      <w:r w:rsidRPr="00D21FDD">
        <w:rPr>
          <w:rFonts w:cstheme="minorHAnsi"/>
          <w:sz w:val="16"/>
          <w:szCs w:val="16"/>
          <w:lang w:val="ro-RO"/>
        </w:rPr>
        <w:t xml:space="preserve"> Index/ </w:t>
      </w:r>
      <w:hyperlink r:id="rId1" w:history="1">
        <w:r w:rsidRPr="00D21FDD">
          <w:rPr>
            <w:rStyle w:val="a6"/>
            <w:rFonts w:cstheme="minorHAnsi"/>
            <w:sz w:val="16"/>
            <w:szCs w:val="16"/>
            <w:lang w:val="ro-RO"/>
          </w:rPr>
          <w:t>http://www3.weforum.org/docs/WEF_TheGlobalCompetitivenessReport2019.pdf</w:t>
        </w:r>
      </w:hyperlink>
    </w:p>
  </w:footnote>
  <w:footnote w:id="3">
    <w:p w:rsidR="002764B2" w:rsidRPr="002764B2" w:rsidRDefault="002764B2">
      <w:pPr>
        <w:pStyle w:val="a7"/>
      </w:pPr>
      <w:r>
        <w:rPr>
          <w:rStyle w:val="a9"/>
        </w:rPr>
        <w:footnoteRef/>
      </w:r>
      <w:r>
        <w:t xml:space="preserve"> </w:t>
      </w:r>
      <w:hyperlink r:id="rId2" w:history="1">
        <w:r w:rsidRPr="00D21FDD">
          <w:rPr>
            <w:rStyle w:val="a6"/>
            <w:rFonts w:cstheme="minorHAnsi"/>
            <w:color w:val="000000"/>
            <w:sz w:val="16"/>
            <w:szCs w:val="16"/>
            <w:lang w:val="ro-RO"/>
          </w:rPr>
          <w:t>https://www.wipo.int/edocs/pubdocs/en/wipo_pub_gii_2020/md.pdf</w:t>
        </w:r>
      </w:hyperlink>
    </w:p>
  </w:footnote>
  <w:footnote w:id="4">
    <w:p w:rsidR="005847A8" w:rsidRPr="00041591" w:rsidRDefault="005847A8" w:rsidP="00041591">
      <w:pPr>
        <w:contextualSpacing/>
        <w:jc w:val="both"/>
        <w:rPr>
          <w:color w:val="000000"/>
          <w:sz w:val="16"/>
          <w:szCs w:val="16"/>
        </w:rPr>
      </w:pPr>
      <w:r w:rsidRPr="00041591">
        <w:rPr>
          <w:rStyle w:val="a9"/>
          <w:rFonts w:ascii="Times New Roman" w:hAnsi="Times New Roman" w:cs="Times New Roman"/>
          <w:sz w:val="16"/>
          <w:szCs w:val="16"/>
        </w:rPr>
        <w:footnoteRef/>
      </w:r>
      <w:r w:rsidRPr="00041591">
        <w:rPr>
          <w:color w:val="000000"/>
          <w:sz w:val="16"/>
          <w:szCs w:val="16"/>
        </w:rPr>
        <w:t xml:space="preserve"> </w:t>
      </w:r>
      <w:r w:rsidRPr="00041591">
        <w:rPr>
          <w:color w:val="000000"/>
          <w:sz w:val="16"/>
          <w:szCs w:val="16"/>
        </w:rPr>
        <w:t xml:space="preserve">S3 </w:t>
      </w:r>
      <w:proofErr w:type="spellStart"/>
      <w:r w:rsidRPr="00041591">
        <w:rPr>
          <w:color w:val="000000"/>
          <w:sz w:val="16"/>
          <w:szCs w:val="16"/>
        </w:rPr>
        <w:t>beyond</w:t>
      </w:r>
      <w:proofErr w:type="spellEnd"/>
      <w:r w:rsidRPr="00041591">
        <w:rPr>
          <w:color w:val="000000"/>
          <w:sz w:val="16"/>
          <w:szCs w:val="16"/>
        </w:rPr>
        <w:t xml:space="preserve"> EU/ </w:t>
      </w:r>
      <w:hyperlink r:id="rId3" w:history="1">
        <w:r w:rsidRPr="00041591">
          <w:rPr>
            <w:rStyle w:val="a6"/>
            <w:color w:val="0000FF"/>
            <w:sz w:val="16"/>
            <w:szCs w:val="16"/>
          </w:rPr>
          <w:t>http://s3platform.jrc.ec.europa.eu/s3-beyond-eu</w:t>
        </w:r>
      </w:hyperlink>
      <w:r w:rsidRPr="00041591">
        <w:rPr>
          <w:color w:val="000000"/>
          <w:sz w:val="16"/>
          <w:szCs w:val="16"/>
        </w:rPr>
        <w:t xml:space="preserve"> </w:t>
      </w:r>
    </w:p>
  </w:footnote>
  <w:footnote w:id="5">
    <w:p w:rsidR="009B34C0" w:rsidRPr="00041591" w:rsidRDefault="009B34C0" w:rsidP="00041591">
      <w:pPr>
        <w:pStyle w:val="a7"/>
        <w:spacing w:before="0" w:after="0"/>
        <w:rPr>
          <w:rFonts w:ascii="Times New Roman" w:hAnsi="Times New Roman" w:cs="Times New Roman"/>
          <w:sz w:val="16"/>
          <w:szCs w:val="16"/>
          <w:lang w:val="ro-RO"/>
        </w:rPr>
      </w:pPr>
      <w:r w:rsidRPr="00041591">
        <w:rPr>
          <w:rStyle w:val="a9"/>
          <w:rFonts w:ascii="Times New Roman" w:hAnsi="Times New Roman" w:cs="Times New Roman"/>
          <w:sz w:val="16"/>
          <w:szCs w:val="16"/>
          <w:lang w:val="ro-RO"/>
        </w:rPr>
        <w:footnoteRef/>
      </w:r>
      <w:r w:rsidRPr="00041591">
        <w:rPr>
          <w:rFonts w:ascii="Times New Roman" w:hAnsi="Times New Roman" w:cs="Times New Roman"/>
          <w:sz w:val="16"/>
          <w:szCs w:val="16"/>
          <w:lang w:val="ro-RO"/>
        </w:rPr>
        <w:t xml:space="preserve"> </w:t>
      </w:r>
      <w:r w:rsidRPr="00041591">
        <w:rPr>
          <w:rFonts w:ascii="Times New Roman" w:hAnsi="Times New Roman" w:cs="Times New Roman"/>
          <w:sz w:val="16"/>
          <w:szCs w:val="16"/>
          <w:lang w:val="ro-RO"/>
        </w:rPr>
        <w:t xml:space="preserve">Raport de evaluare intermediară a Strategiei naționale de dezvoltare „Moldova 2020”/ </w:t>
      </w:r>
      <w:hyperlink r:id="rId4" w:history="1">
        <w:r w:rsidRPr="00041591">
          <w:rPr>
            <w:rStyle w:val="a6"/>
            <w:rFonts w:ascii="Times New Roman" w:hAnsi="Times New Roman" w:cs="Times New Roman"/>
            <w:sz w:val="16"/>
            <w:szCs w:val="16"/>
            <w:lang w:val="ro-RO"/>
          </w:rPr>
          <w:t>https://cancelaria.gov.md/sites/default/files/raport_evaluare_md2020.pdf</w:t>
        </w:r>
      </w:hyperlink>
      <w:r w:rsidRPr="00041591">
        <w:rPr>
          <w:rFonts w:ascii="Times New Roman" w:hAnsi="Times New Roman" w:cs="Times New Roman"/>
          <w:sz w:val="16"/>
          <w:szCs w:val="16"/>
          <w:lang w:val="ro-RO"/>
        </w:rPr>
        <w:t xml:space="preserve"> </w:t>
      </w:r>
    </w:p>
  </w:footnote>
  <w:footnote w:id="6">
    <w:p w:rsidR="009B34C0" w:rsidRPr="00041591" w:rsidRDefault="009B34C0" w:rsidP="00041591">
      <w:pPr>
        <w:pStyle w:val="a7"/>
        <w:spacing w:before="0" w:after="0"/>
        <w:rPr>
          <w:rFonts w:ascii="Times New Roman" w:hAnsi="Times New Roman" w:cs="Times New Roman"/>
          <w:sz w:val="16"/>
          <w:szCs w:val="16"/>
          <w:lang w:val="ro-RO"/>
        </w:rPr>
      </w:pPr>
      <w:r w:rsidRPr="00041591">
        <w:rPr>
          <w:rStyle w:val="a9"/>
          <w:rFonts w:ascii="Times New Roman" w:hAnsi="Times New Roman" w:cs="Times New Roman"/>
          <w:sz w:val="16"/>
          <w:szCs w:val="16"/>
          <w:lang w:val="ro-RO"/>
        </w:rPr>
        <w:footnoteRef/>
      </w:r>
      <w:r w:rsidRPr="00041591">
        <w:rPr>
          <w:rFonts w:ascii="Times New Roman" w:hAnsi="Times New Roman" w:cs="Times New Roman"/>
          <w:sz w:val="16"/>
          <w:szCs w:val="16"/>
          <w:lang w:val="ro-RO"/>
        </w:rPr>
        <w:t xml:space="preserve"> </w:t>
      </w:r>
      <w:hyperlink r:id="rId5" w:history="1">
        <w:r w:rsidRPr="00041591">
          <w:rPr>
            <w:rStyle w:val="a6"/>
            <w:rFonts w:ascii="Times New Roman" w:hAnsi="Times New Roman" w:cs="Times New Roman"/>
            <w:sz w:val="16"/>
            <w:szCs w:val="16"/>
            <w:lang w:val="ro-RO"/>
          </w:rPr>
          <w:t>https://cancelaria.gov.md/sites/default/files/cu_privire_la_aprobarea_proiectului_de_lege_pentru_aprobarea_strategiei_nationale_de_dezvoltare_moldova_2030.pdf</w:t>
        </w:r>
      </w:hyperlink>
      <w:r w:rsidRPr="00041591">
        <w:rPr>
          <w:rFonts w:ascii="Times New Roman" w:hAnsi="Times New Roman" w:cs="Times New Roman"/>
          <w:sz w:val="16"/>
          <w:szCs w:val="16"/>
          <w:lang w:val="ro-RO"/>
        </w:rPr>
        <w:t xml:space="preserve"> </w:t>
      </w:r>
    </w:p>
  </w:footnote>
  <w:footnote w:id="7">
    <w:p w:rsidR="00FE2989" w:rsidRPr="00041591" w:rsidRDefault="00FE2989" w:rsidP="00FE2989">
      <w:pPr>
        <w:contextualSpacing/>
        <w:jc w:val="both"/>
        <w:rPr>
          <w:color w:val="000000"/>
          <w:sz w:val="16"/>
          <w:szCs w:val="16"/>
        </w:rPr>
      </w:pPr>
      <w:r w:rsidRPr="00041591">
        <w:rPr>
          <w:rStyle w:val="a9"/>
          <w:rFonts w:ascii="Times New Roman" w:hAnsi="Times New Roman" w:cs="Times New Roman"/>
          <w:sz w:val="16"/>
          <w:szCs w:val="16"/>
        </w:rPr>
        <w:footnoteRef/>
      </w:r>
      <w:r w:rsidRPr="00041591">
        <w:rPr>
          <w:color w:val="000000"/>
          <w:sz w:val="16"/>
          <w:szCs w:val="16"/>
        </w:rPr>
        <w:t xml:space="preserve"> </w:t>
      </w:r>
      <w:proofErr w:type="spellStart"/>
      <w:r w:rsidRPr="00041591">
        <w:rPr>
          <w:color w:val="000000"/>
          <w:sz w:val="16"/>
          <w:szCs w:val="16"/>
        </w:rPr>
        <w:t>Joint</w:t>
      </w:r>
      <w:proofErr w:type="spellEnd"/>
      <w:r w:rsidRPr="00041591">
        <w:rPr>
          <w:color w:val="000000"/>
          <w:sz w:val="16"/>
          <w:szCs w:val="16"/>
        </w:rPr>
        <w:t xml:space="preserve"> Staff </w:t>
      </w:r>
      <w:proofErr w:type="spellStart"/>
      <w:r w:rsidRPr="00041591">
        <w:rPr>
          <w:color w:val="000000"/>
          <w:sz w:val="16"/>
          <w:szCs w:val="16"/>
        </w:rPr>
        <w:t>Working</w:t>
      </w:r>
      <w:proofErr w:type="spellEnd"/>
      <w:r w:rsidRPr="00041591">
        <w:rPr>
          <w:color w:val="000000"/>
          <w:sz w:val="16"/>
          <w:szCs w:val="16"/>
        </w:rPr>
        <w:t xml:space="preserve"> Document - </w:t>
      </w:r>
      <w:proofErr w:type="spellStart"/>
      <w:r w:rsidRPr="00041591">
        <w:rPr>
          <w:color w:val="000000"/>
          <w:sz w:val="16"/>
          <w:szCs w:val="16"/>
        </w:rPr>
        <w:t>Recovery</w:t>
      </w:r>
      <w:proofErr w:type="spellEnd"/>
      <w:r w:rsidRPr="00041591">
        <w:rPr>
          <w:color w:val="000000"/>
          <w:sz w:val="16"/>
          <w:szCs w:val="16"/>
        </w:rPr>
        <w:t xml:space="preserve">, </w:t>
      </w:r>
      <w:proofErr w:type="spellStart"/>
      <w:r w:rsidRPr="00041591">
        <w:rPr>
          <w:color w:val="000000"/>
          <w:sz w:val="16"/>
          <w:szCs w:val="16"/>
        </w:rPr>
        <w:t>resilience</w:t>
      </w:r>
      <w:proofErr w:type="spellEnd"/>
      <w:r w:rsidRPr="00041591">
        <w:rPr>
          <w:color w:val="000000"/>
          <w:sz w:val="16"/>
          <w:szCs w:val="16"/>
        </w:rPr>
        <w:t xml:space="preserve"> </w:t>
      </w:r>
      <w:proofErr w:type="spellStart"/>
      <w:r w:rsidRPr="00041591">
        <w:rPr>
          <w:color w:val="000000"/>
          <w:sz w:val="16"/>
          <w:szCs w:val="16"/>
        </w:rPr>
        <w:t>and</w:t>
      </w:r>
      <w:proofErr w:type="spellEnd"/>
      <w:r w:rsidRPr="00041591">
        <w:rPr>
          <w:color w:val="000000"/>
          <w:sz w:val="16"/>
          <w:szCs w:val="16"/>
        </w:rPr>
        <w:t xml:space="preserve"> </w:t>
      </w:r>
      <w:proofErr w:type="spellStart"/>
      <w:r w:rsidRPr="00041591">
        <w:rPr>
          <w:color w:val="000000"/>
          <w:sz w:val="16"/>
          <w:szCs w:val="16"/>
        </w:rPr>
        <w:t>reform</w:t>
      </w:r>
      <w:proofErr w:type="spellEnd"/>
      <w:r w:rsidRPr="00041591">
        <w:rPr>
          <w:color w:val="000000"/>
          <w:sz w:val="16"/>
          <w:szCs w:val="16"/>
        </w:rPr>
        <w:t xml:space="preserve">: post 2020 </w:t>
      </w:r>
      <w:proofErr w:type="spellStart"/>
      <w:r w:rsidRPr="00041591">
        <w:rPr>
          <w:color w:val="000000"/>
          <w:sz w:val="16"/>
          <w:szCs w:val="16"/>
        </w:rPr>
        <w:t>Eastern</w:t>
      </w:r>
      <w:proofErr w:type="spellEnd"/>
      <w:r w:rsidRPr="00041591">
        <w:rPr>
          <w:color w:val="000000"/>
          <w:sz w:val="16"/>
          <w:szCs w:val="16"/>
        </w:rPr>
        <w:t xml:space="preserve"> </w:t>
      </w:r>
      <w:proofErr w:type="spellStart"/>
      <w:r w:rsidRPr="00041591">
        <w:rPr>
          <w:color w:val="000000"/>
          <w:sz w:val="16"/>
          <w:szCs w:val="16"/>
        </w:rPr>
        <w:t>Partnership</w:t>
      </w:r>
      <w:proofErr w:type="spellEnd"/>
      <w:r w:rsidRPr="00041591">
        <w:rPr>
          <w:color w:val="000000"/>
          <w:sz w:val="16"/>
          <w:szCs w:val="16"/>
        </w:rPr>
        <w:t xml:space="preserve"> </w:t>
      </w:r>
      <w:proofErr w:type="spellStart"/>
      <w:r w:rsidRPr="00041591">
        <w:rPr>
          <w:color w:val="000000"/>
          <w:sz w:val="16"/>
          <w:szCs w:val="16"/>
        </w:rPr>
        <w:t>priorities</w:t>
      </w:r>
      <w:proofErr w:type="spellEnd"/>
      <w:r w:rsidRPr="00041591">
        <w:rPr>
          <w:color w:val="000000"/>
          <w:sz w:val="16"/>
          <w:szCs w:val="16"/>
        </w:rPr>
        <w:t>/ https://ec.europa.eu/neighbourhood-enlargement/sites/default/files/eap_joint_staff_working_document_2021_en.pdf</w:t>
      </w:r>
    </w:p>
  </w:footnote>
  <w:footnote w:id="8">
    <w:p w:rsidR="00FE2989" w:rsidRPr="00041591" w:rsidRDefault="00FE2989" w:rsidP="00FE2989">
      <w:pPr>
        <w:contextualSpacing/>
        <w:jc w:val="both"/>
        <w:rPr>
          <w:color w:val="000000"/>
          <w:sz w:val="16"/>
          <w:szCs w:val="16"/>
        </w:rPr>
      </w:pPr>
      <w:r w:rsidRPr="00041591">
        <w:rPr>
          <w:rStyle w:val="a9"/>
          <w:rFonts w:ascii="Times New Roman" w:hAnsi="Times New Roman" w:cs="Times New Roman"/>
          <w:sz w:val="16"/>
          <w:szCs w:val="16"/>
        </w:rPr>
        <w:footnoteRef/>
      </w:r>
      <w:r w:rsidRPr="00041591">
        <w:rPr>
          <w:color w:val="000000"/>
          <w:sz w:val="16"/>
          <w:szCs w:val="16"/>
        </w:rPr>
        <w:t xml:space="preserve"> </w:t>
      </w:r>
      <w:proofErr w:type="spellStart"/>
      <w:r w:rsidRPr="00041591">
        <w:rPr>
          <w:color w:val="000000"/>
          <w:sz w:val="16"/>
          <w:szCs w:val="16"/>
        </w:rPr>
        <w:t>Eastern</w:t>
      </w:r>
      <w:proofErr w:type="spellEnd"/>
      <w:r w:rsidRPr="00041591">
        <w:rPr>
          <w:color w:val="000000"/>
          <w:sz w:val="16"/>
          <w:szCs w:val="16"/>
        </w:rPr>
        <w:t xml:space="preserve"> </w:t>
      </w:r>
      <w:proofErr w:type="spellStart"/>
      <w:r w:rsidRPr="00041591">
        <w:rPr>
          <w:color w:val="000000"/>
          <w:sz w:val="16"/>
          <w:szCs w:val="16"/>
        </w:rPr>
        <w:t>Partnership</w:t>
      </w:r>
      <w:proofErr w:type="spellEnd"/>
      <w:r w:rsidRPr="00041591">
        <w:rPr>
          <w:color w:val="000000"/>
          <w:sz w:val="16"/>
          <w:szCs w:val="16"/>
        </w:rPr>
        <w:t xml:space="preserve"> - </w:t>
      </w:r>
      <w:proofErr w:type="spellStart"/>
      <w:r w:rsidRPr="00041591">
        <w:rPr>
          <w:color w:val="000000"/>
          <w:sz w:val="16"/>
          <w:szCs w:val="16"/>
        </w:rPr>
        <w:t>Focusing</w:t>
      </w:r>
      <w:proofErr w:type="spellEnd"/>
      <w:r w:rsidRPr="00041591">
        <w:rPr>
          <w:color w:val="000000"/>
          <w:sz w:val="16"/>
          <w:szCs w:val="16"/>
        </w:rPr>
        <w:t xml:space="preserve"> on </w:t>
      </w:r>
      <w:proofErr w:type="spellStart"/>
      <w:r w:rsidRPr="00041591">
        <w:rPr>
          <w:color w:val="000000"/>
          <w:sz w:val="16"/>
          <w:szCs w:val="16"/>
        </w:rPr>
        <w:t>key</w:t>
      </w:r>
      <w:proofErr w:type="spellEnd"/>
      <w:r w:rsidRPr="00041591">
        <w:rPr>
          <w:color w:val="000000"/>
          <w:sz w:val="16"/>
          <w:szCs w:val="16"/>
        </w:rPr>
        <w:t xml:space="preserve"> </w:t>
      </w:r>
      <w:proofErr w:type="spellStart"/>
      <w:r w:rsidRPr="00041591">
        <w:rPr>
          <w:color w:val="000000"/>
          <w:sz w:val="16"/>
          <w:szCs w:val="16"/>
        </w:rPr>
        <w:t>priorities</w:t>
      </w:r>
      <w:proofErr w:type="spellEnd"/>
      <w:r w:rsidRPr="00041591">
        <w:rPr>
          <w:color w:val="000000"/>
          <w:sz w:val="16"/>
          <w:szCs w:val="16"/>
        </w:rPr>
        <w:t xml:space="preserve"> </w:t>
      </w:r>
      <w:proofErr w:type="spellStart"/>
      <w:r w:rsidRPr="00041591">
        <w:rPr>
          <w:color w:val="000000"/>
          <w:sz w:val="16"/>
          <w:szCs w:val="16"/>
        </w:rPr>
        <w:t>and</w:t>
      </w:r>
      <w:proofErr w:type="spellEnd"/>
      <w:r w:rsidRPr="00041591">
        <w:rPr>
          <w:color w:val="000000"/>
          <w:sz w:val="16"/>
          <w:szCs w:val="16"/>
        </w:rPr>
        <w:t xml:space="preserve"> </w:t>
      </w:r>
      <w:proofErr w:type="spellStart"/>
      <w:r w:rsidRPr="00041591">
        <w:rPr>
          <w:color w:val="000000"/>
          <w:sz w:val="16"/>
          <w:szCs w:val="16"/>
        </w:rPr>
        <w:t>deliverables</w:t>
      </w:r>
      <w:proofErr w:type="spellEnd"/>
      <w:r w:rsidRPr="00041591">
        <w:rPr>
          <w:color w:val="000000"/>
          <w:sz w:val="16"/>
          <w:szCs w:val="16"/>
        </w:rPr>
        <w:t xml:space="preserve"> ,</w:t>
      </w:r>
      <w:proofErr w:type="spellStart"/>
      <w:r w:rsidRPr="00041591">
        <w:rPr>
          <w:color w:val="000000"/>
          <w:sz w:val="16"/>
          <w:szCs w:val="16"/>
        </w:rPr>
        <w:t>Joint</w:t>
      </w:r>
      <w:proofErr w:type="spellEnd"/>
      <w:r w:rsidRPr="00041591">
        <w:rPr>
          <w:color w:val="000000"/>
          <w:sz w:val="16"/>
          <w:szCs w:val="16"/>
        </w:rPr>
        <w:t xml:space="preserve"> Staff </w:t>
      </w:r>
      <w:proofErr w:type="spellStart"/>
      <w:r w:rsidRPr="00041591">
        <w:rPr>
          <w:color w:val="000000"/>
          <w:sz w:val="16"/>
          <w:szCs w:val="16"/>
        </w:rPr>
        <w:t>Working</w:t>
      </w:r>
      <w:proofErr w:type="spellEnd"/>
      <w:r w:rsidRPr="00041591">
        <w:rPr>
          <w:color w:val="000000"/>
          <w:sz w:val="16"/>
          <w:szCs w:val="16"/>
        </w:rPr>
        <w:t xml:space="preserve"> Document (2016)/ </w:t>
      </w:r>
      <w:hyperlink r:id="rId6" w:history="1">
        <w:r w:rsidRPr="00041591">
          <w:rPr>
            <w:rStyle w:val="a6"/>
            <w:color w:val="0000FF"/>
            <w:sz w:val="16"/>
            <w:szCs w:val="16"/>
          </w:rPr>
          <w:t>https://ec.europa.eu/neighbourhood-enlargement/sites/near/files/near-eeas_joint_swd_2016467_0.pdf</w:t>
        </w:r>
      </w:hyperlink>
      <w:r w:rsidRPr="00041591">
        <w:rPr>
          <w:color w:val="000000"/>
          <w:sz w:val="16"/>
          <w:szCs w:val="16"/>
        </w:rPr>
        <w:t xml:space="preserve"> </w:t>
      </w:r>
    </w:p>
  </w:footnote>
  <w:footnote w:id="9">
    <w:p w:rsidR="00FE2989" w:rsidRPr="00041591" w:rsidRDefault="00FE2989" w:rsidP="00FE2989">
      <w:pPr>
        <w:contextualSpacing/>
        <w:jc w:val="both"/>
        <w:rPr>
          <w:color w:val="000000"/>
          <w:sz w:val="16"/>
          <w:szCs w:val="16"/>
        </w:rPr>
      </w:pPr>
      <w:r w:rsidRPr="00041591">
        <w:rPr>
          <w:rStyle w:val="a9"/>
          <w:rFonts w:ascii="Times New Roman" w:hAnsi="Times New Roman" w:cs="Times New Roman"/>
          <w:sz w:val="16"/>
          <w:szCs w:val="16"/>
        </w:rPr>
        <w:footnoteRef/>
      </w:r>
      <w:r w:rsidRPr="00041591">
        <w:rPr>
          <w:color w:val="000000"/>
          <w:sz w:val="16"/>
          <w:szCs w:val="16"/>
        </w:rPr>
        <w:t xml:space="preserve"> </w:t>
      </w:r>
      <w:r w:rsidRPr="00041591">
        <w:rPr>
          <w:color w:val="000000"/>
          <w:sz w:val="16"/>
          <w:szCs w:val="16"/>
        </w:rPr>
        <w:t xml:space="preserve">Peer Review of </w:t>
      </w:r>
      <w:proofErr w:type="spellStart"/>
      <w:r w:rsidRPr="00041591">
        <w:rPr>
          <w:color w:val="000000"/>
          <w:sz w:val="16"/>
          <w:szCs w:val="16"/>
        </w:rPr>
        <w:t>the</w:t>
      </w:r>
      <w:proofErr w:type="spellEnd"/>
      <w:r w:rsidRPr="00041591">
        <w:rPr>
          <w:color w:val="000000"/>
          <w:sz w:val="16"/>
          <w:szCs w:val="16"/>
        </w:rPr>
        <w:t xml:space="preserve"> Moldovan </w:t>
      </w:r>
      <w:proofErr w:type="spellStart"/>
      <w:r w:rsidRPr="00041591">
        <w:rPr>
          <w:color w:val="000000"/>
          <w:sz w:val="16"/>
          <w:szCs w:val="16"/>
        </w:rPr>
        <w:t>Research</w:t>
      </w:r>
      <w:proofErr w:type="spellEnd"/>
      <w:r w:rsidRPr="00041591">
        <w:rPr>
          <w:color w:val="000000"/>
          <w:sz w:val="16"/>
          <w:szCs w:val="16"/>
        </w:rPr>
        <w:t xml:space="preserve"> </w:t>
      </w:r>
      <w:proofErr w:type="spellStart"/>
      <w:r w:rsidRPr="00041591">
        <w:rPr>
          <w:color w:val="000000"/>
          <w:sz w:val="16"/>
          <w:szCs w:val="16"/>
        </w:rPr>
        <w:t>and</w:t>
      </w:r>
      <w:proofErr w:type="spellEnd"/>
      <w:r w:rsidRPr="00041591">
        <w:rPr>
          <w:color w:val="000000"/>
          <w:sz w:val="16"/>
          <w:szCs w:val="16"/>
        </w:rPr>
        <w:t xml:space="preserve"> </w:t>
      </w:r>
      <w:proofErr w:type="spellStart"/>
      <w:r w:rsidRPr="00041591">
        <w:rPr>
          <w:color w:val="000000"/>
          <w:sz w:val="16"/>
          <w:szCs w:val="16"/>
        </w:rPr>
        <w:t>Innovation</w:t>
      </w:r>
      <w:proofErr w:type="spellEnd"/>
      <w:r w:rsidRPr="00041591">
        <w:rPr>
          <w:color w:val="000000"/>
          <w:sz w:val="16"/>
          <w:szCs w:val="16"/>
        </w:rPr>
        <w:t xml:space="preserve"> </w:t>
      </w:r>
      <w:proofErr w:type="spellStart"/>
      <w:r w:rsidRPr="00041591">
        <w:rPr>
          <w:color w:val="000000"/>
          <w:sz w:val="16"/>
          <w:szCs w:val="16"/>
        </w:rPr>
        <w:t>system</w:t>
      </w:r>
      <w:proofErr w:type="spellEnd"/>
      <w:r w:rsidRPr="00041591">
        <w:rPr>
          <w:color w:val="000000"/>
          <w:sz w:val="16"/>
          <w:szCs w:val="16"/>
        </w:rPr>
        <w:t xml:space="preserve">. </w:t>
      </w:r>
      <w:proofErr w:type="spellStart"/>
      <w:r w:rsidRPr="00041591">
        <w:rPr>
          <w:color w:val="000000"/>
          <w:sz w:val="16"/>
          <w:szCs w:val="16"/>
        </w:rPr>
        <w:t>Horizon</w:t>
      </w:r>
      <w:proofErr w:type="spellEnd"/>
      <w:r w:rsidRPr="00041591">
        <w:rPr>
          <w:color w:val="000000"/>
          <w:sz w:val="16"/>
          <w:szCs w:val="16"/>
        </w:rPr>
        <w:t xml:space="preserve"> 2020 </w:t>
      </w:r>
      <w:proofErr w:type="spellStart"/>
      <w:r w:rsidRPr="00041591">
        <w:rPr>
          <w:color w:val="000000"/>
          <w:sz w:val="16"/>
          <w:szCs w:val="16"/>
        </w:rPr>
        <w:t>Policy</w:t>
      </w:r>
      <w:proofErr w:type="spellEnd"/>
      <w:r w:rsidRPr="00041591">
        <w:rPr>
          <w:color w:val="000000"/>
          <w:sz w:val="16"/>
          <w:szCs w:val="16"/>
        </w:rPr>
        <w:t xml:space="preserve"> </w:t>
      </w:r>
      <w:proofErr w:type="spellStart"/>
      <w:r w:rsidRPr="00041591">
        <w:rPr>
          <w:color w:val="000000"/>
          <w:sz w:val="16"/>
          <w:szCs w:val="16"/>
        </w:rPr>
        <w:t>Support</w:t>
      </w:r>
      <w:proofErr w:type="spellEnd"/>
      <w:r w:rsidRPr="00041591">
        <w:rPr>
          <w:color w:val="000000"/>
          <w:sz w:val="16"/>
          <w:szCs w:val="16"/>
        </w:rPr>
        <w:t xml:space="preserve"> </w:t>
      </w:r>
      <w:proofErr w:type="spellStart"/>
      <w:r w:rsidRPr="00041591">
        <w:rPr>
          <w:color w:val="000000"/>
          <w:sz w:val="16"/>
          <w:szCs w:val="16"/>
        </w:rPr>
        <w:t>Facility</w:t>
      </w:r>
      <w:proofErr w:type="spellEnd"/>
      <w:r w:rsidRPr="00041591">
        <w:rPr>
          <w:color w:val="000000"/>
          <w:sz w:val="16"/>
          <w:szCs w:val="16"/>
        </w:rPr>
        <w:t>, 2016</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0C09A4"/>
    <w:multiLevelType w:val="hybridMultilevel"/>
    <w:tmpl w:val="938C0760"/>
    <w:lvl w:ilvl="0" w:tplc="39E45544">
      <w:start w:val="1"/>
      <w:numFmt w:val="decimal"/>
      <w:lvlText w:val="%1."/>
      <w:lvlJc w:val="left"/>
      <w:pPr>
        <w:ind w:left="720" w:hanging="360"/>
      </w:pPr>
      <w:rPr>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B76DF6"/>
    <w:multiLevelType w:val="multilevel"/>
    <w:tmpl w:val="BB8EB4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b/>
        <w:bCs/>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B555A9B"/>
    <w:multiLevelType w:val="hybridMultilevel"/>
    <w:tmpl w:val="6A76D166"/>
    <w:lvl w:ilvl="0" w:tplc="DDBC241E">
      <w:numFmt w:val="bullet"/>
      <w:lvlText w:val="-"/>
      <w:lvlJc w:val="left"/>
      <w:pPr>
        <w:ind w:left="546" w:hanging="286"/>
      </w:pPr>
      <w:rPr>
        <w:rFonts w:ascii="Times New Roman" w:eastAsia="Times New Roman" w:hAnsi="Times New Roman" w:cs="Times New Roman" w:hint="default"/>
        <w:w w:val="99"/>
        <w:sz w:val="24"/>
        <w:szCs w:val="24"/>
        <w:lang w:val="ro-RO" w:eastAsia="en-US" w:bidi="ar-SA"/>
      </w:rPr>
    </w:lvl>
    <w:lvl w:ilvl="1" w:tplc="02B66E9E">
      <w:numFmt w:val="bullet"/>
      <w:lvlText w:val="-"/>
      <w:lvlJc w:val="left"/>
      <w:pPr>
        <w:ind w:left="118" w:hanging="144"/>
      </w:pPr>
      <w:rPr>
        <w:rFonts w:ascii="Times New Roman" w:eastAsia="Times New Roman" w:hAnsi="Times New Roman" w:cs="Times New Roman" w:hint="default"/>
        <w:w w:val="99"/>
        <w:sz w:val="24"/>
        <w:szCs w:val="24"/>
        <w:lang w:val="ro-RO" w:eastAsia="en-US" w:bidi="ar-SA"/>
      </w:rPr>
    </w:lvl>
    <w:lvl w:ilvl="2" w:tplc="462EC8B2">
      <w:numFmt w:val="bullet"/>
      <w:lvlText w:val="•"/>
      <w:lvlJc w:val="left"/>
      <w:pPr>
        <w:ind w:left="1542" w:hanging="144"/>
      </w:pPr>
      <w:rPr>
        <w:rFonts w:hint="default"/>
        <w:lang w:val="ro-RO" w:eastAsia="en-US" w:bidi="ar-SA"/>
      </w:rPr>
    </w:lvl>
    <w:lvl w:ilvl="3" w:tplc="0952EF40">
      <w:numFmt w:val="bullet"/>
      <w:lvlText w:val="•"/>
      <w:lvlJc w:val="left"/>
      <w:pPr>
        <w:ind w:left="2545" w:hanging="144"/>
      </w:pPr>
      <w:rPr>
        <w:rFonts w:hint="default"/>
        <w:lang w:val="ro-RO" w:eastAsia="en-US" w:bidi="ar-SA"/>
      </w:rPr>
    </w:lvl>
    <w:lvl w:ilvl="4" w:tplc="F78E9CC2">
      <w:numFmt w:val="bullet"/>
      <w:lvlText w:val="•"/>
      <w:lvlJc w:val="left"/>
      <w:pPr>
        <w:ind w:left="3548" w:hanging="144"/>
      </w:pPr>
      <w:rPr>
        <w:rFonts w:hint="default"/>
        <w:lang w:val="ro-RO" w:eastAsia="en-US" w:bidi="ar-SA"/>
      </w:rPr>
    </w:lvl>
    <w:lvl w:ilvl="5" w:tplc="621685A0">
      <w:numFmt w:val="bullet"/>
      <w:lvlText w:val="•"/>
      <w:lvlJc w:val="left"/>
      <w:pPr>
        <w:ind w:left="4551" w:hanging="144"/>
      </w:pPr>
      <w:rPr>
        <w:rFonts w:hint="default"/>
        <w:lang w:val="ro-RO" w:eastAsia="en-US" w:bidi="ar-SA"/>
      </w:rPr>
    </w:lvl>
    <w:lvl w:ilvl="6" w:tplc="CB109ABE">
      <w:numFmt w:val="bullet"/>
      <w:lvlText w:val="•"/>
      <w:lvlJc w:val="left"/>
      <w:pPr>
        <w:ind w:left="5554" w:hanging="144"/>
      </w:pPr>
      <w:rPr>
        <w:rFonts w:hint="default"/>
        <w:lang w:val="ro-RO" w:eastAsia="en-US" w:bidi="ar-SA"/>
      </w:rPr>
    </w:lvl>
    <w:lvl w:ilvl="7" w:tplc="17AA52EE">
      <w:numFmt w:val="bullet"/>
      <w:lvlText w:val="•"/>
      <w:lvlJc w:val="left"/>
      <w:pPr>
        <w:ind w:left="6557" w:hanging="144"/>
      </w:pPr>
      <w:rPr>
        <w:rFonts w:hint="default"/>
        <w:lang w:val="ro-RO" w:eastAsia="en-US" w:bidi="ar-SA"/>
      </w:rPr>
    </w:lvl>
    <w:lvl w:ilvl="8" w:tplc="F48EA934">
      <w:numFmt w:val="bullet"/>
      <w:lvlText w:val="•"/>
      <w:lvlJc w:val="left"/>
      <w:pPr>
        <w:ind w:left="7560" w:hanging="144"/>
      </w:pPr>
      <w:rPr>
        <w:rFonts w:hint="default"/>
        <w:lang w:val="ro-RO" w:eastAsia="en-US" w:bidi="ar-SA"/>
      </w:rPr>
    </w:lvl>
  </w:abstractNum>
  <w:abstractNum w:abstractNumId="3">
    <w:nsid w:val="11E7102E"/>
    <w:multiLevelType w:val="hybridMultilevel"/>
    <w:tmpl w:val="E604A442"/>
    <w:lvl w:ilvl="0" w:tplc="DDBC241E">
      <w:numFmt w:val="bullet"/>
      <w:lvlText w:val="-"/>
      <w:lvlJc w:val="left"/>
      <w:pPr>
        <w:ind w:left="720" w:hanging="360"/>
      </w:pPr>
      <w:rPr>
        <w:rFonts w:ascii="Times New Roman" w:eastAsia="Times New Roman" w:hAnsi="Times New Roman" w:cs="Times New Roman" w:hint="default"/>
        <w:w w:val="99"/>
        <w:sz w:val="24"/>
        <w:szCs w:val="24"/>
        <w:lang w:val="ro-RO" w:eastAsia="en-US" w:bidi="ar-SA"/>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174E327C"/>
    <w:multiLevelType w:val="hybridMultilevel"/>
    <w:tmpl w:val="1514084E"/>
    <w:lvl w:ilvl="0" w:tplc="DB98E2FC">
      <w:numFmt w:val="bullet"/>
      <w:lvlText w:val="-"/>
      <w:lvlJc w:val="left"/>
      <w:pPr>
        <w:ind w:left="546" w:hanging="286"/>
      </w:pPr>
      <w:rPr>
        <w:rFonts w:ascii="Times New Roman" w:eastAsia="Times New Roman" w:hAnsi="Times New Roman" w:cs="Times New Roman" w:hint="default"/>
        <w:w w:val="99"/>
        <w:sz w:val="24"/>
        <w:szCs w:val="24"/>
        <w:lang w:val="ro-RO" w:eastAsia="en-US" w:bidi="ar-SA"/>
      </w:rPr>
    </w:lvl>
    <w:lvl w:ilvl="1" w:tplc="8D662DCC">
      <w:numFmt w:val="bullet"/>
      <w:lvlText w:val="•"/>
      <w:lvlJc w:val="left"/>
      <w:pPr>
        <w:ind w:left="1442" w:hanging="286"/>
      </w:pPr>
      <w:rPr>
        <w:rFonts w:hint="default"/>
        <w:lang w:val="ro-RO" w:eastAsia="en-US" w:bidi="ar-SA"/>
      </w:rPr>
    </w:lvl>
    <w:lvl w:ilvl="2" w:tplc="72327E6E">
      <w:numFmt w:val="bullet"/>
      <w:lvlText w:val="•"/>
      <w:lvlJc w:val="left"/>
      <w:pPr>
        <w:ind w:left="2345" w:hanging="286"/>
      </w:pPr>
      <w:rPr>
        <w:rFonts w:hint="default"/>
        <w:lang w:val="ro-RO" w:eastAsia="en-US" w:bidi="ar-SA"/>
      </w:rPr>
    </w:lvl>
    <w:lvl w:ilvl="3" w:tplc="BDA60DBE">
      <w:numFmt w:val="bullet"/>
      <w:lvlText w:val="•"/>
      <w:lvlJc w:val="left"/>
      <w:pPr>
        <w:ind w:left="3247" w:hanging="286"/>
      </w:pPr>
      <w:rPr>
        <w:rFonts w:hint="default"/>
        <w:lang w:val="ro-RO" w:eastAsia="en-US" w:bidi="ar-SA"/>
      </w:rPr>
    </w:lvl>
    <w:lvl w:ilvl="4" w:tplc="7E04C0EC">
      <w:numFmt w:val="bullet"/>
      <w:lvlText w:val="•"/>
      <w:lvlJc w:val="left"/>
      <w:pPr>
        <w:ind w:left="4150" w:hanging="286"/>
      </w:pPr>
      <w:rPr>
        <w:rFonts w:hint="default"/>
        <w:lang w:val="ro-RO" w:eastAsia="en-US" w:bidi="ar-SA"/>
      </w:rPr>
    </w:lvl>
    <w:lvl w:ilvl="5" w:tplc="A2566DDA">
      <w:numFmt w:val="bullet"/>
      <w:lvlText w:val="•"/>
      <w:lvlJc w:val="left"/>
      <w:pPr>
        <w:ind w:left="5053" w:hanging="286"/>
      </w:pPr>
      <w:rPr>
        <w:rFonts w:hint="default"/>
        <w:lang w:val="ro-RO" w:eastAsia="en-US" w:bidi="ar-SA"/>
      </w:rPr>
    </w:lvl>
    <w:lvl w:ilvl="6" w:tplc="9B5C9E08">
      <w:numFmt w:val="bullet"/>
      <w:lvlText w:val="•"/>
      <w:lvlJc w:val="left"/>
      <w:pPr>
        <w:ind w:left="5955" w:hanging="286"/>
      </w:pPr>
      <w:rPr>
        <w:rFonts w:hint="default"/>
        <w:lang w:val="ro-RO" w:eastAsia="en-US" w:bidi="ar-SA"/>
      </w:rPr>
    </w:lvl>
    <w:lvl w:ilvl="7" w:tplc="44EC81D4">
      <w:numFmt w:val="bullet"/>
      <w:lvlText w:val="•"/>
      <w:lvlJc w:val="left"/>
      <w:pPr>
        <w:ind w:left="6858" w:hanging="286"/>
      </w:pPr>
      <w:rPr>
        <w:rFonts w:hint="default"/>
        <w:lang w:val="ro-RO" w:eastAsia="en-US" w:bidi="ar-SA"/>
      </w:rPr>
    </w:lvl>
    <w:lvl w:ilvl="8" w:tplc="1094494E">
      <w:numFmt w:val="bullet"/>
      <w:lvlText w:val="•"/>
      <w:lvlJc w:val="left"/>
      <w:pPr>
        <w:ind w:left="7761" w:hanging="286"/>
      </w:pPr>
      <w:rPr>
        <w:rFonts w:hint="default"/>
        <w:lang w:val="ro-RO" w:eastAsia="en-US" w:bidi="ar-SA"/>
      </w:rPr>
    </w:lvl>
  </w:abstractNum>
  <w:abstractNum w:abstractNumId="5">
    <w:nsid w:val="231E5CB5"/>
    <w:multiLevelType w:val="multilevel"/>
    <w:tmpl w:val="BB8EB4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b/>
        <w:bCs/>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2B4C3A61"/>
    <w:multiLevelType w:val="hybridMultilevel"/>
    <w:tmpl w:val="C46AD26C"/>
    <w:lvl w:ilvl="0" w:tplc="FB1285D4">
      <w:numFmt w:val="bullet"/>
      <w:lvlText w:val="-"/>
      <w:lvlJc w:val="left"/>
      <w:pPr>
        <w:ind w:left="546" w:hanging="286"/>
      </w:pPr>
      <w:rPr>
        <w:rFonts w:ascii="Times New Roman" w:eastAsia="Times New Roman" w:hAnsi="Times New Roman" w:cs="Times New Roman" w:hint="default"/>
        <w:w w:val="99"/>
        <w:sz w:val="24"/>
        <w:szCs w:val="24"/>
        <w:lang w:val="ro-RO" w:eastAsia="en-US" w:bidi="ar-SA"/>
      </w:rPr>
    </w:lvl>
    <w:lvl w:ilvl="1" w:tplc="8C366B96">
      <w:numFmt w:val="bullet"/>
      <w:lvlText w:val="•"/>
      <w:lvlJc w:val="left"/>
      <w:pPr>
        <w:ind w:left="1442" w:hanging="286"/>
      </w:pPr>
      <w:rPr>
        <w:rFonts w:hint="default"/>
        <w:lang w:val="ro-RO" w:eastAsia="en-US" w:bidi="ar-SA"/>
      </w:rPr>
    </w:lvl>
    <w:lvl w:ilvl="2" w:tplc="E154FF30">
      <w:numFmt w:val="bullet"/>
      <w:lvlText w:val="•"/>
      <w:lvlJc w:val="left"/>
      <w:pPr>
        <w:ind w:left="2345" w:hanging="286"/>
      </w:pPr>
      <w:rPr>
        <w:rFonts w:hint="default"/>
        <w:lang w:val="ro-RO" w:eastAsia="en-US" w:bidi="ar-SA"/>
      </w:rPr>
    </w:lvl>
    <w:lvl w:ilvl="3" w:tplc="727C8D10">
      <w:numFmt w:val="bullet"/>
      <w:lvlText w:val="•"/>
      <w:lvlJc w:val="left"/>
      <w:pPr>
        <w:ind w:left="3247" w:hanging="286"/>
      </w:pPr>
      <w:rPr>
        <w:rFonts w:hint="default"/>
        <w:lang w:val="ro-RO" w:eastAsia="en-US" w:bidi="ar-SA"/>
      </w:rPr>
    </w:lvl>
    <w:lvl w:ilvl="4" w:tplc="0FD0077E">
      <w:numFmt w:val="bullet"/>
      <w:lvlText w:val="•"/>
      <w:lvlJc w:val="left"/>
      <w:pPr>
        <w:ind w:left="4150" w:hanging="286"/>
      </w:pPr>
      <w:rPr>
        <w:rFonts w:hint="default"/>
        <w:lang w:val="ro-RO" w:eastAsia="en-US" w:bidi="ar-SA"/>
      </w:rPr>
    </w:lvl>
    <w:lvl w:ilvl="5" w:tplc="E172858A">
      <w:numFmt w:val="bullet"/>
      <w:lvlText w:val="•"/>
      <w:lvlJc w:val="left"/>
      <w:pPr>
        <w:ind w:left="5053" w:hanging="286"/>
      </w:pPr>
      <w:rPr>
        <w:rFonts w:hint="default"/>
        <w:lang w:val="ro-RO" w:eastAsia="en-US" w:bidi="ar-SA"/>
      </w:rPr>
    </w:lvl>
    <w:lvl w:ilvl="6" w:tplc="6950987E">
      <w:numFmt w:val="bullet"/>
      <w:lvlText w:val="•"/>
      <w:lvlJc w:val="left"/>
      <w:pPr>
        <w:ind w:left="5955" w:hanging="286"/>
      </w:pPr>
      <w:rPr>
        <w:rFonts w:hint="default"/>
        <w:lang w:val="ro-RO" w:eastAsia="en-US" w:bidi="ar-SA"/>
      </w:rPr>
    </w:lvl>
    <w:lvl w:ilvl="7" w:tplc="841CB9A8">
      <w:numFmt w:val="bullet"/>
      <w:lvlText w:val="•"/>
      <w:lvlJc w:val="left"/>
      <w:pPr>
        <w:ind w:left="6858" w:hanging="286"/>
      </w:pPr>
      <w:rPr>
        <w:rFonts w:hint="default"/>
        <w:lang w:val="ro-RO" w:eastAsia="en-US" w:bidi="ar-SA"/>
      </w:rPr>
    </w:lvl>
    <w:lvl w:ilvl="8" w:tplc="F89861B8">
      <w:numFmt w:val="bullet"/>
      <w:lvlText w:val="•"/>
      <w:lvlJc w:val="left"/>
      <w:pPr>
        <w:ind w:left="7761" w:hanging="286"/>
      </w:pPr>
      <w:rPr>
        <w:rFonts w:hint="default"/>
        <w:lang w:val="ro-RO" w:eastAsia="en-US" w:bidi="ar-SA"/>
      </w:rPr>
    </w:lvl>
  </w:abstractNum>
  <w:abstractNum w:abstractNumId="7">
    <w:nsid w:val="2B5E79FD"/>
    <w:multiLevelType w:val="hybridMultilevel"/>
    <w:tmpl w:val="560ED6A0"/>
    <w:lvl w:ilvl="0" w:tplc="9364D36E">
      <w:start w:val="1"/>
      <w:numFmt w:val="bullet"/>
      <w:lvlText w:val="-"/>
      <w:lvlJc w:val="left"/>
      <w:pPr>
        <w:ind w:left="1170" w:hanging="360"/>
      </w:pPr>
      <w:rPr>
        <w:rFonts w:ascii="Calibri" w:eastAsiaTheme="minorHAnsi" w:hAnsi="Calibri" w:cs="Calibri" w:hint="default"/>
      </w:rPr>
    </w:lvl>
    <w:lvl w:ilvl="1" w:tplc="04090003">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8">
    <w:nsid w:val="2E093889"/>
    <w:multiLevelType w:val="hybridMultilevel"/>
    <w:tmpl w:val="3C3E6998"/>
    <w:lvl w:ilvl="0" w:tplc="DDBC241E">
      <w:numFmt w:val="bullet"/>
      <w:lvlText w:val="-"/>
      <w:lvlJc w:val="left"/>
      <w:pPr>
        <w:ind w:left="1265" w:hanging="360"/>
      </w:pPr>
      <w:rPr>
        <w:rFonts w:ascii="Times New Roman" w:eastAsia="Times New Roman" w:hAnsi="Times New Roman" w:cs="Times New Roman" w:hint="default"/>
        <w:w w:val="99"/>
        <w:sz w:val="24"/>
        <w:szCs w:val="24"/>
        <w:lang w:val="ro-RO" w:eastAsia="en-US" w:bidi="ar-SA"/>
      </w:rPr>
    </w:lvl>
    <w:lvl w:ilvl="1" w:tplc="04090003" w:tentative="1">
      <w:start w:val="1"/>
      <w:numFmt w:val="bullet"/>
      <w:lvlText w:val="o"/>
      <w:lvlJc w:val="left"/>
      <w:pPr>
        <w:ind w:left="1985" w:hanging="360"/>
      </w:pPr>
      <w:rPr>
        <w:rFonts w:ascii="Courier New" w:hAnsi="Courier New" w:cs="Courier New" w:hint="default"/>
      </w:rPr>
    </w:lvl>
    <w:lvl w:ilvl="2" w:tplc="04090005" w:tentative="1">
      <w:start w:val="1"/>
      <w:numFmt w:val="bullet"/>
      <w:lvlText w:val=""/>
      <w:lvlJc w:val="left"/>
      <w:pPr>
        <w:ind w:left="2705" w:hanging="360"/>
      </w:pPr>
      <w:rPr>
        <w:rFonts w:ascii="Wingdings" w:hAnsi="Wingdings" w:hint="default"/>
      </w:rPr>
    </w:lvl>
    <w:lvl w:ilvl="3" w:tplc="04090001" w:tentative="1">
      <w:start w:val="1"/>
      <w:numFmt w:val="bullet"/>
      <w:lvlText w:val=""/>
      <w:lvlJc w:val="left"/>
      <w:pPr>
        <w:ind w:left="3425" w:hanging="360"/>
      </w:pPr>
      <w:rPr>
        <w:rFonts w:ascii="Symbol" w:hAnsi="Symbol" w:hint="default"/>
      </w:rPr>
    </w:lvl>
    <w:lvl w:ilvl="4" w:tplc="04090003" w:tentative="1">
      <w:start w:val="1"/>
      <w:numFmt w:val="bullet"/>
      <w:lvlText w:val="o"/>
      <w:lvlJc w:val="left"/>
      <w:pPr>
        <w:ind w:left="4145" w:hanging="360"/>
      </w:pPr>
      <w:rPr>
        <w:rFonts w:ascii="Courier New" w:hAnsi="Courier New" w:cs="Courier New" w:hint="default"/>
      </w:rPr>
    </w:lvl>
    <w:lvl w:ilvl="5" w:tplc="04090005" w:tentative="1">
      <w:start w:val="1"/>
      <w:numFmt w:val="bullet"/>
      <w:lvlText w:val=""/>
      <w:lvlJc w:val="left"/>
      <w:pPr>
        <w:ind w:left="4865" w:hanging="360"/>
      </w:pPr>
      <w:rPr>
        <w:rFonts w:ascii="Wingdings" w:hAnsi="Wingdings" w:hint="default"/>
      </w:rPr>
    </w:lvl>
    <w:lvl w:ilvl="6" w:tplc="04090001" w:tentative="1">
      <w:start w:val="1"/>
      <w:numFmt w:val="bullet"/>
      <w:lvlText w:val=""/>
      <w:lvlJc w:val="left"/>
      <w:pPr>
        <w:ind w:left="5585" w:hanging="360"/>
      </w:pPr>
      <w:rPr>
        <w:rFonts w:ascii="Symbol" w:hAnsi="Symbol" w:hint="default"/>
      </w:rPr>
    </w:lvl>
    <w:lvl w:ilvl="7" w:tplc="04090003" w:tentative="1">
      <w:start w:val="1"/>
      <w:numFmt w:val="bullet"/>
      <w:lvlText w:val="o"/>
      <w:lvlJc w:val="left"/>
      <w:pPr>
        <w:ind w:left="6305" w:hanging="360"/>
      </w:pPr>
      <w:rPr>
        <w:rFonts w:ascii="Courier New" w:hAnsi="Courier New" w:cs="Courier New" w:hint="default"/>
      </w:rPr>
    </w:lvl>
    <w:lvl w:ilvl="8" w:tplc="04090005" w:tentative="1">
      <w:start w:val="1"/>
      <w:numFmt w:val="bullet"/>
      <w:lvlText w:val=""/>
      <w:lvlJc w:val="left"/>
      <w:pPr>
        <w:ind w:left="7025" w:hanging="360"/>
      </w:pPr>
      <w:rPr>
        <w:rFonts w:ascii="Wingdings" w:hAnsi="Wingdings" w:hint="default"/>
      </w:rPr>
    </w:lvl>
  </w:abstractNum>
  <w:abstractNum w:abstractNumId="9">
    <w:nsid w:val="2F713104"/>
    <w:multiLevelType w:val="multilevel"/>
    <w:tmpl w:val="55EA6B22"/>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b/>
        <w:bCs/>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349276EB"/>
    <w:multiLevelType w:val="hybridMultilevel"/>
    <w:tmpl w:val="BB4024E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356B7756"/>
    <w:multiLevelType w:val="hybridMultilevel"/>
    <w:tmpl w:val="141AB0F0"/>
    <w:lvl w:ilvl="0" w:tplc="579C6BD2">
      <w:start w:val="1"/>
      <w:numFmt w:val="bullet"/>
      <w:lvlText w:val=""/>
      <w:lvlJc w:val="left"/>
      <w:pPr>
        <w:ind w:left="720" w:hanging="360"/>
      </w:pPr>
      <w:rPr>
        <w:rFonts w:ascii="Symbol" w:hAnsi="Symbol"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384908FE"/>
    <w:multiLevelType w:val="hybridMultilevel"/>
    <w:tmpl w:val="788C27BA"/>
    <w:lvl w:ilvl="0" w:tplc="0A604E22">
      <w:start w:val="5"/>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A187397"/>
    <w:multiLevelType w:val="multilevel"/>
    <w:tmpl w:val="BB8EB4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b/>
        <w:bCs/>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4697452E"/>
    <w:multiLevelType w:val="multilevel"/>
    <w:tmpl w:val="BB8EB4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b/>
        <w:bCs/>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4CB44E5A"/>
    <w:multiLevelType w:val="multilevel"/>
    <w:tmpl w:val="533EFBD6"/>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5"/>
      <w:numFmt w:val="bullet"/>
      <w:lvlText w:val="-"/>
      <w:lvlJc w:val="left"/>
      <w:pPr>
        <w:ind w:left="3240" w:hanging="360"/>
      </w:pPr>
      <w:rPr>
        <w:rFonts w:ascii="Arial" w:eastAsia="Arial" w:hAnsi="Arial" w:cs="Arial" w:hint="default"/>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6">
    <w:nsid w:val="51364663"/>
    <w:multiLevelType w:val="hybridMultilevel"/>
    <w:tmpl w:val="9E64ED50"/>
    <w:lvl w:ilvl="0" w:tplc="9364D36E">
      <w:start w:val="1"/>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nsid w:val="56011E06"/>
    <w:multiLevelType w:val="hybridMultilevel"/>
    <w:tmpl w:val="10DE8B8C"/>
    <w:lvl w:ilvl="0" w:tplc="F872F942">
      <w:numFmt w:val="bullet"/>
      <w:lvlText w:val="-"/>
      <w:lvlJc w:val="left"/>
      <w:pPr>
        <w:ind w:left="546" w:hanging="286"/>
      </w:pPr>
      <w:rPr>
        <w:rFonts w:hint="default"/>
        <w:b/>
        <w:bCs/>
        <w:w w:val="100"/>
        <w:lang w:val="ro-RO" w:eastAsia="en-US" w:bidi="ar-SA"/>
      </w:rPr>
    </w:lvl>
    <w:lvl w:ilvl="1" w:tplc="256CE5FE">
      <w:numFmt w:val="bullet"/>
      <w:lvlText w:val="•"/>
      <w:lvlJc w:val="left"/>
      <w:pPr>
        <w:ind w:left="1442" w:hanging="286"/>
      </w:pPr>
      <w:rPr>
        <w:rFonts w:hint="default"/>
        <w:lang w:val="ro-RO" w:eastAsia="en-US" w:bidi="ar-SA"/>
      </w:rPr>
    </w:lvl>
    <w:lvl w:ilvl="2" w:tplc="D3F85E48">
      <w:numFmt w:val="bullet"/>
      <w:lvlText w:val="•"/>
      <w:lvlJc w:val="left"/>
      <w:pPr>
        <w:ind w:left="2345" w:hanging="286"/>
      </w:pPr>
      <w:rPr>
        <w:rFonts w:hint="default"/>
        <w:lang w:val="ro-RO" w:eastAsia="en-US" w:bidi="ar-SA"/>
      </w:rPr>
    </w:lvl>
    <w:lvl w:ilvl="3" w:tplc="88AC9C86">
      <w:numFmt w:val="bullet"/>
      <w:lvlText w:val="•"/>
      <w:lvlJc w:val="left"/>
      <w:pPr>
        <w:ind w:left="3247" w:hanging="286"/>
      </w:pPr>
      <w:rPr>
        <w:rFonts w:hint="default"/>
        <w:lang w:val="ro-RO" w:eastAsia="en-US" w:bidi="ar-SA"/>
      </w:rPr>
    </w:lvl>
    <w:lvl w:ilvl="4" w:tplc="26141098">
      <w:numFmt w:val="bullet"/>
      <w:lvlText w:val="•"/>
      <w:lvlJc w:val="left"/>
      <w:pPr>
        <w:ind w:left="4150" w:hanging="286"/>
      </w:pPr>
      <w:rPr>
        <w:rFonts w:hint="default"/>
        <w:lang w:val="ro-RO" w:eastAsia="en-US" w:bidi="ar-SA"/>
      </w:rPr>
    </w:lvl>
    <w:lvl w:ilvl="5" w:tplc="F4CCC1B8">
      <w:numFmt w:val="bullet"/>
      <w:lvlText w:val="•"/>
      <w:lvlJc w:val="left"/>
      <w:pPr>
        <w:ind w:left="5053" w:hanging="286"/>
      </w:pPr>
      <w:rPr>
        <w:rFonts w:hint="default"/>
        <w:lang w:val="ro-RO" w:eastAsia="en-US" w:bidi="ar-SA"/>
      </w:rPr>
    </w:lvl>
    <w:lvl w:ilvl="6" w:tplc="4E462FB2">
      <w:numFmt w:val="bullet"/>
      <w:lvlText w:val="•"/>
      <w:lvlJc w:val="left"/>
      <w:pPr>
        <w:ind w:left="5955" w:hanging="286"/>
      </w:pPr>
      <w:rPr>
        <w:rFonts w:hint="default"/>
        <w:lang w:val="ro-RO" w:eastAsia="en-US" w:bidi="ar-SA"/>
      </w:rPr>
    </w:lvl>
    <w:lvl w:ilvl="7" w:tplc="20F242A0">
      <w:numFmt w:val="bullet"/>
      <w:lvlText w:val="•"/>
      <w:lvlJc w:val="left"/>
      <w:pPr>
        <w:ind w:left="6858" w:hanging="286"/>
      </w:pPr>
      <w:rPr>
        <w:rFonts w:hint="default"/>
        <w:lang w:val="ro-RO" w:eastAsia="en-US" w:bidi="ar-SA"/>
      </w:rPr>
    </w:lvl>
    <w:lvl w:ilvl="8" w:tplc="5A086306">
      <w:numFmt w:val="bullet"/>
      <w:lvlText w:val="•"/>
      <w:lvlJc w:val="left"/>
      <w:pPr>
        <w:ind w:left="7761" w:hanging="286"/>
      </w:pPr>
      <w:rPr>
        <w:rFonts w:hint="default"/>
        <w:lang w:val="ro-RO" w:eastAsia="en-US" w:bidi="ar-SA"/>
      </w:rPr>
    </w:lvl>
  </w:abstractNum>
  <w:abstractNum w:abstractNumId="18">
    <w:nsid w:val="5B970582"/>
    <w:multiLevelType w:val="hybridMultilevel"/>
    <w:tmpl w:val="0DFA7D46"/>
    <w:lvl w:ilvl="0" w:tplc="4938613A">
      <w:start w:val="1"/>
      <w:numFmt w:val="decimal"/>
      <w:lvlText w:val="%1)"/>
      <w:lvlJc w:val="left"/>
      <w:pPr>
        <w:ind w:left="546" w:hanging="360"/>
      </w:pPr>
      <w:rPr>
        <w:rFonts w:ascii="Times New Roman" w:eastAsia="Times New Roman" w:hAnsi="Times New Roman" w:cs="Times New Roman" w:hint="default"/>
        <w:b/>
        <w:bCs/>
        <w:w w:val="99"/>
        <w:sz w:val="24"/>
        <w:szCs w:val="24"/>
        <w:lang w:val="ro-RO" w:eastAsia="en-US" w:bidi="ar-SA"/>
      </w:rPr>
    </w:lvl>
    <w:lvl w:ilvl="1" w:tplc="89089E44">
      <w:start w:val="1"/>
      <w:numFmt w:val="lowerLetter"/>
      <w:lvlText w:val="%2)"/>
      <w:lvlJc w:val="left"/>
      <w:pPr>
        <w:ind w:left="546" w:hanging="286"/>
      </w:pPr>
      <w:rPr>
        <w:rFonts w:ascii="Times New Roman" w:eastAsia="Times New Roman" w:hAnsi="Times New Roman" w:cs="Times New Roman" w:hint="default"/>
        <w:spacing w:val="-1"/>
        <w:w w:val="99"/>
        <w:sz w:val="24"/>
        <w:szCs w:val="24"/>
        <w:lang w:val="ro-RO" w:eastAsia="en-US" w:bidi="ar-SA"/>
      </w:rPr>
    </w:lvl>
    <w:lvl w:ilvl="2" w:tplc="2230F0BE">
      <w:start w:val="1"/>
      <w:numFmt w:val="decimal"/>
      <w:lvlText w:val="%3)"/>
      <w:lvlJc w:val="left"/>
      <w:pPr>
        <w:ind w:left="118" w:hanging="283"/>
      </w:pPr>
      <w:rPr>
        <w:rFonts w:ascii="Times New Roman" w:eastAsia="Times New Roman" w:hAnsi="Times New Roman" w:cs="Times New Roman" w:hint="default"/>
        <w:w w:val="99"/>
        <w:sz w:val="24"/>
        <w:szCs w:val="24"/>
        <w:lang w:val="ro-RO" w:eastAsia="en-US" w:bidi="ar-SA"/>
      </w:rPr>
    </w:lvl>
    <w:lvl w:ilvl="3" w:tplc="53F8D57E">
      <w:numFmt w:val="bullet"/>
      <w:lvlText w:val="•"/>
      <w:lvlJc w:val="left"/>
      <w:pPr>
        <w:ind w:left="2545" w:hanging="283"/>
      </w:pPr>
      <w:rPr>
        <w:rFonts w:hint="default"/>
        <w:lang w:val="ro-RO" w:eastAsia="en-US" w:bidi="ar-SA"/>
      </w:rPr>
    </w:lvl>
    <w:lvl w:ilvl="4" w:tplc="C4E8795C">
      <w:numFmt w:val="bullet"/>
      <w:lvlText w:val="•"/>
      <w:lvlJc w:val="left"/>
      <w:pPr>
        <w:ind w:left="3548" w:hanging="283"/>
      </w:pPr>
      <w:rPr>
        <w:rFonts w:hint="default"/>
        <w:lang w:val="ro-RO" w:eastAsia="en-US" w:bidi="ar-SA"/>
      </w:rPr>
    </w:lvl>
    <w:lvl w:ilvl="5" w:tplc="4DE00B56">
      <w:numFmt w:val="bullet"/>
      <w:lvlText w:val="•"/>
      <w:lvlJc w:val="left"/>
      <w:pPr>
        <w:ind w:left="4551" w:hanging="283"/>
      </w:pPr>
      <w:rPr>
        <w:rFonts w:hint="default"/>
        <w:lang w:val="ro-RO" w:eastAsia="en-US" w:bidi="ar-SA"/>
      </w:rPr>
    </w:lvl>
    <w:lvl w:ilvl="6" w:tplc="1FAA163A">
      <w:numFmt w:val="bullet"/>
      <w:lvlText w:val="•"/>
      <w:lvlJc w:val="left"/>
      <w:pPr>
        <w:ind w:left="5554" w:hanging="283"/>
      </w:pPr>
      <w:rPr>
        <w:rFonts w:hint="default"/>
        <w:lang w:val="ro-RO" w:eastAsia="en-US" w:bidi="ar-SA"/>
      </w:rPr>
    </w:lvl>
    <w:lvl w:ilvl="7" w:tplc="19B2FF78">
      <w:numFmt w:val="bullet"/>
      <w:lvlText w:val="•"/>
      <w:lvlJc w:val="left"/>
      <w:pPr>
        <w:ind w:left="6557" w:hanging="283"/>
      </w:pPr>
      <w:rPr>
        <w:rFonts w:hint="default"/>
        <w:lang w:val="ro-RO" w:eastAsia="en-US" w:bidi="ar-SA"/>
      </w:rPr>
    </w:lvl>
    <w:lvl w:ilvl="8" w:tplc="43C89B6E">
      <w:numFmt w:val="bullet"/>
      <w:lvlText w:val="•"/>
      <w:lvlJc w:val="left"/>
      <w:pPr>
        <w:ind w:left="7560" w:hanging="283"/>
      </w:pPr>
      <w:rPr>
        <w:rFonts w:hint="default"/>
        <w:lang w:val="ro-RO" w:eastAsia="en-US" w:bidi="ar-SA"/>
      </w:rPr>
    </w:lvl>
  </w:abstractNum>
  <w:abstractNum w:abstractNumId="19">
    <w:nsid w:val="735C6BC2"/>
    <w:multiLevelType w:val="hybridMultilevel"/>
    <w:tmpl w:val="8B3629EC"/>
    <w:lvl w:ilvl="0" w:tplc="9364D36E">
      <w:start w:val="1"/>
      <w:numFmt w:val="bullet"/>
      <w:lvlText w:val="-"/>
      <w:lvlJc w:val="left"/>
      <w:pPr>
        <w:ind w:left="1170" w:hanging="360"/>
      </w:pPr>
      <w:rPr>
        <w:rFonts w:ascii="Calibri" w:eastAsiaTheme="minorHAnsi" w:hAnsi="Calibri" w:cs="Calibri" w:hint="default"/>
      </w:rPr>
    </w:lvl>
    <w:lvl w:ilvl="1" w:tplc="9364D36E">
      <w:start w:val="1"/>
      <w:numFmt w:val="bullet"/>
      <w:lvlText w:val="-"/>
      <w:lvlJc w:val="left"/>
      <w:pPr>
        <w:ind w:left="1890" w:hanging="360"/>
      </w:pPr>
      <w:rPr>
        <w:rFonts w:ascii="Calibri" w:eastAsiaTheme="minorHAnsi" w:hAnsi="Calibri" w:cs="Calibri"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0">
    <w:nsid w:val="784A7CBA"/>
    <w:multiLevelType w:val="hybridMultilevel"/>
    <w:tmpl w:val="6BB8F45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17"/>
  </w:num>
  <w:num w:numId="3">
    <w:abstractNumId w:val="6"/>
  </w:num>
  <w:num w:numId="4">
    <w:abstractNumId w:val="4"/>
  </w:num>
  <w:num w:numId="5">
    <w:abstractNumId w:val="18"/>
  </w:num>
  <w:num w:numId="6">
    <w:abstractNumId w:val="11"/>
  </w:num>
  <w:num w:numId="7">
    <w:abstractNumId w:val="16"/>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10"/>
  </w:num>
  <w:num w:numId="11">
    <w:abstractNumId w:val="8"/>
  </w:num>
  <w:num w:numId="12">
    <w:abstractNumId w:val="15"/>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13"/>
  </w:num>
  <w:num w:numId="15">
    <w:abstractNumId w:val="0"/>
  </w:num>
  <w:num w:numId="16">
    <w:abstractNumId w:val="5"/>
  </w:num>
  <w:num w:numId="17">
    <w:abstractNumId w:val="1"/>
  </w:num>
  <w:num w:numId="18">
    <w:abstractNumId w:val="12"/>
  </w:num>
  <w:num w:numId="19">
    <w:abstractNumId w:val="20"/>
  </w:num>
  <w:num w:numId="20">
    <w:abstractNumId w:val="7"/>
  </w:num>
  <w:num w:numId="21">
    <w:abstractNumId w:val="19"/>
  </w:num>
  <w:num w:numId="22">
    <w:abstractNumId w:val="14"/>
  </w:num>
  <w:num w:numId="23">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5122"/>
  </w:hdrShapeDefaults>
  <w:footnotePr>
    <w:footnote w:id="-1"/>
    <w:footnote w:id="0"/>
  </w:footnotePr>
  <w:endnotePr>
    <w:endnote w:id="-1"/>
    <w:endnote w:id="0"/>
  </w:endnotePr>
  <w:compat>
    <w:ulTrailSpace/>
  </w:compat>
  <w:rsids>
    <w:rsidRoot w:val="001E57E5"/>
    <w:rsid w:val="00041591"/>
    <w:rsid w:val="00065EAC"/>
    <w:rsid w:val="000C751C"/>
    <w:rsid w:val="00165937"/>
    <w:rsid w:val="0019176F"/>
    <w:rsid w:val="001A6038"/>
    <w:rsid w:val="001E57E5"/>
    <w:rsid w:val="00217A0D"/>
    <w:rsid w:val="00230E06"/>
    <w:rsid w:val="00231473"/>
    <w:rsid w:val="00275B9C"/>
    <w:rsid w:val="002764B2"/>
    <w:rsid w:val="002D59EB"/>
    <w:rsid w:val="003A5F94"/>
    <w:rsid w:val="003B1F06"/>
    <w:rsid w:val="003B2923"/>
    <w:rsid w:val="003E3F37"/>
    <w:rsid w:val="003F0C04"/>
    <w:rsid w:val="00404AB5"/>
    <w:rsid w:val="004D0A87"/>
    <w:rsid w:val="005007A2"/>
    <w:rsid w:val="0056454B"/>
    <w:rsid w:val="005847A8"/>
    <w:rsid w:val="005945CC"/>
    <w:rsid w:val="005E42EB"/>
    <w:rsid w:val="005E5748"/>
    <w:rsid w:val="005F7A11"/>
    <w:rsid w:val="006A4323"/>
    <w:rsid w:val="006B12AD"/>
    <w:rsid w:val="006E68EE"/>
    <w:rsid w:val="006F790D"/>
    <w:rsid w:val="00713870"/>
    <w:rsid w:val="007329F5"/>
    <w:rsid w:val="007417EA"/>
    <w:rsid w:val="00742EA6"/>
    <w:rsid w:val="00745A03"/>
    <w:rsid w:val="00751469"/>
    <w:rsid w:val="007919BB"/>
    <w:rsid w:val="007A4ADF"/>
    <w:rsid w:val="007C2240"/>
    <w:rsid w:val="007C7500"/>
    <w:rsid w:val="007E2E1E"/>
    <w:rsid w:val="007F5A09"/>
    <w:rsid w:val="00857C26"/>
    <w:rsid w:val="008A7289"/>
    <w:rsid w:val="00910B5E"/>
    <w:rsid w:val="00912342"/>
    <w:rsid w:val="009A5E66"/>
    <w:rsid w:val="009B34C0"/>
    <w:rsid w:val="009C3B01"/>
    <w:rsid w:val="009F72E9"/>
    <w:rsid w:val="00A47E37"/>
    <w:rsid w:val="00A77FF8"/>
    <w:rsid w:val="00A927A1"/>
    <w:rsid w:val="00AC1C31"/>
    <w:rsid w:val="00AD7EE0"/>
    <w:rsid w:val="00AE2AFC"/>
    <w:rsid w:val="00AE3BAE"/>
    <w:rsid w:val="00B01E84"/>
    <w:rsid w:val="00B14329"/>
    <w:rsid w:val="00B35C04"/>
    <w:rsid w:val="00B815B1"/>
    <w:rsid w:val="00B835BC"/>
    <w:rsid w:val="00B91982"/>
    <w:rsid w:val="00BE249A"/>
    <w:rsid w:val="00C25080"/>
    <w:rsid w:val="00C302BA"/>
    <w:rsid w:val="00C7494A"/>
    <w:rsid w:val="00C8785D"/>
    <w:rsid w:val="00CA15B0"/>
    <w:rsid w:val="00CA4600"/>
    <w:rsid w:val="00CF39D7"/>
    <w:rsid w:val="00D06853"/>
    <w:rsid w:val="00D110DD"/>
    <w:rsid w:val="00D32499"/>
    <w:rsid w:val="00DE0789"/>
    <w:rsid w:val="00DF1237"/>
    <w:rsid w:val="00E31232"/>
    <w:rsid w:val="00E92E2C"/>
    <w:rsid w:val="00EF62ED"/>
    <w:rsid w:val="00F275DE"/>
    <w:rsid w:val="00F452CA"/>
    <w:rsid w:val="00F5464D"/>
    <w:rsid w:val="00FE2989"/>
    <w:rsid w:val="00FF795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75DE"/>
    <w:rPr>
      <w:rFonts w:ascii="Times New Roman" w:eastAsia="Times New Roman" w:hAnsi="Times New Roman" w:cs="Times New Roman"/>
      <w:lang w:val="ro-RO"/>
    </w:rPr>
  </w:style>
  <w:style w:type="paragraph" w:styleId="1">
    <w:name w:val="heading 1"/>
    <w:basedOn w:val="a"/>
    <w:autoRedefine/>
    <w:uiPriority w:val="9"/>
    <w:qFormat/>
    <w:rsid w:val="00B91982"/>
    <w:pPr>
      <w:spacing w:before="240" w:after="240"/>
      <w:jc w:val="both"/>
      <w:outlineLvl w:val="0"/>
    </w:pPr>
    <w:rPr>
      <w:b/>
      <w:bCs/>
      <w:sz w:val="24"/>
      <w:szCs w:val="24"/>
    </w:rPr>
  </w:style>
  <w:style w:type="paragraph" w:styleId="2">
    <w:name w:val="heading 2"/>
    <w:basedOn w:val="a"/>
    <w:uiPriority w:val="9"/>
    <w:unhideWhenUsed/>
    <w:qFormat/>
    <w:rsid w:val="00F275DE"/>
    <w:pPr>
      <w:spacing w:before="40"/>
      <w:ind w:left="118"/>
      <w:outlineLvl w:val="1"/>
    </w:pPr>
    <w:rPr>
      <w:b/>
      <w:bCs/>
      <w:i/>
      <w:sz w:val="24"/>
      <w:szCs w:val="24"/>
    </w:rPr>
  </w:style>
  <w:style w:type="paragraph" w:styleId="4">
    <w:name w:val="heading 4"/>
    <w:basedOn w:val="a"/>
    <w:next w:val="a"/>
    <w:link w:val="40"/>
    <w:uiPriority w:val="9"/>
    <w:semiHidden/>
    <w:unhideWhenUsed/>
    <w:qFormat/>
    <w:rsid w:val="005007A2"/>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sid w:val="00F275DE"/>
    <w:pPr>
      <w:ind w:left="546"/>
      <w:jc w:val="both"/>
    </w:pPr>
    <w:rPr>
      <w:sz w:val="24"/>
      <w:szCs w:val="24"/>
    </w:rPr>
  </w:style>
  <w:style w:type="paragraph" w:styleId="a4">
    <w:name w:val="List Paragraph"/>
    <w:basedOn w:val="a"/>
    <w:uiPriority w:val="1"/>
    <w:qFormat/>
    <w:rsid w:val="00F275DE"/>
    <w:pPr>
      <w:ind w:left="546" w:right="370" w:hanging="286"/>
      <w:jc w:val="both"/>
    </w:pPr>
  </w:style>
  <w:style w:type="paragraph" w:customStyle="1" w:styleId="TableParagraph">
    <w:name w:val="Table Paragraph"/>
    <w:basedOn w:val="a"/>
    <w:uiPriority w:val="1"/>
    <w:qFormat/>
    <w:rsid w:val="00F275DE"/>
  </w:style>
  <w:style w:type="table" w:styleId="a5">
    <w:name w:val="Table Grid"/>
    <w:basedOn w:val="a1"/>
    <w:uiPriority w:val="59"/>
    <w:rsid w:val="00CA4600"/>
    <w:pPr>
      <w:widowControl/>
      <w:autoSpaceDE/>
      <w:autoSpaceDN/>
    </w:pPr>
    <w:rPr>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basedOn w:val="a0"/>
    <w:uiPriority w:val="99"/>
    <w:unhideWhenUsed/>
    <w:rsid w:val="00A77FF8"/>
    <w:rPr>
      <w:color w:val="0000FF" w:themeColor="hyperlink"/>
      <w:u w:val="single"/>
    </w:rPr>
  </w:style>
  <w:style w:type="paragraph" w:styleId="a7">
    <w:name w:val="footnote text"/>
    <w:basedOn w:val="a"/>
    <w:link w:val="a8"/>
    <w:uiPriority w:val="99"/>
    <w:unhideWhenUsed/>
    <w:rsid w:val="00A77FF8"/>
    <w:pPr>
      <w:widowControl/>
      <w:autoSpaceDE/>
      <w:autoSpaceDN/>
      <w:spacing w:before="240" w:after="240"/>
      <w:jc w:val="both"/>
    </w:pPr>
    <w:rPr>
      <w:rFonts w:asciiTheme="minorHAnsi" w:eastAsiaTheme="minorHAnsi" w:hAnsiTheme="minorHAnsi" w:cstheme="minorBidi"/>
      <w:sz w:val="20"/>
      <w:szCs w:val="20"/>
      <w:lang w:val="uk-UA"/>
    </w:rPr>
  </w:style>
  <w:style w:type="character" w:customStyle="1" w:styleId="a8">
    <w:name w:val="Текст сноски Знак"/>
    <w:basedOn w:val="a0"/>
    <w:link w:val="a7"/>
    <w:uiPriority w:val="99"/>
    <w:rsid w:val="00A77FF8"/>
    <w:rPr>
      <w:sz w:val="20"/>
      <w:szCs w:val="20"/>
      <w:lang w:val="uk-UA"/>
    </w:rPr>
  </w:style>
  <w:style w:type="character" w:styleId="a9">
    <w:name w:val="footnote reference"/>
    <w:aliases w:val="Footnote symbol,Voetnootverwijzing,Footnote Reference S,Footnote Reference Superscript,Footnote s,Times 10 Point,Exposant 3 Point,Exposant 3,Expos, Exposant 3 Point,Exposant 3 "/>
    <w:basedOn w:val="a0"/>
    <w:uiPriority w:val="99"/>
    <w:unhideWhenUsed/>
    <w:qFormat/>
    <w:rsid w:val="00A77FF8"/>
    <w:rPr>
      <w:rFonts w:asciiTheme="majorHAnsi" w:hAnsiTheme="majorHAnsi" w:cs="Calibri Light" w:hint="default"/>
      <w:sz w:val="18"/>
      <w:vertAlign w:val="superscript"/>
    </w:rPr>
  </w:style>
  <w:style w:type="paragraph" w:styleId="aa">
    <w:name w:val="header"/>
    <w:basedOn w:val="a"/>
    <w:link w:val="ab"/>
    <w:uiPriority w:val="99"/>
    <w:unhideWhenUsed/>
    <w:rsid w:val="004D0A87"/>
    <w:pPr>
      <w:tabs>
        <w:tab w:val="center" w:pos="4677"/>
        <w:tab w:val="right" w:pos="9355"/>
      </w:tabs>
    </w:pPr>
  </w:style>
  <w:style w:type="character" w:customStyle="1" w:styleId="ab">
    <w:name w:val="Верхний колонтитул Знак"/>
    <w:basedOn w:val="a0"/>
    <w:link w:val="aa"/>
    <w:uiPriority w:val="99"/>
    <w:rsid w:val="004D0A87"/>
    <w:rPr>
      <w:rFonts w:ascii="Times New Roman" w:eastAsia="Times New Roman" w:hAnsi="Times New Roman" w:cs="Times New Roman"/>
      <w:lang w:val="ro-RO"/>
    </w:rPr>
  </w:style>
  <w:style w:type="paragraph" w:styleId="ac">
    <w:name w:val="footer"/>
    <w:basedOn w:val="a"/>
    <w:link w:val="ad"/>
    <w:uiPriority w:val="99"/>
    <w:unhideWhenUsed/>
    <w:rsid w:val="004D0A87"/>
    <w:pPr>
      <w:tabs>
        <w:tab w:val="center" w:pos="4677"/>
        <w:tab w:val="right" w:pos="9355"/>
      </w:tabs>
    </w:pPr>
  </w:style>
  <w:style w:type="character" w:customStyle="1" w:styleId="ad">
    <w:name w:val="Нижний колонтитул Знак"/>
    <w:basedOn w:val="a0"/>
    <w:link w:val="ac"/>
    <w:uiPriority w:val="99"/>
    <w:rsid w:val="004D0A87"/>
    <w:rPr>
      <w:rFonts w:ascii="Times New Roman" w:eastAsia="Times New Roman" w:hAnsi="Times New Roman" w:cs="Times New Roman"/>
      <w:lang w:val="ro-RO"/>
    </w:rPr>
  </w:style>
  <w:style w:type="paragraph" w:styleId="ae">
    <w:name w:val="Balloon Text"/>
    <w:basedOn w:val="a"/>
    <w:link w:val="af"/>
    <w:uiPriority w:val="99"/>
    <w:semiHidden/>
    <w:unhideWhenUsed/>
    <w:rsid w:val="00E31232"/>
    <w:rPr>
      <w:rFonts w:ascii="Tahoma" w:hAnsi="Tahoma" w:cs="Tahoma"/>
      <w:sz w:val="16"/>
      <w:szCs w:val="16"/>
    </w:rPr>
  </w:style>
  <w:style w:type="character" w:customStyle="1" w:styleId="af">
    <w:name w:val="Текст выноски Знак"/>
    <w:basedOn w:val="a0"/>
    <w:link w:val="ae"/>
    <w:uiPriority w:val="99"/>
    <w:semiHidden/>
    <w:rsid w:val="00E31232"/>
    <w:rPr>
      <w:rFonts w:ascii="Tahoma" w:eastAsia="Times New Roman" w:hAnsi="Tahoma" w:cs="Tahoma"/>
      <w:sz w:val="16"/>
      <w:szCs w:val="16"/>
      <w:lang w:val="ro-RO"/>
    </w:rPr>
  </w:style>
  <w:style w:type="character" w:customStyle="1" w:styleId="40">
    <w:name w:val="Заголовок 4 Знак"/>
    <w:basedOn w:val="a0"/>
    <w:link w:val="4"/>
    <w:uiPriority w:val="9"/>
    <w:semiHidden/>
    <w:rsid w:val="005007A2"/>
    <w:rPr>
      <w:rFonts w:asciiTheme="majorHAnsi" w:eastAsiaTheme="majorEastAsia" w:hAnsiTheme="majorHAnsi" w:cstheme="majorBidi"/>
      <w:b/>
      <w:bCs/>
      <w:i/>
      <w:iCs/>
      <w:color w:val="4F81BD" w:themeColor="accent1"/>
      <w:lang w:val="ro-RO"/>
    </w:rPr>
  </w:style>
  <w:style w:type="paragraph" w:customStyle="1" w:styleId="Default">
    <w:name w:val="Default"/>
    <w:rsid w:val="00231473"/>
    <w:pPr>
      <w:widowControl/>
      <w:adjustRightInd w:val="0"/>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188495024">
      <w:bodyDiv w:val="1"/>
      <w:marLeft w:val="0"/>
      <w:marRight w:val="0"/>
      <w:marTop w:val="0"/>
      <w:marBottom w:val="0"/>
      <w:divBdr>
        <w:top w:val="none" w:sz="0" w:space="0" w:color="auto"/>
        <w:left w:val="none" w:sz="0" w:space="0" w:color="auto"/>
        <w:bottom w:val="none" w:sz="0" w:space="0" w:color="auto"/>
        <w:right w:val="none" w:sz="0" w:space="0" w:color="auto"/>
      </w:divBdr>
    </w:div>
    <w:div w:id="238177942">
      <w:bodyDiv w:val="1"/>
      <w:marLeft w:val="0"/>
      <w:marRight w:val="0"/>
      <w:marTop w:val="0"/>
      <w:marBottom w:val="0"/>
      <w:divBdr>
        <w:top w:val="none" w:sz="0" w:space="0" w:color="auto"/>
        <w:left w:val="none" w:sz="0" w:space="0" w:color="auto"/>
        <w:bottom w:val="none" w:sz="0" w:space="0" w:color="auto"/>
        <w:right w:val="none" w:sz="0" w:space="0" w:color="auto"/>
      </w:divBdr>
    </w:div>
    <w:div w:id="411781391">
      <w:bodyDiv w:val="1"/>
      <w:marLeft w:val="0"/>
      <w:marRight w:val="0"/>
      <w:marTop w:val="0"/>
      <w:marBottom w:val="0"/>
      <w:divBdr>
        <w:top w:val="none" w:sz="0" w:space="0" w:color="auto"/>
        <w:left w:val="none" w:sz="0" w:space="0" w:color="auto"/>
        <w:bottom w:val="none" w:sz="0" w:space="0" w:color="auto"/>
        <w:right w:val="none" w:sz="0" w:space="0" w:color="auto"/>
      </w:divBdr>
    </w:div>
    <w:div w:id="524174567">
      <w:bodyDiv w:val="1"/>
      <w:marLeft w:val="0"/>
      <w:marRight w:val="0"/>
      <w:marTop w:val="0"/>
      <w:marBottom w:val="0"/>
      <w:divBdr>
        <w:top w:val="none" w:sz="0" w:space="0" w:color="auto"/>
        <w:left w:val="none" w:sz="0" w:space="0" w:color="auto"/>
        <w:bottom w:val="none" w:sz="0" w:space="0" w:color="auto"/>
        <w:right w:val="none" w:sz="0" w:space="0" w:color="auto"/>
      </w:divBdr>
    </w:div>
    <w:div w:id="535312605">
      <w:bodyDiv w:val="1"/>
      <w:marLeft w:val="0"/>
      <w:marRight w:val="0"/>
      <w:marTop w:val="0"/>
      <w:marBottom w:val="0"/>
      <w:divBdr>
        <w:top w:val="none" w:sz="0" w:space="0" w:color="auto"/>
        <w:left w:val="none" w:sz="0" w:space="0" w:color="auto"/>
        <w:bottom w:val="none" w:sz="0" w:space="0" w:color="auto"/>
        <w:right w:val="none" w:sz="0" w:space="0" w:color="auto"/>
      </w:divBdr>
    </w:div>
    <w:div w:id="782960326">
      <w:bodyDiv w:val="1"/>
      <w:marLeft w:val="0"/>
      <w:marRight w:val="0"/>
      <w:marTop w:val="0"/>
      <w:marBottom w:val="0"/>
      <w:divBdr>
        <w:top w:val="none" w:sz="0" w:space="0" w:color="auto"/>
        <w:left w:val="none" w:sz="0" w:space="0" w:color="auto"/>
        <w:bottom w:val="none" w:sz="0" w:space="0" w:color="auto"/>
        <w:right w:val="none" w:sz="0" w:space="0" w:color="auto"/>
      </w:divBdr>
    </w:div>
    <w:div w:id="1298948769">
      <w:bodyDiv w:val="1"/>
      <w:marLeft w:val="0"/>
      <w:marRight w:val="0"/>
      <w:marTop w:val="0"/>
      <w:marBottom w:val="0"/>
      <w:divBdr>
        <w:top w:val="none" w:sz="0" w:space="0" w:color="auto"/>
        <w:left w:val="none" w:sz="0" w:space="0" w:color="auto"/>
        <w:bottom w:val="none" w:sz="0" w:space="0" w:color="auto"/>
        <w:right w:val="none" w:sz="0" w:space="0" w:color="auto"/>
      </w:divBdr>
    </w:div>
    <w:div w:id="1414231598">
      <w:bodyDiv w:val="1"/>
      <w:marLeft w:val="0"/>
      <w:marRight w:val="0"/>
      <w:marTop w:val="0"/>
      <w:marBottom w:val="0"/>
      <w:divBdr>
        <w:top w:val="none" w:sz="0" w:space="0" w:color="auto"/>
        <w:left w:val="none" w:sz="0" w:space="0" w:color="auto"/>
        <w:bottom w:val="none" w:sz="0" w:space="0" w:color="auto"/>
        <w:right w:val="none" w:sz="0" w:space="0" w:color="auto"/>
      </w:divBdr>
    </w:div>
    <w:div w:id="1445802340">
      <w:bodyDiv w:val="1"/>
      <w:marLeft w:val="0"/>
      <w:marRight w:val="0"/>
      <w:marTop w:val="0"/>
      <w:marBottom w:val="0"/>
      <w:divBdr>
        <w:top w:val="none" w:sz="0" w:space="0" w:color="auto"/>
        <w:left w:val="none" w:sz="0" w:space="0" w:color="auto"/>
        <w:bottom w:val="none" w:sz="0" w:space="0" w:color="auto"/>
        <w:right w:val="none" w:sz="0" w:space="0" w:color="auto"/>
      </w:divBdr>
    </w:div>
    <w:div w:id="1451630005">
      <w:bodyDiv w:val="1"/>
      <w:marLeft w:val="0"/>
      <w:marRight w:val="0"/>
      <w:marTop w:val="0"/>
      <w:marBottom w:val="0"/>
      <w:divBdr>
        <w:top w:val="none" w:sz="0" w:space="0" w:color="auto"/>
        <w:left w:val="none" w:sz="0" w:space="0" w:color="auto"/>
        <w:bottom w:val="none" w:sz="0" w:space="0" w:color="auto"/>
        <w:right w:val="none" w:sz="0" w:space="0" w:color="auto"/>
      </w:divBdr>
    </w:div>
    <w:div w:id="1591546372">
      <w:bodyDiv w:val="1"/>
      <w:marLeft w:val="0"/>
      <w:marRight w:val="0"/>
      <w:marTop w:val="0"/>
      <w:marBottom w:val="0"/>
      <w:divBdr>
        <w:top w:val="none" w:sz="0" w:space="0" w:color="auto"/>
        <w:left w:val="none" w:sz="0" w:space="0" w:color="auto"/>
        <w:bottom w:val="none" w:sz="0" w:space="0" w:color="auto"/>
        <w:right w:val="none" w:sz="0" w:space="0" w:color="auto"/>
      </w:divBdr>
    </w:div>
    <w:div w:id="17887438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3platform.jrc.ec.europa.eu/s3-beyond-eu" TargetMode="External"/><Relationship Id="rId2" Type="http://schemas.openxmlformats.org/officeDocument/2006/relationships/hyperlink" Target="https://www.wipo.int/edocs/pubdocs/en/wipo_pub_gii_2020/md.pdf" TargetMode="External"/><Relationship Id="rId1" Type="http://schemas.openxmlformats.org/officeDocument/2006/relationships/hyperlink" Target="http://www3.weforum.org/docs/WEF_TheGlobalCompetitivenessReport2019.pdf" TargetMode="External"/><Relationship Id="rId6" Type="http://schemas.openxmlformats.org/officeDocument/2006/relationships/hyperlink" Target="https://ec.europa.eu/neighbourhood-enlargement/sites/near/files/near-eeas_joint_swd_2016467_0.pdf" TargetMode="External"/><Relationship Id="rId5" Type="http://schemas.openxmlformats.org/officeDocument/2006/relationships/hyperlink" Target="https://cancelaria.gov.md/sites/default/files/cu_privire_la_aprobarea_proiectului_de_lege_pentru_aprobarea_strategiei_nationale_de_dezvoltare_moldova_2030.pdf" TargetMode="External"/><Relationship Id="rId4" Type="http://schemas.openxmlformats.org/officeDocument/2006/relationships/hyperlink" Target="https://cancelaria.gov.md/sites/default/files/raport_evaluare_md202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AFD6B0-8782-4318-9417-C89F78FAFD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4025</Words>
  <Characters>22944</Characters>
  <Application>Microsoft Office Word</Application>
  <DocSecurity>0</DocSecurity>
  <Lines>191</Lines>
  <Paragraphs>53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26916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Gutu Vladimir</dc:creator>
  <cp:lastModifiedBy>Dediu</cp:lastModifiedBy>
  <cp:revision>2</cp:revision>
  <cp:lastPrinted>2021-09-15T11:48:00Z</cp:lastPrinted>
  <dcterms:created xsi:type="dcterms:W3CDTF">2021-12-16T06:45:00Z</dcterms:created>
  <dcterms:modified xsi:type="dcterms:W3CDTF">2021-12-16T06:45:00Z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2020-12-17T00:00:00Z</vt:filetime>
  </property>
  <property fmtid="{D5CDD505-2E9C-101B-9397-08002B2CF9AE}" pid="3" name="Creator">
    <vt:lpwstr>Microsoft® Word 2013</vt:lpwstr>
  </property>
  <property fmtid="{D5CDD505-2E9C-101B-9397-08002B2CF9AE}" pid="4" name="LastSaved">
    <vt:filetime>2021-09-08T00:00:00Z</vt:filetime>
  </property>
</Properties>
</file>