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CD" w:rsidRPr="00B308BF" w:rsidRDefault="00FE22CD" w:rsidP="000759A3">
      <w:pPr>
        <w:pStyle w:val="NormalWeb"/>
        <w:shd w:val="clear" w:color="auto" w:fill="FFFFFF"/>
        <w:ind w:firstLine="540"/>
        <w:jc w:val="right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Pro</w:t>
      </w:r>
      <w:bookmarkStart w:id="0" w:name="_GoBack"/>
      <w:bookmarkEnd w:id="0"/>
      <w:r w:rsidRPr="00B308BF">
        <w:rPr>
          <w:color w:val="333333"/>
          <w:sz w:val="28"/>
          <w:szCs w:val="28"/>
          <w:lang w:val="ro-MD"/>
        </w:rPr>
        <w:t>iect</w:t>
      </w:r>
    </w:p>
    <w:p w:rsidR="00FE22CD" w:rsidRPr="00B308BF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  <w:lang w:val="ro-MD"/>
        </w:rPr>
      </w:pPr>
      <w:r w:rsidRPr="00B308BF">
        <w:rPr>
          <w:b/>
          <w:color w:val="333333"/>
          <w:sz w:val="28"/>
          <w:szCs w:val="28"/>
          <w:lang w:val="ro-MD"/>
        </w:rPr>
        <w:t>L E G E</w:t>
      </w:r>
    </w:p>
    <w:p w:rsidR="00FE22CD" w:rsidRPr="00B308BF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  <w:lang w:val="ro-MD"/>
        </w:rPr>
      </w:pPr>
      <w:r w:rsidRPr="00B308BF">
        <w:rPr>
          <w:b/>
          <w:color w:val="333333"/>
          <w:sz w:val="28"/>
          <w:szCs w:val="28"/>
          <w:lang w:val="ro-MD"/>
        </w:rPr>
        <w:t>privind modificarea Legii bugetului de stat</w:t>
      </w:r>
    </w:p>
    <w:p w:rsidR="00FE22CD" w:rsidRPr="00B308BF" w:rsidRDefault="00EC402F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  <w:lang w:val="ro-MD"/>
        </w:rPr>
      </w:pPr>
      <w:r w:rsidRPr="00B308BF">
        <w:rPr>
          <w:b/>
          <w:color w:val="333333"/>
          <w:sz w:val="28"/>
          <w:szCs w:val="28"/>
          <w:lang w:val="ro-MD"/>
        </w:rPr>
        <w:t>pentru anul 2021</w:t>
      </w:r>
      <w:r w:rsidR="00FE22CD" w:rsidRPr="00B308BF">
        <w:rPr>
          <w:b/>
          <w:color w:val="333333"/>
          <w:sz w:val="28"/>
          <w:szCs w:val="28"/>
          <w:lang w:val="ro-MD"/>
        </w:rPr>
        <w:t xml:space="preserve"> nr. </w:t>
      </w:r>
      <w:r w:rsidRPr="00B308BF">
        <w:rPr>
          <w:b/>
          <w:color w:val="333333"/>
          <w:sz w:val="28"/>
          <w:szCs w:val="28"/>
          <w:lang w:val="ro-MD"/>
        </w:rPr>
        <w:t>258/2020</w:t>
      </w:r>
    </w:p>
    <w:p w:rsidR="00FE22CD" w:rsidRPr="00B308BF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D"/>
        </w:rPr>
      </w:pPr>
    </w:p>
    <w:p w:rsidR="00FE22CD" w:rsidRPr="00B308BF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D"/>
        </w:rPr>
      </w:pPr>
    </w:p>
    <w:p w:rsidR="00991E05" w:rsidRPr="00B308BF" w:rsidRDefault="00991E05" w:rsidP="00991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o-MD"/>
        </w:rPr>
      </w:pPr>
      <w:r w:rsidRPr="00B308BF">
        <w:rPr>
          <w:rFonts w:ascii="Times New Roman" w:eastAsia="Times New Roman" w:hAnsi="Times New Roman" w:cs="Times New Roman"/>
          <w:color w:val="333333"/>
          <w:sz w:val="28"/>
          <w:szCs w:val="28"/>
          <w:lang w:val="ro-MD"/>
        </w:rPr>
        <w:t>Parlamentul adoptă prezenta lege organică.</w:t>
      </w:r>
    </w:p>
    <w:p w:rsidR="00D02164" w:rsidRPr="00B308BF" w:rsidRDefault="00D02164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D"/>
        </w:rPr>
      </w:pPr>
    </w:p>
    <w:p w:rsidR="00FE22CD" w:rsidRPr="00B308BF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rStyle w:val="Strong"/>
          <w:color w:val="333333"/>
          <w:sz w:val="28"/>
          <w:szCs w:val="28"/>
          <w:lang w:val="ro-MD"/>
        </w:rPr>
        <w:t>Art. I. </w:t>
      </w:r>
      <w:r w:rsidRPr="00B308BF">
        <w:rPr>
          <w:color w:val="333333"/>
          <w:sz w:val="28"/>
          <w:szCs w:val="28"/>
          <w:lang w:val="ro-MD"/>
        </w:rPr>
        <w:t>– Legea bu</w:t>
      </w:r>
      <w:r w:rsidR="00EC402F" w:rsidRPr="00B308BF">
        <w:rPr>
          <w:color w:val="333333"/>
          <w:sz w:val="28"/>
          <w:szCs w:val="28"/>
          <w:lang w:val="ro-MD"/>
        </w:rPr>
        <w:t>getului de stat pentru anul 2021</w:t>
      </w:r>
      <w:r w:rsidRPr="00B308BF">
        <w:rPr>
          <w:color w:val="333333"/>
          <w:sz w:val="28"/>
          <w:szCs w:val="28"/>
          <w:lang w:val="ro-MD"/>
        </w:rPr>
        <w:t xml:space="preserve"> nr. </w:t>
      </w:r>
      <w:r w:rsidR="00EC402F" w:rsidRPr="00B308BF">
        <w:rPr>
          <w:color w:val="333333"/>
          <w:sz w:val="28"/>
          <w:szCs w:val="28"/>
          <w:lang w:val="ro-MD"/>
        </w:rPr>
        <w:t>258/2020</w:t>
      </w:r>
      <w:r w:rsidRPr="00B308BF">
        <w:rPr>
          <w:color w:val="333333"/>
          <w:sz w:val="28"/>
          <w:szCs w:val="28"/>
          <w:lang w:val="ro-MD"/>
        </w:rPr>
        <w:t xml:space="preserve"> (Monitorul Ofi</w:t>
      </w:r>
      <w:r w:rsidR="00EC402F" w:rsidRPr="00B308BF">
        <w:rPr>
          <w:color w:val="333333"/>
          <w:sz w:val="28"/>
          <w:szCs w:val="28"/>
          <w:lang w:val="ro-MD"/>
        </w:rPr>
        <w:t>cial al Republicii Moldova, 2020</w:t>
      </w:r>
      <w:r w:rsidRPr="00B308BF">
        <w:rPr>
          <w:color w:val="333333"/>
          <w:sz w:val="28"/>
          <w:szCs w:val="28"/>
          <w:lang w:val="ro-MD"/>
        </w:rPr>
        <w:t xml:space="preserve">, nr. </w:t>
      </w:r>
      <w:r w:rsidR="00EC402F" w:rsidRPr="00B308BF">
        <w:rPr>
          <w:color w:val="333333"/>
          <w:sz w:val="28"/>
          <w:szCs w:val="28"/>
          <w:lang w:val="ro-MD"/>
        </w:rPr>
        <w:t>353–357</w:t>
      </w:r>
      <w:r w:rsidRPr="00B308BF">
        <w:rPr>
          <w:color w:val="333333"/>
          <w:sz w:val="28"/>
          <w:szCs w:val="28"/>
          <w:lang w:val="ro-MD"/>
        </w:rPr>
        <w:t xml:space="preserve">, art. </w:t>
      </w:r>
      <w:r w:rsidR="00EC402F" w:rsidRPr="00B308BF">
        <w:rPr>
          <w:color w:val="333333"/>
          <w:sz w:val="28"/>
          <w:szCs w:val="28"/>
          <w:lang w:val="ro-MD"/>
        </w:rPr>
        <w:t>290</w:t>
      </w:r>
      <w:r w:rsidRPr="00B308BF">
        <w:rPr>
          <w:color w:val="333333"/>
          <w:sz w:val="28"/>
          <w:szCs w:val="28"/>
          <w:lang w:val="ro-MD"/>
        </w:rPr>
        <w:t>), cu modificările ulterioare, se modifică după cum urmează:</w:t>
      </w:r>
    </w:p>
    <w:p w:rsidR="0099550B" w:rsidRPr="00B308BF" w:rsidRDefault="0099550B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D"/>
        </w:rPr>
      </w:pPr>
    </w:p>
    <w:p w:rsidR="00FE22CD" w:rsidRPr="00B308BF" w:rsidRDefault="00FE22CD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1. La articolul 1 al</w:t>
      </w:r>
      <w:r w:rsidR="008C6110" w:rsidRPr="00B308BF">
        <w:rPr>
          <w:color w:val="333333"/>
          <w:sz w:val="28"/>
          <w:szCs w:val="28"/>
          <w:lang w:val="ro-MD"/>
        </w:rPr>
        <w:t xml:space="preserve">ineatul (1), cifrele </w:t>
      </w:r>
      <w:r w:rsidR="007E7229" w:rsidRPr="00B308BF">
        <w:rPr>
          <w:color w:val="333333"/>
          <w:sz w:val="28"/>
          <w:szCs w:val="28"/>
          <w:lang w:val="ro-MD"/>
        </w:rPr>
        <w:t xml:space="preserve">„45094600,0”, </w:t>
      </w:r>
      <w:r w:rsidRPr="00B308BF">
        <w:rPr>
          <w:color w:val="333333"/>
          <w:sz w:val="28"/>
          <w:szCs w:val="28"/>
          <w:lang w:val="ro-MD"/>
        </w:rPr>
        <w:t>„</w:t>
      </w:r>
      <w:r w:rsidR="008C6110" w:rsidRPr="00B308BF">
        <w:rPr>
          <w:color w:val="333333"/>
          <w:sz w:val="28"/>
          <w:szCs w:val="28"/>
          <w:lang w:val="ro-MD"/>
        </w:rPr>
        <w:t>57232600,0</w:t>
      </w:r>
      <w:r w:rsidRPr="00B308BF">
        <w:rPr>
          <w:color w:val="333333"/>
          <w:sz w:val="28"/>
          <w:szCs w:val="28"/>
          <w:lang w:val="ro-MD"/>
        </w:rPr>
        <w:t xml:space="preserve">” </w:t>
      </w:r>
      <w:proofErr w:type="spellStart"/>
      <w:r w:rsidRPr="00B308BF">
        <w:rPr>
          <w:color w:val="333333"/>
          <w:sz w:val="28"/>
          <w:szCs w:val="28"/>
          <w:lang w:val="ro-MD"/>
        </w:rPr>
        <w:t>şi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„</w:t>
      </w:r>
      <w:r w:rsidR="008C6110" w:rsidRPr="00B308BF">
        <w:rPr>
          <w:color w:val="333333"/>
          <w:sz w:val="28"/>
          <w:szCs w:val="28"/>
          <w:lang w:val="ro-MD"/>
        </w:rPr>
        <w:t>12138000,0</w:t>
      </w:r>
      <w:r w:rsidR="00830DAD" w:rsidRPr="00B308BF">
        <w:rPr>
          <w:color w:val="333333"/>
          <w:sz w:val="28"/>
          <w:szCs w:val="28"/>
          <w:lang w:val="ro-MD"/>
        </w:rPr>
        <w:t>”</w:t>
      </w:r>
      <w:r w:rsidRPr="00B308BF">
        <w:rPr>
          <w:color w:val="333333"/>
          <w:sz w:val="28"/>
          <w:szCs w:val="28"/>
          <w:lang w:val="ro-MD"/>
        </w:rPr>
        <w:t xml:space="preserve"> se substituie, respectiv, cu cifrele </w:t>
      </w:r>
      <w:r w:rsidR="007E7229" w:rsidRPr="00B308BF">
        <w:rPr>
          <w:color w:val="333333"/>
          <w:sz w:val="28"/>
          <w:szCs w:val="28"/>
          <w:lang w:val="ro-MD"/>
        </w:rPr>
        <w:t>„45</w:t>
      </w:r>
      <w:r w:rsidR="00791AEB" w:rsidRPr="00B308BF">
        <w:rPr>
          <w:color w:val="333333"/>
          <w:sz w:val="28"/>
          <w:szCs w:val="28"/>
          <w:lang w:val="ro-MD"/>
        </w:rPr>
        <w:t>862414</w:t>
      </w:r>
      <w:r w:rsidR="007E7229" w:rsidRPr="00B308BF">
        <w:rPr>
          <w:color w:val="333333"/>
          <w:sz w:val="28"/>
          <w:szCs w:val="28"/>
          <w:lang w:val="ro-MD"/>
        </w:rPr>
        <w:t xml:space="preserve">,0”, </w:t>
      </w:r>
      <w:r w:rsidRPr="00B308BF">
        <w:rPr>
          <w:color w:val="333333"/>
          <w:sz w:val="28"/>
          <w:szCs w:val="28"/>
          <w:lang w:val="ro-MD"/>
        </w:rPr>
        <w:t>„</w:t>
      </w:r>
      <w:r w:rsidR="007E7229" w:rsidRPr="00B308BF">
        <w:rPr>
          <w:color w:val="333333"/>
          <w:sz w:val="28"/>
          <w:szCs w:val="28"/>
          <w:lang w:val="ro-MD"/>
        </w:rPr>
        <w:t>57</w:t>
      </w:r>
      <w:r w:rsidR="007B2BB7" w:rsidRPr="00B308BF">
        <w:rPr>
          <w:color w:val="333333"/>
          <w:sz w:val="28"/>
          <w:szCs w:val="28"/>
          <w:lang w:val="ro-MD"/>
        </w:rPr>
        <w:t>654</w:t>
      </w:r>
      <w:r w:rsidR="00416440" w:rsidRPr="00B308BF">
        <w:rPr>
          <w:color w:val="333333"/>
          <w:sz w:val="28"/>
          <w:szCs w:val="28"/>
          <w:lang w:val="ro-MD"/>
        </w:rPr>
        <w:t>344</w:t>
      </w:r>
      <w:r w:rsidR="00830DAD" w:rsidRPr="00B308BF">
        <w:rPr>
          <w:color w:val="333333"/>
          <w:sz w:val="28"/>
          <w:szCs w:val="28"/>
          <w:lang w:val="ro-MD"/>
        </w:rPr>
        <w:t>,0</w:t>
      </w:r>
      <w:r w:rsidRPr="00B308BF">
        <w:rPr>
          <w:color w:val="333333"/>
          <w:sz w:val="28"/>
          <w:szCs w:val="28"/>
          <w:lang w:val="ro-MD"/>
        </w:rPr>
        <w:t xml:space="preserve">” </w:t>
      </w:r>
      <w:proofErr w:type="spellStart"/>
      <w:r w:rsidRPr="00B308BF">
        <w:rPr>
          <w:color w:val="333333"/>
          <w:sz w:val="28"/>
          <w:szCs w:val="28"/>
          <w:lang w:val="ro-MD"/>
        </w:rPr>
        <w:t>şi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„</w:t>
      </w:r>
      <w:r w:rsidR="008C6110" w:rsidRPr="00B308BF">
        <w:rPr>
          <w:color w:val="333333"/>
          <w:sz w:val="28"/>
          <w:szCs w:val="28"/>
          <w:lang w:val="ro-MD"/>
        </w:rPr>
        <w:t>1</w:t>
      </w:r>
      <w:r w:rsidR="007E7229" w:rsidRPr="00B308BF">
        <w:rPr>
          <w:color w:val="333333"/>
          <w:sz w:val="28"/>
          <w:szCs w:val="28"/>
          <w:lang w:val="ro-MD"/>
        </w:rPr>
        <w:t>1</w:t>
      </w:r>
      <w:r w:rsidR="00791AEB" w:rsidRPr="00B308BF">
        <w:rPr>
          <w:color w:val="333333"/>
          <w:sz w:val="28"/>
          <w:szCs w:val="28"/>
          <w:lang w:val="ro-MD"/>
        </w:rPr>
        <w:t>7</w:t>
      </w:r>
      <w:r w:rsidR="00416440" w:rsidRPr="00B308BF">
        <w:rPr>
          <w:color w:val="333333"/>
          <w:sz w:val="28"/>
          <w:szCs w:val="28"/>
          <w:lang w:val="ro-MD"/>
        </w:rPr>
        <w:t>91930</w:t>
      </w:r>
      <w:r w:rsidR="00830DAD" w:rsidRPr="00B308BF">
        <w:rPr>
          <w:color w:val="333333"/>
          <w:sz w:val="28"/>
          <w:szCs w:val="28"/>
          <w:lang w:val="ro-MD"/>
        </w:rPr>
        <w:t>,0</w:t>
      </w:r>
      <w:r w:rsidRPr="00B308BF">
        <w:rPr>
          <w:color w:val="333333"/>
          <w:sz w:val="28"/>
          <w:szCs w:val="28"/>
          <w:lang w:val="ro-MD"/>
        </w:rPr>
        <w:t>”.</w:t>
      </w:r>
    </w:p>
    <w:p w:rsidR="0099550B" w:rsidRPr="00B308BF" w:rsidRDefault="0099550B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D"/>
        </w:rPr>
      </w:pPr>
    </w:p>
    <w:p w:rsidR="00455D7C" w:rsidRPr="00B308BF" w:rsidRDefault="00455D7C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2. La articolul 2 litera n) cifrele „146400,0” și „130400,0” se substituie, respectiv, cu cifrele „157233,9” și „141233,9”.</w:t>
      </w:r>
    </w:p>
    <w:p w:rsidR="00455D7C" w:rsidRPr="00B308BF" w:rsidRDefault="00455D7C" w:rsidP="00FE22CD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D"/>
        </w:rPr>
      </w:pPr>
    </w:p>
    <w:p w:rsidR="00455D7C" w:rsidRPr="00B308BF" w:rsidRDefault="00455D7C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3</w:t>
      </w:r>
      <w:r w:rsidR="00FE22CD" w:rsidRPr="00B308BF">
        <w:rPr>
          <w:color w:val="333333"/>
          <w:sz w:val="28"/>
          <w:szCs w:val="28"/>
          <w:lang w:val="ro-MD"/>
        </w:rPr>
        <w:t xml:space="preserve">. </w:t>
      </w:r>
      <w:r w:rsidR="009D318E" w:rsidRPr="00B308BF">
        <w:rPr>
          <w:color w:val="333333"/>
          <w:sz w:val="28"/>
          <w:szCs w:val="28"/>
          <w:lang w:val="ro-MD"/>
        </w:rPr>
        <w:t>La a</w:t>
      </w:r>
      <w:r w:rsidR="008C6110" w:rsidRPr="00B308BF">
        <w:rPr>
          <w:color w:val="333333"/>
          <w:sz w:val="28"/>
          <w:szCs w:val="28"/>
          <w:lang w:val="ro-MD"/>
        </w:rPr>
        <w:t>rticolul 3</w:t>
      </w:r>
      <w:r w:rsidRPr="00B308BF">
        <w:rPr>
          <w:color w:val="333333"/>
          <w:sz w:val="28"/>
          <w:szCs w:val="28"/>
          <w:lang w:val="ro-MD"/>
        </w:rPr>
        <w:t>:</w:t>
      </w:r>
    </w:p>
    <w:p w:rsidR="00193DA0" w:rsidRPr="00B308BF" w:rsidRDefault="001A016D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 xml:space="preserve">litera b) </w:t>
      </w:r>
      <w:r w:rsidR="008C6110" w:rsidRPr="00B308BF">
        <w:rPr>
          <w:color w:val="333333"/>
          <w:sz w:val="28"/>
          <w:szCs w:val="28"/>
          <w:lang w:val="ro-MD"/>
        </w:rPr>
        <w:t>cifrele „</w:t>
      </w:r>
      <w:r w:rsidR="00455D7C" w:rsidRPr="00B308BF">
        <w:rPr>
          <w:color w:val="333333"/>
          <w:sz w:val="28"/>
          <w:szCs w:val="28"/>
          <w:lang w:val="ro-MD"/>
        </w:rPr>
        <w:t>450</w:t>
      </w:r>
      <w:r w:rsidR="008C6110" w:rsidRPr="00B308BF">
        <w:rPr>
          <w:color w:val="333333"/>
          <w:sz w:val="28"/>
          <w:szCs w:val="28"/>
          <w:lang w:val="ro-MD"/>
        </w:rPr>
        <w:t>000,0” se substituie cu cifrele „</w:t>
      </w:r>
      <w:r w:rsidR="00455D7C" w:rsidRPr="00B308BF">
        <w:rPr>
          <w:color w:val="333333"/>
          <w:sz w:val="28"/>
          <w:szCs w:val="28"/>
          <w:lang w:val="ro-MD"/>
        </w:rPr>
        <w:t>500</w:t>
      </w:r>
      <w:r w:rsidR="008C6110" w:rsidRPr="00B308BF">
        <w:rPr>
          <w:color w:val="333333"/>
          <w:sz w:val="28"/>
          <w:szCs w:val="28"/>
          <w:lang w:val="ro-MD"/>
        </w:rPr>
        <w:t>000,0”</w:t>
      </w:r>
      <w:r w:rsidR="00455D7C" w:rsidRPr="00B308BF">
        <w:rPr>
          <w:color w:val="333333"/>
          <w:sz w:val="28"/>
          <w:szCs w:val="28"/>
          <w:lang w:val="ro-MD"/>
        </w:rPr>
        <w:t>;</w:t>
      </w:r>
    </w:p>
    <w:p w:rsidR="00455D7C" w:rsidRPr="00B308BF" w:rsidRDefault="00455D7C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litera f) cifrele „60000,0” se substituie cu cifrele „20000,0”;</w:t>
      </w:r>
    </w:p>
    <w:p w:rsidR="00455D7C" w:rsidRPr="00B308BF" w:rsidRDefault="00455D7C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articolul se completează cu litera h) cu următorul cuprins:</w:t>
      </w:r>
    </w:p>
    <w:p w:rsidR="00F8027B" w:rsidRPr="00B308BF" w:rsidRDefault="00455D7C" w:rsidP="00F8027B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 xml:space="preserve">„h) </w:t>
      </w:r>
      <w:r w:rsidR="00F8027B" w:rsidRPr="00B308BF">
        <w:rPr>
          <w:color w:val="333333"/>
          <w:sz w:val="28"/>
          <w:szCs w:val="28"/>
          <w:lang w:val="ro-MD"/>
        </w:rPr>
        <w:t>acordarea compensațiilor salariaților pentru implementarea măsurilor speciale privind asigurarea securității, protecției vieții și sănătății populației – în sumă de 20000,0 mii de lei. Repartizarea acestor alocații se va efectua în modul stabilit de Guvern”.</w:t>
      </w:r>
    </w:p>
    <w:p w:rsidR="00F8027B" w:rsidRPr="00B308BF" w:rsidRDefault="00F8027B" w:rsidP="000759A3">
      <w:pPr>
        <w:pStyle w:val="NormalWeb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4. La articolul 4:</w:t>
      </w:r>
    </w:p>
    <w:p w:rsidR="00F8027B" w:rsidRPr="00B308BF" w:rsidRDefault="00F8027B" w:rsidP="000759A3">
      <w:pPr>
        <w:pStyle w:val="NormalWeb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litera a) cifrele „10928988,3” se substituie cu cifrele „1106</w:t>
      </w:r>
      <w:r w:rsidR="00416440" w:rsidRPr="00B308BF">
        <w:rPr>
          <w:color w:val="333333"/>
          <w:sz w:val="28"/>
          <w:szCs w:val="28"/>
          <w:lang w:val="ro-MD"/>
        </w:rPr>
        <w:t>7966</w:t>
      </w:r>
      <w:r w:rsidRPr="00B308BF">
        <w:rPr>
          <w:color w:val="333333"/>
          <w:sz w:val="28"/>
          <w:szCs w:val="28"/>
          <w:lang w:val="ro-MD"/>
        </w:rPr>
        <w:t>,</w:t>
      </w:r>
      <w:r w:rsidR="00416440" w:rsidRPr="00B308BF">
        <w:rPr>
          <w:color w:val="333333"/>
          <w:sz w:val="28"/>
          <w:szCs w:val="28"/>
          <w:lang w:val="ro-MD"/>
        </w:rPr>
        <w:t>8</w:t>
      </w:r>
      <w:r w:rsidRPr="00B308BF">
        <w:rPr>
          <w:color w:val="333333"/>
          <w:sz w:val="28"/>
          <w:szCs w:val="28"/>
          <w:lang w:val="ro-MD"/>
        </w:rPr>
        <w:t>”;</w:t>
      </w:r>
    </w:p>
    <w:p w:rsidR="00F8027B" w:rsidRPr="00B308BF" w:rsidRDefault="00F8027B" w:rsidP="00880B7B">
      <w:pPr>
        <w:pStyle w:val="NormalWeb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litera c) cifrele „14210051,5” se substituie cu cifrele „14220885,4”.</w:t>
      </w:r>
    </w:p>
    <w:p w:rsidR="007B254E" w:rsidRPr="00B308BF" w:rsidRDefault="002C4604" w:rsidP="000759A3">
      <w:pPr>
        <w:pStyle w:val="NormalWeb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5</w:t>
      </w:r>
      <w:r w:rsidR="007B254E" w:rsidRPr="00B308BF">
        <w:rPr>
          <w:color w:val="333333"/>
          <w:sz w:val="28"/>
          <w:szCs w:val="28"/>
          <w:lang w:val="ro-MD"/>
        </w:rPr>
        <w:t>. Articolul 6</w:t>
      </w:r>
      <w:r w:rsidR="0078184C" w:rsidRPr="00B308BF">
        <w:rPr>
          <w:color w:val="333333"/>
          <w:sz w:val="28"/>
          <w:szCs w:val="28"/>
          <w:lang w:val="ro-MD"/>
        </w:rPr>
        <w:t xml:space="preserve"> alineatul (1) se completează cu litera d) cu următorul cuprins:</w:t>
      </w:r>
    </w:p>
    <w:p w:rsidR="0078184C" w:rsidRPr="00B308BF" w:rsidRDefault="0078184C" w:rsidP="000759A3">
      <w:pPr>
        <w:pStyle w:val="NormalWeb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lastRenderedPageBreak/>
        <w:t>„d) ma</w:t>
      </w:r>
      <w:r w:rsidR="00A45E54" w:rsidRPr="00B308BF">
        <w:rPr>
          <w:color w:val="333333"/>
          <w:sz w:val="28"/>
          <w:szCs w:val="28"/>
          <w:lang w:val="ro-MD"/>
        </w:rPr>
        <w:t>jorarea capitalului social al Societății pe acțiuni</w:t>
      </w:r>
      <w:r w:rsidRPr="00B308BF">
        <w:rPr>
          <w:color w:val="333333"/>
          <w:sz w:val="28"/>
          <w:szCs w:val="28"/>
          <w:lang w:val="ro-MD"/>
        </w:rPr>
        <w:t xml:space="preserve"> „</w:t>
      </w:r>
      <w:proofErr w:type="spellStart"/>
      <w:r w:rsidRPr="00B308BF">
        <w:rPr>
          <w:color w:val="333333"/>
          <w:sz w:val="28"/>
          <w:szCs w:val="28"/>
          <w:lang w:val="ro-MD"/>
        </w:rPr>
        <w:t>E</w:t>
      </w:r>
      <w:r w:rsidR="00A45E54" w:rsidRPr="00B308BF">
        <w:rPr>
          <w:color w:val="333333"/>
          <w:sz w:val="28"/>
          <w:szCs w:val="28"/>
          <w:lang w:val="ro-MD"/>
        </w:rPr>
        <w:t>nergocom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” – în sumă de </w:t>
      </w:r>
      <w:r w:rsidR="00791AEB" w:rsidRPr="00B308BF">
        <w:rPr>
          <w:color w:val="333333"/>
          <w:sz w:val="28"/>
          <w:szCs w:val="28"/>
          <w:lang w:val="ro-MD"/>
        </w:rPr>
        <w:t>p</w:t>
      </w:r>
      <w:r w:rsidR="00455D7C" w:rsidRPr="00B308BF">
        <w:rPr>
          <w:color w:val="333333"/>
          <w:sz w:val="28"/>
          <w:szCs w:val="28"/>
          <w:lang w:val="ro-MD"/>
        </w:rPr>
        <w:t xml:space="preserve">ână la </w:t>
      </w:r>
      <w:r w:rsidRPr="00B308BF">
        <w:rPr>
          <w:color w:val="333333"/>
          <w:sz w:val="28"/>
          <w:szCs w:val="28"/>
          <w:lang w:val="ro-MD"/>
        </w:rPr>
        <w:t>1700000,0 mii de lei.”.</w:t>
      </w:r>
    </w:p>
    <w:p w:rsidR="005F3219" w:rsidRPr="00B308BF" w:rsidRDefault="005F3219" w:rsidP="000759A3">
      <w:pPr>
        <w:pStyle w:val="NormalWeb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RO"/>
        </w:rPr>
      </w:pPr>
      <w:r w:rsidRPr="00B308BF">
        <w:rPr>
          <w:color w:val="333333"/>
          <w:sz w:val="28"/>
          <w:szCs w:val="28"/>
          <w:lang w:val="ro-MD"/>
        </w:rPr>
        <w:t>6. La articolul 8 cifrele „</w:t>
      </w:r>
      <w:r w:rsidR="0030192B" w:rsidRPr="00B308BF">
        <w:rPr>
          <w:color w:val="333333"/>
          <w:sz w:val="28"/>
          <w:szCs w:val="28"/>
          <w:lang w:val="ro-MD"/>
        </w:rPr>
        <w:t>49625,4” și „2728,2” se substituie, respectiv, cu cifrele „51049,5” și „2806,5”.</w:t>
      </w:r>
    </w:p>
    <w:p w:rsidR="008549EE" w:rsidRPr="00B308BF" w:rsidRDefault="00B86BE3" w:rsidP="000759A3">
      <w:pPr>
        <w:pStyle w:val="NormalWeb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RO"/>
        </w:rPr>
      </w:pPr>
      <w:r w:rsidRPr="00B308BF">
        <w:rPr>
          <w:color w:val="333333"/>
          <w:sz w:val="28"/>
          <w:szCs w:val="28"/>
          <w:lang w:val="ro-MD"/>
        </w:rPr>
        <w:t>7</w:t>
      </w:r>
      <w:r w:rsidR="008549EE" w:rsidRPr="00B308BF">
        <w:rPr>
          <w:color w:val="333333"/>
          <w:sz w:val="28"/>
          <w:szCs w:val="28"/>
          <w:lang w:val="ro-MD"/>
        </w:rPr>
        <w:t xml:space="preserve">. Articolul 17 se </w:t>
      </w:r>
      <w:r w:rsidR="00E147FC" w:rsidRPr="00B308BF">
        <w:rPr>
          <w:color w:val="333333"/>
          <w:sz w:val="28"/>
          <w:szCs w:val="28"/>
          <w:lang w:val="ro-MD"/>
        </w:rPr>
        <w:t>completează</w:t>
      </w:r>
      <w:r w:rsidR="008549EE" w:rsidRPr="00B308BF">
        <w:rPr>
          <w:color w:val="333333"/>
          <w:sz w:val="28"/>
          <w:szCs w:val="28"/>
          <w:lang w:val="ro-RO"/>
        </w:rPr>
        <w:t xml:space="preserve"> cu litera j) cu următorul cuprins:</w:t>
      </w:r>
    </w:p>
    <w:p w:rsidR="008549EE" w:rsidRPr="00B308BF" w:rsidRDefault="008549EE" w:rsidP="000759A3">
      <w:pPr>
        <w:pStyle w:val="NormalWeb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</w:rPr>
      </w:pPr>
      <w:r w:rsidRPr="00B308BF">
        <w:rPr>
          <w:color w:val="333333"/>
          <w:sz w:val="28"/>
          <w:szCs w:val="28"/>
          <w:lang w:val="ro-RO"/>
        </w:rPr>
        <w:t>„j) să modifice resursele și cheltuielile autorităților bugetare implicate în procesul de reorganizare structurală a administrației publice centrale, pentru operarea corectărilor necesare, fără modificarea indicatorilor ge</w:t>
      </w:r>
      <w:r w:rsidR="005F3219" w:rsidRPr="00B308BF">
        <w:rPr>
          <w:color w:val="333333"/>
          <w:sz w:val="28"/>
          <w:szCs w:val="28"/>
          <w:lang w:val="ro-RO"/>
        </w:rPr>
        <w:t xml:space="preserve">nerali ai bugetului de stat la </w:t>
      </w:r>
      <w:r w:rsidRPr="00B308BF">
        <w:rPr>
          <w:color w:val="333333"/>
          <w:sz w:val="28"/>
          <w:szCs w:val="28"/>
          <w:lang w:val="ro-RO"/>
        </w:rPr>
        <w:t>venituri și cheltuieli.”.</w:t>
      </w:r>
    </w:p>
    <w:p w:rsidR="00880B7B" w:rsidRPr="00B308BF" w:rsidRDefault="0031649D" w:rsidP="00880B7B">
      <w:pPr>
        <w:pStyle w:val="NormalWeb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8</w:t>
      </w:r>
      <w:r w:rsidR="00880B7B" w:rsidRPr="00B308BF">
        <w:rPr>
          <w:color w:val="333333"/>
          <w:sz w:val="28"/>
          <w:szCs w:val="28"/>
          <w:lang w:val="ro-MD"/>
        </w:rPr>
        <w:t>. La anexa nr. 3, secțiunea 3.1:</w:t>
      </w:r>
    </w:p>
    <w:p w:rsidR="00880B7B" w:rsidRPr="00B308BF" w:rsidRDefault="00880B7B" w:rsidP="00880B7B">
      <w:pPr>
        <w:pStyle w:val="NormalWeb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în compartimentul „Ministerul Infrastruc</w:t>
      </w:r>
      <w:r w:rsidR="00416440" w:rsidRPr="00B308BF">
        <w:rPr>
          <w:color w:val="333333"/>
          <w:sz w:val="28"/>
          <w:szCs w:val="28"/>
          <w:lang w:val="ro-MD"/>
        </w:rPr>
        <w:t>turii și Dezvoltării Regionale”</w:t>
      </w:r>
    </w:p>
    <w:p w:rsidR="002C4604" w:rsidRPr="00B308BF" w:rsidRDefault="00880B7B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proofErr w:type="spellStart"/>
      <w:r w:rsidRPr="00B308BF">
        <w:rPr>
          <w:color w:val="333333"/>
          <w:sz w:val="28"/>
          <w:szCs w:val="28"/>
          <w:lang w:val="ro-MD"/>
        </w:rPr>
        <w:t>subcompartimentul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„Învățământ” va avea următorul cuprins:</w:t>
      </w: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880B7B" w:rsidRPr="00B308BF" w:rsidTr="00880B7B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7B" w:rsidRPr="00B308BF" w:rsidRDefault="00890F00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o-MD" w:eastAsia="ru-RU"/>
              </w:rPr>
              <w:t>Învățământ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o-MD" w:eastAsia="ru-RU"/>
              </w:rPr>
              <w:t>09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 </w:t>
            </w:r>
          </w:p>
        </w:tc>
      </w:tr>
      <w:tr w:rsidR="00880B7B" w:rsidRPr="00B308BF" w:rsidTr="00890F00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Cheltuieli și active nefinanciare, total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66908,7</w:t>
            </w:r>
          </w:p>
        </w:tc>
      </w:tr>
      <w:tr w:rsidR="00880B7B" w:rsidRPr="00B308BF" w:rsidTr="00880B7B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Educație timpurie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8802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30824,3</w:t>
            </w:r>
          </w:p>
        </w:tc>
      </w:tr>
      <w:tr w:rsidR="00880B7B" w:rsidRPr="00B308BF" w:rsidTr="00890F00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Învățământ gimnazial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8804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3421,8</w:t>
            </w:r>
          </w:p>
        </w:tc>
      </w:tr>
      <w:tr w:rsidR="00880B7B" w:rsidRPr="00B308BF" w:rsidTr="00890F00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Învățământ  liceal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8806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B7B" w:rsidRPr="00B308BF" w:rsidRDefault="00880B7B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32662,6</w:t>
            </w:r>
          </w:p>
        </w:tc>
      </w:tr>
    </w:tbl>
    <w:p w:rsidR="00880B7B" w:rsidRPr="00B308BF" w:rsidRDefault="00880B7B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 xml:space="preserve">în compartimentul „Ministerul </w:t>
      </w:r>
      <w:r w:rsidR="005D37D7" w:rsidRPr="00B308BF">
        <w:rPr>
          <w:color w:val="333333"/>
          <w:sz w:val="28"/>
          <w:szCs w:val="28"/>
          <w:lang w:val="ro-MD"/>
        </w:rPr>
        <w:t>Muncii și Protecției Sociale</w:t>
      </w:r>
      <w:r w:rsidRPr="00B308BF">
        <w:rPr>
          <w:color w:val="333333"/>
          <w:sz w:val="28"/>
          <w:szCs w:val="28"/>
          <w:lang w:val="ro-MD"/>
        </w:rPr>
        <w:t>”:</w:t>
      </w:r>
    </w:p>
    <w:p w:rsidR="005D37D7" w:rsidRPr="00B308BF" w:rsidRDefault="005D37D7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 xml:space="preserve">poziția „Cheltuieli </w:t>
      </w:r>
      <w:proofErr w:type="spellStart"/>
      <w:r w:rsidRPr="00B308BF">
        <w:rPr>
          <w:color w:val="333333"/>
          <w:sz w:val="28"/>
          <w:szCs w:val="28"/>
          <w:lang w:val="ro-MD"/>
        </w:rPr>
        <w:t>şi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active nefinanciare, total” va avea următorul cuprins:</w:t>
      </w: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5D37D7" w:rsidRPr="00B308BF" w:rsidTr="00890F00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Cheltuieli și active nefinanciare, total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2+3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30192B" w:rsidP="0030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543</w:t>
            </w:r>
            <w:r w:rsidR="005D37D7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856,5</w:t>
            </w:r>
          </w:p>
        </w:tc>
      </w:tr>
    </w:tbl>
    <w:p w:rsidR="005D37D7" w:rsidRPr="00B308BF" w:rsidRDefault="005D37D7" w:rsidP="00890F00">
      <w:pPr>
        <w:pStyle w:val="NormalWeb"/>
        <w:tabs>
          <w:tab w:val="left" w:pos="1035"/>
        </w:tabs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 xml:space="preserve">la </w:t>
      </w:r>
      <w:proofErr w:type="spellStart"/>
      <w:r w:rsidRPr="00B308BF">
        <w:rPr>
          <w:color w:val="333333"/>
          <w:sz w:val="28"/>
          <w:szCs w:val="28"/>
          <w:lang w:val="ro-MD"/>
        </w:rPr>
        <w:t>subcompartimentul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„Protecție socială”, pozițiile „Cheltuieli </w:t>
      </w:r>
      <w:proofErr w:type="spellStart"/>
      <w:r w:rsidRPr="00B308BF">
        <w:rPr>
          <w:color w:val="333333"/>
          <w:sz w:val="28"/>
          <w:szCs w:val="28"/>
          <w:lang w:val="ro-MD"/>
        </w:rPr>
        <w:t>şi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active nefinanciare, total”, „Protecție socială în cazuri excepționale” </w:t>
      </w:r>
      <w:proofErr w:type="spellStart"/>
      <w:r w:rsidRPr="00B308BF">
        <w:rPr>
          <w:color w:val="333333"/>
          <w:sz w:val="28"/>
          <w:szCs w:val="28"/>
          <w:lang w:val="ro-MD"/>
        </w:rPr>
        <w:t>şi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„Protecți</w:t>
      </w:r>
      <w:r w:rsidR="008E3C11" w:rsidRPr="00B308BF">
        <w:rPr>
          <w:color w:val="333333"/>
          <w:sz w:val="28"/>
          <w:szCs w:val="28"/>
          <w:lang w:val="ro-MD"/>
        </w:rPr>
        <w:t>a</w:t>
      </w:r>
      <w:r w:rsidRPr="00B308BF">
        <w:rPr>
          <w:color w:val="333333"/>
          <w:sz w:val="28"/>
          <w:szCs w:val="28"/>
          <w:lang w:val="ro-MD"/>
        </w:rPr>
        <w:t xml:space="preserve"> socială a unor categorii de cetățeni” vor avea următorul cuprins:</w:t>
      </w: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5D37D7" w:rsidRPr="00B308BF" w:rsidTr="00890F00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Cheltuieli și active nefinanciare, total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B963F5" w:rsidP="0030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523</w:t>
            </w:r>
            <w:r w:rsidR="005D37D7"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662,8</w:t>
            </w:r>
          </w:p>
        </w:tc>
      </w:tr>
    </w:tbl>
    <w:p w:rsidR="00880B7B" w:rsidRPr="00B308BF" w:rsidRDefault="00880B7B" w:rsidP="00890F00">
      <w:pPr>
        <w:pStyle w:val="NormalWeb"/>
        <w:spacing w:before="0" w:beforeAutospacing="0" w:after="0" w:afterAutospacing="0"/>
        <w:jc w:val="both"/>
        <w:rPr>
          <w:color w:val="333333"/>
          <w:sz w:val="14"/>
          <w:szCs w:val="14"/>
          <w:lang w:val="ro-MD"/>
        </w:rPr>
      </w:pP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5D37D7" w:rsidRPr="00B308BF" w:rsidTr="00890F00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Protecție socială în cazuri excepționale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9012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30192B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7</w:t>
            </w:r>
            <w:r w:rsidR="005D37D7"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4986,0</w:t>
            </w:r>
          </w:p>
        </w:tc>
      </w:tr>
    </w:tbl>
    <w:p w:rsidR="005D37D7" w:rsidRPr="00B308BF" w:rsidRDefault="005D37D7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14"/>
          <w:szCs w:val="14"/>
          <w:lang w:val="ro-MD"/>
        </w:rPr>
      </w:pP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5D37D7" w:rsidRPr="00B308BF" w:rsidTr="00890F00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7D7" w:rsidRPr="00B308BF" w:rsidRDefault="005D37D7" w:rsidP="008E3C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Protecți</w:t>
            </w:r>
            <w:r w:rsidR="008E3C11"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a</w:t>
            </w: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 xml:space="preserve"> socială a unor categorii de cetățeni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9019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30192B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214</w:t>
            </w:r>
            <w:r w:rsidR="005D37D7"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477,1</w:t>
            </w:r>
          </w:p>
        </w:tc>
      </w:tr>
    </w:tbl>
    <w:p w:rsidR="005D37D7" w:rsidRPr="00B308BF" w:rsidRDefault="005D37D7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în compartimentul „Acțiuni generale”:</w:t>
      </w:r>
    </w:p>
    <w:p w:rsidR="005D37D7" w:rsidRPr="00B308BF" w:rsidRDefault="005D37D7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lastRenderedPageBreak/>
        <w:t xml:space="preserve">poziția „Cheltuieli </w:t>
      </w:r>
      <w:proofErr w:type="spellStart"/>
      <w:r w:rsidRPr="00B308BF">
        <w:rPr>
          <w:color w:val="333333"/>
          <w:sz w:val="28"/>
          <w:szCs w:val="28"/>
          <w:lang w:val="ro-MD"/>
        </w:rPr>
        <w:t>şi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active nefinanciare, total” va avea următorul cuprins:</w:t>
      </w: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5D37D7" w:rsidRPr="00B308BF" w:rsidTr="00890F00">
        <w:trPr>
          <w:trHeight w:val="33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Cheltuieli și active nefinanciare, total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2+3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CE7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3431</w:t>
            </w:r>
            <w:r w:rsidR="0030192B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1</w:t>
            </w:r>
            <w:r w:rsidR="00CE74C3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211</w:t>
            </w: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,3</w:t>
            </w:r>
          </w:p>
        </w:tc>
      </w:tr>
    </w:tbl>
    <w:p w:rsidR="005D37D7" w:rsidRPr="00B308BF" w:rsidRDefault="005D37D7" w:rsidP="00890F00">
      <w:pPr>
        <w:pStyle w:val="NormalWeb"/>
        <w:tabs>
          <w:tab w:val="left" w:pos="1035"/>
        </w:tabs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 xml:space="preserve">la </w:t>
      </w:r>
      <w:proofErr w:type="spellStart"/>
      <w:r w:rsidRPr="00B308BF">
        <w:rPr>
          <w:color w:val="333333"/>
          <w:sz w:val="28"/>
          <w:szCs w:val="28"/>
          <w:lang w:val="ro-MD"/>
        </w:rPr>
        <w:t>subcompartimentul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„Servicii de stat cu destinație generală”, pozițiile „Cheltuieli </w:t>
      </w:r>
      <w:proofErr w:type="spellStart"/>
      <w:r w:rsidRPr="00B308BF">
        <w:rPr>
          <w:color w:val="333333"/>
          <w:sz w:val="28"/>
          <w:szCs w:val="28"/>
          <w:lang w:val="ro-MD"/>
        </w:rPr>
        <w:t>şi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active nefinanciare, total”, „Gestionarea fondurilor de rezervă și de intervenție” și „Datoria de stat externă” vor avea următorul cuprins:</w:t>
      </w: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5D37D7" w:rsidRPr="00B308BF" w:rsidTr="00890F00">
        <w:trPr>
          <w:trHeight w:val="31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Cheltuieli și active nefinanciare, total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CE7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5</w:t>
            </w:r>
            <w:r w:rsidR="00CE74C3"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855159,6</w:t>
            </w:r>
          </w:p>
        </w:tc>
      </w:tr>
    </w:tbl>
    <w:p w:rsidR="005D37D7" w:rsidRPr="00B308BF" w:rsidRDefault="005D37D7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14"/>
          <w:szCs w:val="14"/>
          <w:lang w:val="ro-MD"/>
        </w:rPr>
      </w:pP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5D37D7" w:rsidRPr="00B308BF" w:rsidTr="00890F00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Gestionarea fondurilor de rezervă și  de intervenție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0802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823000,0</w:t>
            </w:r>
          </w:p>
        </w:tc>
      </w:tr>
    </w:tbl>
    <w:p w:rsidR="005D37D7" w:rsidRPr="00B308BF" w:rsidRDefault="005D37D7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14"/>
          <w:szCs w:val="14"/>
          <w:lang w:val="ro-MD"/>
        </w:rPr>
      </w:pP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5D37D7" w:rsidRPr="00B308BF" w:rsidTr="00890F00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Datoria de stat externă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1702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7D7" w:rsidRPr="00B308BF" w:rsidRDefault="005D37D7" w:rsidP="00CE7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398431,</w:t>
            </w:r>
            <w:r w:rsidR="00CE74C3"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6</w:t>
            </w:r>
          </w:p>
        </w:tc>
      </w:tr>
    </w:tbl>
    <w:p w:rsidR="005D37D7" w:rsidRPr="00B308BF" w:rsidRDefault="005551F2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 xml:space="preserve">la </w:t>
      </w:r>
      <w:proofErr w:type="spellStart"/>
      <w:r w:rsidRPr="00B308BF">
        <w:rPr>
          <w:color w:val="333333"/>
          <w:sz w:val="28"/>
          <w:szCs w:val="28"/>
          <w:lang w:val="ro-MD"/>
        </w:rPr>
        <w:t>subcompartimentul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„Servicii în domeniul economiei” pozițiile „Cheltuieli </w:t>
      </w:r>
      <w:proofErr w:type="spellStart"/>
      <w:r w:rsidRPr="00B308BF">
        <w:rPr>
          <w:color w:val="333333"/>
          <w:sz w:val="28"/>
          <w:szCs w:val="28"/>
          <w:lang w:val="ro-MD"/>
        </w:rPr>
        <w:t>şi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active nefinanciare, total” și „Servicii generale în domeniul forței de muncă” vor avea următorul cuprins:</w:t>
      </w: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5551F2" w:rsidRPr="00B308BF" w:rsidTr="00890F00">
        <w:trPr>
          <w:trHeight w:val="31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1F2" w:rsidRPr="00B308BF" w:rsidRDefault="005551F2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Cheltuieli și active nefinanciare, total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1F2" w:rsidRPr="00B308BF" w:rsidRDefault="005551F2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1F2" w:rsidRPr="00B308BF" w:rsidRDefault="005551F2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978271,2</w:t>
            </w:r>
          </w:p>
        </w:tc>
      </w:tr>
      <w:tr w:rsidR="005551F2" w:rsidRPr="00B308BF" w:rsidTr="00890F00">
        <w:trPr>
          <w:trHeight w:val="315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1F2" w:rsidRPr="00B308BF" w:rsidRDefault="005551F2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Servicii generale în domeniul forței de muncă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1F2" w:rsidRPr="00B308BF" w:rsidRDefault="005551F2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5003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1F2" w:rsidRPr="00B308BF" w:rsidRDefault="005551F2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20000,0</w:t>
            </w:r>
          </w:p>
        </w:tc>
      </w:tr>
    </w:tbl>
    <w:p w:rsidR="00991E7A" w:rsidRPr="00B308BF" w:rsidRDefault="005551F2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 xml:space="preserve">la </w:t>
      </w:r>
      <w:proofErr w:type="spellStart"/>
      <w:r w:rsidRPr="00B308BF">
        <w:rPr>
          <w:color w:val="333333"/>
          <w:sz w:val="28"/>
          <w:szCs w:val="28"/>
          <w:lang w:val="ro-MD"/>
        </w:rPr>
        <w:t>subcompartimentul</w:t>
      </w:r>
      <w:proofErr w:type="spellEnd"/>
      <w:r w:rsidRPr="00B308BF">
        <w:rPr>
          <w:color w:val="333333"/>
          <w:sz w:val="28"/>
          <w:szCs w:val="28"/>
          <w:lang w:val="ro-MD"/>
        </w:rPr>
        <w:t xml:space="preserve"> </w:t>
      </w:r>
      <w:r w:rsidR="00991E7A" w:rsidRPr="00B308BF">
        <w:rPr>
          <w:color w:val="333333"/>
          <w:sz w:val="28"/>
          <w:szCs w:val="28"/>
          <w:lang w:val="ro-MD"/>
        </w:rPr>
        <w:t xml:space="preserve">„Protecție socială” pozițiile „Cheltuieli </w:t>
      </w:r>
      <w:proofErr w:type="spellStart"/>
      <w:r w:rsidR="00991E7A" w:rsidRPr="00B308BF">
        <w:rPr>
          <w:color w:val="333333"/>
          <w:sz w:val="28"/>
          <w:szCs w:val="28"/>
          <w:lang w:val="ro-MD"/>
        </w:rPr>
        <w:t>şi</w:t>
      </w:r>
      <w:proofErr w:type="spellEnd"/>
      <w:r w:rsidR="00991E7A" w:rsidRPr="00B308BF">
        <w:rPr>
          <w:color w:val="333333"/>
          <w:sz w:val="28"/>
          <w:szCs w:val="28"/>
          <w:lang w:val="ro-MD"/>
        </w:rPr>
        <w:t xml:space="preserve"> active nefinanciare, total”, „Protecția socială a persoanelor în situații de risc” și  vor avea următorul cuprins:</w:t>
      </w: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991E7A" w:rsidRPr="00B308BF" w:rsidTr="00890F00">
        <w:trPr>
          <w:trHeight w:val="31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E7A" w:rsidRPr="00B308BF" w:rsidRDefault="00991E7A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Cheltuieli și active nefinanciare, total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E7A" w:rsidRPr="00B308BF" w:rsidRDefault="00991E7A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E7A" w:rsidRPr="00B308BF" w:rsidRDefault="00991E7A" w:rsidP="00CE7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1150</w:t>
            </w:r>
            <w:r w:rsidR="00CE74C3"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851</w:t>
            </w: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5,0</w:t>
            </w:r>
          </w:p>
        </w:tc>
      </w:tr>
    </w:tbl>
    <w:p w:rsidR="002C4604" w:rsidRPr="00B308BF" w:rsidRDefault="002C4604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14"/>
          <w:szCs w:val="14"/>
          <w:lang w:val="ro-MD"/>
        </w:rPr>
      </w:pP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991E7A" w:rsidRPr="00B308BF" w:rsidTr="00890F00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E7A" w:rsidRPr="00B308BF" w:rsidRDefault="00991E7A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Protecția socială a persoanelor în situații de risc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E7A" w:rsidRPr="00B308BF" w:rsidRDefault="00991E7A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9015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E7A" w:rsidRPr="00B308BF" w:rsidRDefault="00991E7A" w:rsidP="00CE7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705</w:t>
            </w:r>
            <w:r w:rsidR="0030192B"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1</w:t>
            </w:r>
            <w:r w:rsidR="00CE74C3"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158</w:t>
            </w: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,</w:t>
            </w:r>
            <w:r w:rsidR="00CE74C3"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4</w:t>
            </w:r>
          </w:p>
        </w:tc>
      </w:tr>
    </w:tbl>
    <w:p w:rsidR="00991E7A" w:rsidRPr="00B308BF" w:rsidRDefault="00991E7A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D"/>
        </w:rPr>
      </w:pPr>
    </w:p>
    <w:p w:rsidR="00060794" w:rsidRPr="00B308BF" w:rsidRDefault="00060794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14"/>
          <w:szCs w:val="14"/>
          <w:lang w:val="ro-MD"/>
        </w:rPr>
      </w:pPr>
      <w:proofErr w:type="spellStart"/>
      <w:r w:rsidRPr="00B308BF">
        <w:rPr>
          <w:color w:val="333333"/>
          <w:sz w:val="28"/>
          <w:szCs w:val="28"/>
          <w:lang w:val="ro-RO"/>
        </w:rPr>
        <w:t>subcompartimentul</w:t>
      </w:r>
      <w:proofErr w:type="spellEnd"/>
      <w:r w:rsidRPr="00B308BF">
        <w:rPr>
          <w:color w:val="333333"/>
          <w:sz w:val="28"/>
          <w:szCs w:val="28"/>
          <w:lang w:val="ro-RO"/>
        </w:rPr>
        <w:t xml:space="preserve"> „Protecție socială” se completează cu poziția </w:t>
      </w:r>
      <w:r w:rsidRPr="00B308BF">
        <w:rPr>
          <w:color w:val="333333"/>
          <w:sz w:val="28"/>
          <w:szCs w:val="28"/>
          <w:lang w:val="ro-MD"/>
        </w:rPr>
        <w:t>„</w:t>
      </w:r>
      <w:r w:rsidR="00A62943" w:rsidRPr="00B308BF">
        <w:rPr>
          <w:color w:val="333333"/>
          <w:sz w:val="28"/>
          <w:szCs w:val="28"/>
          <w:lang w:val="ro-MD"/>
        </w:rPr>
        <w:t>Protecție</w:t>
      </w:r>
      <w:r w:rsidRPr="00B308BF">
        <w:rPr>
          <w:color w:val="333333"/>
          <w:sz w:val="28"/>
          <w:szCs w:val="28"/>
          <w:lang w:val="ro-MD"/>
        </w:rPr>
        <w:t xml:space="preserve"> socială în contextul pandemiei Covid-19” cu următorul cuprins</w:t>
      </w:r>
      <w:r w:rsidR="00B308BF" w:rsidRPr="00B308BF">
        <w:rPr>
          <w:color w:val="333333"/>
          <w:sz w:val="28"/>
          <w:szCs w:val="28"/>
          <w:lang w:val="ro-MD"/>
        </w:rPr>
        <w:t>:</w:t>
      </w:r>
    </w:p>
    <w:p w:rsidR="00060794" w:rsidRPr="00B308BF" w:rsidRDefault="00060794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MD"/>
        </w:rPr>
      </w:pP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991E7A" w:rsidRPr="00B308BF" w:rsidTr="00890F00">
        <w:trPr>
          <w:trHeight w:val="3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E7A" w:rsidRPr="00B308BF" w:rsidRDefault="00A6294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Protecție</w:t>
            </w:r>
            <w:r w:rsidR="00991E7A"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 xml:space="preserve"> socială în contextul pandemiei Covid-19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E7A" w:rsidRPr="00B308BF" w:rsidRDefault="00991E7A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MD" w:eastAsia="ru-RU"/>
              </w:rPr>
              <w:t>9033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E7A" w:rsidRPr="00B308BF" w:rsidRDefault="00991E7A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 w:eastAsia="ru-RU"/>
              </w:rPr>
              <w:t>20000,0</w:t>
            </w:r>
          </w:p>
        </w:tc>
      </w:tr>
    </w:tbl>
    <w:p w:rsidR="00991E7A" w:rsidRPr="00B308BF" w:rsidRDefault="00991E7A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poziția „TOTAL” va avea următorul cuprins:</w:t>
      </w:r>
    </w:p>
    <w:tbl>
      <w:tblPr>
        <w:tblW w:w="8820" w:type="dxa"/>
        <w:tblInd w:w="675" w:type="dxa"/>
        <w:tblLook w:val="04A0" w:firstRow="1" w:lastRow="0" w:firstColumn="1" w:lastColumn="0" w:noHBand="0" w:noVBand="1"/>
      </w:tblPr>
      <w:tblGrid>
        <w:gridCol w:w="6260"/>
        <w:gridCol w:w="820"/>
        <w:gridCol w:w="1740"/>
      </w:tblGrid>
      <w:tr w:rsidR="00991E7A" w:rsidRPr="00B308BF" w:rsidTr="00890F00">
        <w:trPr>
          <w:trHeight w:val="43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E7A" w:rsidRPr="00B308BF" w:rsidRDefault="00991E7A" w:rsidP="00890F0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TOTAL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E7A" w:rsidRPr="00B308BF" w:rsidRDefault="00991E7A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MD"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E7A" w:rsidRPr="00B308BF" w:rsidRDefault="00991E7A" w:rsidP="00CE7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57</w:t>
            </w:r>
            <w:r w:rsidR="0030192B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654</w:t>
            </w:r>
            <w:r w:rsidR="00CE74C3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344</w:t>
            </w: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,0</w:t>
            </w:r>
          </w:p>
        </w:tc>
      </w:tr>
    </w:tbl>
    <w:p w:rsidR="00E8337D" w:rsidRPr="00B308BF" w:rsidRDefault="0031649D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9</w:t>
      </w:r>
      <w:r w:rsidR="008E5B0B" w:rsidRPr="00B308BF">
        <w:rPr>
          <w:color w:val="333333"/>
          <w:sz w:val="28"/>
          <w:szCs w:val="28"/>
          <w:lang w:val="ro-MD"/>
        </w:rPr>
        <w:t xml:space="preserve">. La anexa nr. 3, </w:t>
      </w:r>
      <w:r w:rsidR="000759A3" w:rsidRPr="00B308BF">
        <w:rPr>
          <w:color w:val="333333"/>
          <w:sz w:val="28"/>
          <w:szCs w:val="28"/>
          <w:lang w:val="ro-MD"/>
        </w:rPr>
        <w:t>secțiunea</w:t>
      </w:r>
      <w:r w:rsidR="00E8337D" w:rsidRPr="00B308BF">
        <w:rPr>
          <w:color w:val="333333"/>
          <w:sz w:val="28"/>
          <w:szCs w:val="28"/>
          <w:lang w:val="ro-MD"/>
        </w:rPr>
        <w:t xml:space="preserve"> 3.2</w:t>
      </w:r>
      <w:r w:rsidR="000759A3" w:rsidRPr="00B308BF">
        <w:rPr>
          <w:color w:val="333333"/>
          <w:sz w:val="28"/>
          <w:szCs w:val="28"/>
          <w:lang w:val="ro-MD"/>
        </w:rPr>
        <w:t>:</w:t>
      </w:r>
    </w:p>
    <w:p w:rsidR="002429D9" w:rsidRPr="00B308BF" w:rsidRDefault="00D60110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pozițiile</w:t>
      </w:r>
      <w:r w:rsidR="00991E7A" w:rsidRPr="00B308BF">
        <w:rPr>
          <w:color w:val="333333"/>
          <w:sz w:val="28"/>
          <w:szCs w:val="28"/>
          <w:lang w:val="ro-MD"/>
        </w:rPr>
        <w:t xml:space="preserve"> „Ministerul Muncii și Protecției Sociale”, </w:t>
      </w:r>
      <w:r w:rsidR="008E5B0B" w:rsidRPr="00B308BF">
        <w:rPr>
          <w:color w:val="333333"/>
          <w:sz w:val="28"/>
          <w:szCs w:val="28"/>
          <w:lang w:val="ro-MD"/>
        </w:rPr>
        <w:t>„Acțiuni generale” și „TOTAL” vor avea următorul cuprins:</w:t>
      </w:r>
    </w:p>
    <w:tbl>
      <w:tblPr>
        <w:tblW w:w="9139" w:type="dxa"/>
        <w:tblInd w:w="250" w:type="dxa"/>
        <w:tblLook w:val="04A0" w:firstRow="1" w:lastRow="0" w:firstColumn="1" w:lastColumn="0" w:noHBand="0" w:noVBand="1"/>
      </w:tblPr>
      <w:tblGrid>
        <w:gridCol w:w="3539"/>
        <w:gridCol w:w="820"/>
        <w:gridCol w:w="1240"/>
        <w:gridCol w:w="1240"/>
        <w:gridCol w:w="1120"/>
        <w:gridCol w:w="1180"/>
      </w:tblGrid>
      <w:tr w:rsidR="00D60110" w:rsidRPr="00B308BF" w:rsidTr="00890F00">
        <w:trPr>
          <w:trHeight w:val="3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10" w:rsidRPr="00B308BF" w:rsidRDefault="00D60110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lastRenderedPageBreak/>
              <w:t>Ministerul Muncii și Protecției Sociale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10" w:rsidRPr="00B308BF" w:rsidRDefault="00D60110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0228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10" w:rsidRPr="00B308BF" w:rsidRDefault="001223DE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543</w:t>
            </w:r>
            <w:r w:rsidR="00D60110"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856,5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110" w:rsidRPr="00B308BF" w:rsidRDefault="00D60110" w:rsidP="001223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4</w:t>
            </w:r>
            <w:r w:rsidR="001223DE"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73</w:t>
            </w:r>
            <w:r w:rsidR="00B8784F" w:rsidRPr="00B308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</w:t>
            </w:r>
            <w:r w:rsidR="00B8784F"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10" w:rsidRPr="00B308BF" w:rsidRDefault="00B8784F" w:rsidP="00B87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68109,5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10" w:rsidRPr="00B308BF" w:rsidRDefault="00D60110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2143,5</w:t>
            </w:r>
          </w:p>
        </w:tc>
      </w:tr>
    </w:tbl>
    <w:p w:rsidR="00D60110" w:rsidRPr="00B308BF" w:rsidRDefault="00D60110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14"/>
          <w:szCs w:val="14"/>
          <w:lang w:val="ro-MD"/>
        </w:rPr>
      </w:pPr>
    </w:p>
    <w:tbl>
      <w:tblPr>
        <w:tblW w:w="9186" w:type="dxa"/>
        <w:tblInd w:w="250" w:type="dxa"/>
        <w:tblLook w:val="04A0" w:firstRow="1" w:lastRow="0" w:firstColumn="1" w:lastColumn="0" w:noHBand="0" w:noVBand="1"/>
      </w:tblPr>
      <w:tblGrid>
        <w:gridCol w:w="3544"/>
        <w:gridCol w:w="820"/>
        <w:gridCol w:w="1261"/>
        <w:gridCol w:w="1261"/>
        <w:gridCol w:w="1120"/>
        <w:gridCol w:w="1180"/>
      </w:tblGrid>
      <w:tr w:rsidR="00890F00" w:rsidRPr="00B308BF" w:rsidTr="00890F00">
        <w:trPr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10" w:rsidRPr="00B308BF" w:rsidRDefault="00D60110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Acțiuni generale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10" w:rsidRPr="00B308BF" w:rsidRDefault="00D60110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0799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10" w:rsidRPr="00B308BF" w:rsidRDefault="00D60110" w:rsidP="00CE7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3431</w:t>
            </w:r>
            <w:r w:rsidR="001223DE"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1</w:t>
            </w:r>
            <w:r w:rsidR="00CE74C3"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211</w:t>
            </w: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110" w:rsidRPr="00B308BF" w:rsidRDefault="00D60110" w:rsidP="00CE7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3431</w:t>
            </w:r>
            <w:r w:rsidR="001223DE"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1</w:t>
            </w:r>
            <w:r w:rsidR="00CE74C3"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211</w:t>
            </w: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10" w:rsidRPr="00B308BF" w:rsidRDefault="00D60110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10" w:rsidRPr="00B308BF" w:rsidRDefault="00D60110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lang w:val="ro-MD" w:eastAsia="ru-RU"/>
              </w:rPr>
              <w:t> </w:t>
            </w:r>
          </w:p>
        </w:tc>
      </w:tr>
      <w:tr w:rsidR="00890F00" w:rsidRPr="00B308BF" w:rsidTr="00890F00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10" w:rsidRPr="00B308BF" w:rsidRDefault="00D60110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TOTAL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10" w:rsidRPr="00B308BF" w:rsidRDefault="00D60110" w:rsidP="00890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MD" w:eastAsia="ru-RU"/>
              </w:rPr>
            </w:pPr>
            <w:r w:rsidRPr="00B308BF">
              <w:rPr>
                <w:rFonts w:ascii="Calibri" w:eastAsia="Times New Roman" w:hAnsi="Calibri" w:cs="Calibri"/>
                <w:color w:val="000000"/>
                <w:lang w:val="ro-MD"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10" w:rsidRPr="00B308BF" w:rsidRDefault="00D60110" w:rsidP="00CE7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57</w:t>
            </w:r>
            <w:r w:rsidR="001223DE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654</w:t>
            </w:r>
            <w:r w:rsidR="00CE74C3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344</w:t>
            </w: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10" w:rsidRPr="00B308BF" w:rsidRDefault="00D60110" w:rsidP="00CE7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52</w:t>
            </w:r>
            <w:r w:rsidR="001223DE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847</w:t>
            </w:r>
            <w:r w:rsidR="00CE74C3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326</w:t>
            </w:r>
            <w:r w:rsidR="00B8784F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10" w:rsidRPr="00B308BF" w:rsidRDefault="00D60110" w:rsidP="00B87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8</w:t>
            </w:r>
            <w:r w:rsidR="00B8784F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78194,2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10" w:rsidRPr="00B308BF" w:rsidRDefault="00D60110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 w:eastAsia="ru-RU"/>
              </w:rPr>
              <w:t>3928823,5</w:t>
            </w:r>
          </w:p>
        </w:tc>
      </w:tr>
    </w:tbl>
    <w:p w:rsidR="00E8337D" w:rsidRPr="00B308BF" w:rsidRDefault="0031649D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10</w:t>
      </w:r>
      <w:r w:rsidR="008E5B0B" w:rsidRPr="00B308BF">
        <w:rPr>
          <w:color w:val="333333"/>
          <w:sz w:val="28"/>
          <w:szCs w:val="28"/>
          <w:lang w:val="ro-MD"/>
        </w:rPr>
        <w:t>. La anexa nr. 4</w:t>
      </w:r>
      <w:r w:rsidR="000759A3" w:rsidRPr="00B308BF">
        <w:rPr>
          <w:color w:val="333333"/>
          <w:sz w:val="28"/>
          <w:szCs w:val="28"/>
          <w:lang w:val="ro-MD"/>
        </w:rPr>
        <w:t>:</w:t>
      </w:r>
    </w:p>
    <w:p w:rsidR="008E5B0B" w:rsidRPr="00B308BF" w:rsidRDefault="008E5B0B" w:rsidP="00890F00">
      <w:pPr>
        <w:pStyle w:val="NormalWeb"/>
        <w:spacing w:after="24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color w:val="333333"/>
          <w:sz w:val="28"/>
          <w:szCs w:val="28"/>
          <w:lang w:val="ro-MD"/>
        </w:rPr>
        <w:t>pozițiile „Servicii de stat cu destinație generală”, „Servicii de stat cu destinație generală neatribuite la alte grupe”</w:t>
      </w:r>
      <w:r w:rsidR="007F27E3" w:rsidRPr="00B308BF">
        <w:rPr>
          <w:color w:val="333333"/>
          <w:sz w:val="28"/>
          <w:szCs w:val="28"/>
          <w:lang w:val="ro-MD"/>
        </w:rPr>
        <w:t>, „Serviciul datoriei”, „Servicii în domeniul economiei”, „Servicii economice generale, comerciale și în domeniul forței de muncă”, „Educație timpurie</w:t>
      </w:r>
      <w:r w:rsidRPr="00B308BF">
        <w:rPr>
          <w:color w:val="333333"/>
          <w:sz w:val="28"/>
          <w:szCs w:val="28"/>
          <w:lang w:val="ro-MD"/>
        </w:rPr>
        <w:t xml:space="preserve"> și </w:t>
      </w:r>
      <w:r w:rsidR="007F27E3" w:rsidRPr="00B308BF">
        <w:rPr>
          <w:color w:val="333333"/>
          <w:sz w:val="28"/>
          <w:szCs w:val="28"/>
          <w:lang w:val="ro-MD"/>
        </w:rPr>
        <w:t xml:space="preserve">învățământ primar”, „Învățământ secundar”, „Protecție socială”, „Protecție împotriva excluziunii sociale”, „Alte servicii în domeniul protecției sociale neatribuite la alte grupe” și </w:t>
      </w:r>
      <w:r w:rsidRPr="00B308BF">
        <w:rPr>
          <w:color w:val="333333"/>
          <w:sz w:val="28"/>
          <w:szCs w:val="28"/>
          <w:lang w:val="ro-MD"/>
        </w:rPr>
        <w:t>„TOTAL” vor avea următorul cuprins:</w:t>
      </w:r>
    </w:p>
    <w:tbl>
      <w:tblPr>
        <w:tblW w:w="8792" w:type="dxa"/>
        <w:tblInd w:w="534" w:type="dxa"/>
        <w:tblLook w:val="04A0" w:firstRow="1" w:lastRow="0" w:firstColumn="1" w:lastColumn="0" w:noHBand="0" w:noVBand="1"/>
      </w:tblPr>
      <w:tblGrid>
        <w:gridCol w:w="6520"/>
        <w:gridCol w:w="880"/>
        <w:gridCol w:w="1392"/>
      </w:tblGrid>
      <w:tr w:rsidR="007F27E3" w:rsidRPr="00B308BF" w:rsidTr="00890F00">
        <w:trPr>
          <w:trHeight w:val="31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 xml:space="preserve">Servicii de stat cu </w:t>
            </w:r>
            <w:r w:rsidR="004804AD" w:rsidRPr="00B3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destinație</w:t>
            </w:r>
            <w:r w:rsidRPr="00B3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 xml:space="preserve"> generală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01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4804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8911625,</w:t>
            </w:r>
            <w:r w:rsidR="004804AD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5</w:t>
            </w:r>
          </w:p>
        </w:tc>
      </w:tr>
    </w:tbl>
    <w:p w:rsidR="007F27E3" w:rsidRPr="00B308BF" w:rsidRDefault="007F27E3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14"/>
          <w:szCs w:val="14"/>
          <w:lang w:val="ro-MD"/>
        </w:rPr>
      </w:pPr>
    </w:p>
    <w:tbl>
      <w:tblPr>
        <w:tblW w:w="8788" w:type="dxa"/>
        <w:tblInd w:w="534" w:type="dxa"/>
        <w:tblLook w:val="04A0" w:firstRow="1" w:lastRow="0" w:firstColumn="1" w:lastColumn="0" w:noHBand="0" w:noVBand="1"/>
      </w:tblPr>
      <w:tblGrid>
        <w:gridCol w:w="6520"/>
        <w:gridCol w:w="880"/>
        <w:gridCol w:w="1388"/>
      </w:tblGrid>
      <w:tr w:rsidR="007F27E3" w:rsidRPr="00B308BF" w:rsidTr="00890F00">
        <w:trPr>
          <w:trHeight w:val="37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Servicii de stat cu destinație generală neatribuite la alte grupe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016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1262807,6</w:t>
            </w:r>
          </w:p>
        </w:tc>
      </w:tr>
      <w:tr w:rsidR="007F27E3" w:rsidRPr="00B308BF" w:rsidTr="00890F00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Serviciul datoriei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017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4804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1917730,</w:t>
            </w:r>
            <w:r w:rsidR="004804AD"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9</w:t>
            </w:r>
          </w:p>
        </w:tc>
      </w:tr>
    </w:tbl>
    <w:p w:rsidR="007F27E3" w:rsidRPr="00B308BF" w:rsidRDefault="007F27E3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14"/>
          <w:szCs w:val="14"/>
          <w:lang w:val="ro-MD"/>
        </w:rPr>
      </w:pPr>
    </w:p>
    <w:tbl>
      <w:tblPr>
        <w:tblW w:w="8788" w:type="dxa"/>
        <w:tblInd w:w="534" w:type="dxa"/>
        <w:tblLook w:val="04A0" w:firstRow="1" w:lastRow="0" w:firstColumn="1" w:lastColumn="0" w:noHBand="0" w:noVBand="1"/>
      </w:tblPr>
      <w:tblGrid>
        <w:gridCol w:w="6520"/>
        <w:gridCol w:w="880"/>
        <w:gridCol w:w="1388"/>
      </w:tblGrid>
      <w:tr w:rsidR="007F27E3" w:rsidRPr="00B308BF" w:rsidTr="00890F00">
        <w:trPr>
          <w:trHeight w:val="31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Servicii în domeniul economiei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04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7911066,0</w:t>
            </w:r>
          </w:p>
        </w:tc>
      </w:tr>
      <w:tr w:rsidR="007F27E3" w:rsidRPr="00B308BF" w:rsidTr="00890F00">
        <w:trPr>
          <w:trHeight w:val="39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Servicii  economice generale, comerciale și în domeniul forței de muncă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041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401829,2</w:t>
            </w:r>
          </w:p>
        </w:tc>
      </w:tr>
    </w:tbl>
    <w:p w:rsidR="007F27E3" w:rsidRPr="00B308BF" w:rsidRDefault="007F27E3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14"/>
          <w:szCs w:val="14"/>
          <w:lang w:val="ro-MD"/>
        </w:rPr>
      </w:pPr>
    </w:p>
    <w:tbl>
      <w:tblPr>
        <w:tblW w:w="8788" w:type="dxa"/>
        <w:tblInd w:w="534" w:type="dxa"/>
        <w:tblLook w:val="04A0" w:firstRow="1" w:lastRow="0" w:firstColumn="1" w:lastColumn="0" w:noHBand="0" w:noVBand="1"/>
      </w:tblPr>
      <w:tblGrid>
        <w:gridCol w:w="6520"/>
        <w:gridCol w:w="880"/>
        <w:gridCol w:w="1388"/>
      </w:tblGrid>
      <w:tr w:rsidR="007F27E3" w:rsidRPr="00B308BF" w:rsidTr="00890F00">
        <w:trPr>
          <w:trHeight w:val="31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Educație timpurie și învățământ  primar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091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55452,6</w:t>
            </w:r>
          </w:p>
        </w:tc>
      </w:tr>
      <w:tr w:rsidR="007F27E3" w:rsidRPr="00B308BF" w:rsidTr="00890F00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Învățământ secundar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092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282060,9</w:t>
            </w:r>
          </w:p>
        </w:tc>
      </w:tr>
    </w:tbl>
    <w:p w:rsidR="007F27E3" w:rsidRPr="00B308BF" w:rsidRDefault="007F27E3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14"/>
          <w:szCs w:val="14"/>
          <w:lang w:val="ro-MD"/>
        </w:rPr>
      </w:pPr>
    </w:p>
    <w:tbl>
      <w:tblPr>
        <w:tblW w:w="8788" w:type="dxa"/>
        <w:tblInd w:w="534" w:type="dxa"/>
        <w:tblLook w:val="04A0" w:firstRow="1" w:lastRow="0" w:firstColumn="1" w:lastColumn="0" w:noHBand="0" w:noVBand="1"/>
      </w:tblPr>
      <w:tblGrid>
        <w:gridCol w:w="6520"/>
        <w:gridCol w:w="880"/>
        <w:gridCol w:w="1388"/>
      </w:tblGrid>
      <w:tr w:rsidR="007F27E3" w:rsidRPr="00B308BF" w:rsidTr="00890F00">
        <w:trPr>
          <w:trHeight w:val="31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Protecție socială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4804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123</w:t>
            </w:r>
            <w:r w:rsidR="004804AD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97999,3</w:t>
            </w:r>
          </w:p>
        </w:tc>
      </w:tr>
    </w:tbl>
    <w:p w:rsidR="007F27E3" w:rsidRPr="00B308BF" w:rsidRDefault="007F27E3" w:rsidP="00890F00">
      <w:pPr>
        <w:pStyle w:val="NormalWeb"/>
        <w:spacing w:before="0" w:beforeAutospacing="0" w:after="0" w:afterAutospacing="0"/>
        <w:ind w:firstLine="540"/>
        <w:jc w:val="both"/>
        <w:rPr>
          <w:color w:val="333333"/>
          <w:sz w:val="14"/>
          <w:szCs w:val="14"/>
          <w:lang w:val="ro-MD"/>
        </w:rPr>
      </w:pPr>
    </w:p>
    <w:tbl>
      <w:tblPr>
        <w:tblW w:w="8788" w:type="dxa"/>
        <w:tblInd w:w="534" w:type="dxa"/>
        <w:tblLook w:val="04A0" w:firstRow="1" w:lastRow="0" w:firstColumn="1" w:lastColumn="0" w:noHBand="0" w:noVBand="1"/>
      </w:tblPr>
      <w:tblGrid>
        <w:gridCol w:w="6520"/>
        <w:gridCol w:w="880"/>
        <w:gridCol w:w="1388"/>
      </w:tblGrid>
      <w:tr w:rsidR="007F27E3" w:rsidRPr="00B308BF" w:rsidTr="00890F00">
        <w:trPr>
          <w:trHeight w:val="31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Protecție împotriva excluziunii sociale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107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4804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1</w:t>
            </w:r>
            <w:r w:rsidR="004804AD"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7</w:t>
            </w: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1322,8</w:t>
            </w:r>
          </w:p>
        </w:tc>
      </w:tr>
      <w:tr w:rsidR="007F27E3" w:rsidRPr="00B308BF" w:rsidTr="00890F00">
        <w:trPr>
          <w:trHeight w:val="36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Alte servicii în domeniul protecției sociale neatribuite la alte grupe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109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4804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11</w:t>
            </w:r>
            <w:r w:rsidR="004804AD"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748880</w:t>
            </w:r>
            <w:r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,</w:t>
            </w:r>
            <w:r w:rsidR="004804AD" w:rsidRPr="00B3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ru-RU"/>
              </w:rPr>
              <w:t>7</w:t>
            </w:r>
          </w:p>
        </w:tc>
      </w:tr>
      <w:tr w:rsidR="007F27E3" w:rsidRPr="00B308BF" w:rsidTr="00890F00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8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7E3" w:rsidRPr="00B308BF" w:rsidRDefault="007F27E3" w:rsidP="004804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</w:pP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57</w:t>
            </w:r>
            <w:r w:rsidR="004804AD"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654344</w:t>
            </w:r>
            <w:r w:rsidRPr="00B3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ru-RU"/>
              </w:rPr>
              <w:t>,0</w:t>
            </w:r>
          </w:p>
        </w:tc>
      </w:tr>
    </w:tbl>
    <w:p w:rsidR="000759A3" w:rsidRPr="00B308BF" w:rsidRDefault="000759A3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rStyle w:val="Strong"/>
          <w:color w:val="333333"/>
          <w:sz w:val="28"/>
          <w:szCs w:val="28"/>
          <w:lang w:val="ro-MD"/>
        </w:rPr>
      </w:pPr>
    </w:p>
    <w:p w:rsidR="007B254E" w:rsidRPr="00B308BF" w:rsidRDefault="008549EE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rStyle w:val="Strong"/>
          <w:b w:val="0"/>
          <w:color w:val="333333"/>
          <w:sz w:val="28"/>
          <w:szCs w:val="28"/>
          <w:lang w:val="ro-MD"/>
        </w:rPr>
      </w:pPr>
      <w:r w:rsidRPr="00B308BF">
        <w:rPr>
          <w:rStyle w:val="Strong"/>
          <w:b w:val="0"/>
          <w:color w:val="333333"/>
          <w:sz w:val="28"/>
          <w:szCs w:val="28"/>
          <w:lang w:val="ro-MD"/>
        </w:rPr>
        <w:t>1</w:t>
      </w:r>
      <w:r w:rsidR="0031649D" w:rsidRPr="00B308BF">
        <w:rPr>
          <w:rStyle w:val="Strong"/>
          <w:b w:val="0"/>
          <w:color w:val="333333"/>
          <w:sz w:val="28"/>
          <w:szCs w:val="28"/>
          <w:lang w:val="ro-MD"/>
        </w:rPr>
        <w:t>1</w:t>
      </w:r>
      <w:r w:rsidR="007B254E" w:rsidRPr="00B308BF">
        <w:rPr>
          <w:rStyle w:val="Strong"/>
          <w:b w:val="0"/>
          <w:color w:val="333333"/>
          <w:sz w:val="28"/>
          <w:szCs w:val="28"/>
          <w:lang w:val="ro-MD"/>
        </w:rPr>
        <w:t>. Anexele nr. 1</w:t>
      </w:r>
      <w:r w:rsidR="00991E7A" w:rsidRPr="00B308BF">
        <w:rPr>
          <w:rStyle w:val="Strong"/>
          <w:b w:val="0"/>
          <w:color w:val="333333"/>
          <w:sz w:val="28"/>
          <w:szCs w:val="28"/>
          <w:lang w:val="ro-MD"/>
        </w:rPr>
        <w:t>,</w:t>
      </w:r>
      <w:r w:rsidR="007B254E" w:rsidRPr="00B308BF">
        <w:rPr>
          <w:rStyle w:val="Strong"/>
          <w:b w:val="0"/>
          <w:color w:val="333333"/>
          <w:sz w:val="28"/>
          <w:szCs w:val="28"/>
          <w:lang w:val="ro-MD"/>
        </w:rPr>
        <w:t xml:space="preserve"> 2 </w:t>
      </w:r>
      <w:r w:rsidR="00991E7A" w:rsidRPr="00B308BF">
        <w:rPr>
          <w:rStyle w:val="Strong"/>
          <w:b w:val="0"/>
          <w:color w:val="333333"/>
          <w:sz w:val="28"/>
          <w:szCs w:val="28"/>
          <w:lang w:val="ro-MD"/>
        </w:rPr>
        <w:t xml:space="preserve">și 7 </w:t>
      </w:r>
      <w:r w:rsidR="007B254E" w:rsidRPr="00B308BF">
        <w:rPr>
          <w:rStyle w:val="Strong"/>
          <w:b w:val="0"/>
          <w:color w:val="333333"/>
          <w:sz w:val="28"/>
          <w:szCs w:val="28"/>
          <w:lang w:val="ro-MD"/>
        </w:rPr>
        <w:t>se substituie cu anexele nr. 1</w:t>
      </w:r>
      <w:r w:rsidR="00991E7A" w:rsidRPr="00B308BF">
        <w:rPr>
          <w:rStyle w:val="Strong"/>
          <w:b w:val="0"/>
          <w:color w:val="333333"/>
          <w:sz w:val="28"/>
          <w:szCs w:val="28"/>
          <w:lang w:val="ro-MD"/>
        </w:rPr>
        <w:t>-3</w:t>
      </w:r>
      <w:r w:rsidR="007B254E" w:rsidRPr="00B308BF">
        <w:rPr>
          <w:rStyle w:val="Strong"/>
          <w:b w:val="0"/>
          <w:color w:val="333333"/>
          <w:sz w:val="28"/>
          <w:szCs w:val="28"/>
          <w:lang w:val="ro-MD"/>
        </w:rPr>
        <w:t xml:space="preserve"> la prezenta lege.</w:t>
      </w:r>
    </w:p>
    <w:p w:rsidR="00FE22CD" w:rsidRPr="007F27E3" w:rsidRDefault="00FE22CD" w:rsidP="00A353B6">
      <w:pPr>
        <w:pStyle w:val="NormalWeb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MD"/>
        </w:rPr>
      </w:pPr>
      <w:r w:rsidRPr="00B308BF">
        <w:rPr>
          <w:rStyle w:val="Strong"/>
          <w:color w:val="333333"/>
          <w:sz w:val="28"/>
          <w:szCs w:val="28"/>
          <w:lang w:val="ro-MD"/>
        </w:rPr>
        <w:t>Art. II. </w:t>
      </w:r>
      <w:r w:rsidRPr="00B308BF">
        <w:rPr>
          <w:color w:val="333333"/>
          <w:sz w:val="28"/>
          <w:szCs w:val="28"/>
          <w:lang w:val="ro-MD"/>
        </w:rPr>
        <w:t>– Prezenta lege intră în vigoare la data publicării în Monitorul Oficial al Republicii Moldova.</w:t>
      </w:r>
    </w:p>
    <w:sectPr w:rsidR="00FE22CD" w:rsidRPr="007F27E3" w:rsidSect="00653B0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033" w:rsidRDefault="00565033" w:rsidP="00DC300D">
      <w:pPr>
        <w:spacing w:after="0" w:line="240" w:lineRule="auto"/>
      </w:pPr>
      <w:r>
        <w:separator/>
      </w:r>
    </w:p>
  </w:endnote>
  <w:endnote w:type="continuationSeparator" w:id="0">
    <w:p w:rsidR="00565033" w:rsidRDefault="00565033" w:rsidP="00DC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0049753"/>
      <w:docPartObj>
        <w:docPartGallery w:val="Page Numbers (Bottom of Page)"/>
        <w:docPartUnique/>
      </w:docPartObj>
    </w:sdtPr>
    <w:sdtEndPr/>
    <w:sdtContent>
      <w:p w:rsidR="001B149B" w:rsidRDefault="003317E1">
        <w:pPr>
          <w:pStyle w:val="Footer"/>
          <w:jc w:val="center"/>
        </w:pPr>
        <w:r>
          <w:fldChar w:fldCharType="begin"/>
        </w:r>
        <w:r w:rsidR="000357C5">
          <w:instrText xml:space="preserve"> PAGE   \* MERGEFORMAT </w:instrText>
        </w:r>
        <w:r>
          <w:fldChar w:fldCharType="separate"/>
        </w:r>
        <w:r w:rsidR="000776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300D" w:rsidRDefault="00DC30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033" w:rsidRDefault="00565033" w:rsidP="00DC300D">
      <w:pPr>
        <w:spacing w:after="0" w:line="240" w:lineRule="auto"/>
      </w:pPr>
      <w:r>
        <w:separator/>
      </w:r>
    </w:p>
  </w:footnote>
  <w:footnote w:type="continuationSeparator" w:id="0">
    <w:p w:rsidR="00565033" w:rsidRDefault="00565033" w:rsidP="00DC30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CD"/>
    <w:rsid w:val="00023142"/>
    <w:rsid w:val="000357C5"/>
    <w:rsid w:val="00047853"/>
    <w:rsid w:val="00050118"/>
    <w:rsid w:val="00060794"/>
    <w:rsid w:val="000759A3"/>
    <w:rsid w:val="000776E8"/>
    <w:rsid w:val="000D2457"/>
    <w:rsid w:val="001223DE"/>
    <w:rsid w:val="00123C78"/>
    <w:rsid w:val="00157C48"/>
    <w:rsid w:val="00164280"/>
    <w:rsid w:val="00193DA0"/>
    <w:rsid w:val="001A016D"/>
    <w:rsid w:val="001A2749"/>
    <w:rsid w:val="001B149B"/>
    <w:rsid w:val="001D1453"/>
    <w:rsid w:val="00204EB7"/>
    <w:rsid w:val="00205773"/>
    <w:rsid w:val="00216ECC"/>
    <w:rsid w:val="002260A9"/>
    <w:rsid w:val="002429D9"/>
    <w:rsid w:val="002902FF"/>
    <w:rsid w:val="0029124D"/>
    <w:rsid w:val="002A5917"/>
    <w:rsid w:val="002A75C0"/>
    <w:rsid w:val="002B7D40"/>
    <w:rsid w:val="002C4604"/>
    <w:rsid w:val="002E0774"/>
    <w:rsid w:val="0030192B"/>
    <w:rsid w:val="0031649D"/>
    <w:rsid w:val="003207E0"/>
    <w:rsid w:val="00330416"/>
    <w:rsid w:val="00330CE9"/>
    <w:rsid w:val="003317E1"/>
    <w:rsid w:val="003479F3"/>
    <w:rsid w:val="003E3CC3"/>
    <w:rsid w:val="003E5719"/>
    <w:rsid w:val="00416440"/>
    <w:rsid w:val="004443BE"/>
    <w:rsid w:val="00455D7C"/>
    <w:rsid w:val="004804AD"/>
    <w:rsid w:val="00480BED"/>
    <w:rsid w:val="004D249D"/>
    <w:rsid w:val="00506437"/>
    <w:rsid w:val="005551F2"/>
    <w:rsid w:val="00565033"/>
    <w:rsid w:val="005A569E"/>
    <w:rsid w:val="005C4CAE"/>
    <w:rsid w:val="005C6134"/>
    <w:rsid w:val="005D37D7"/>
    <w:rsid w:val="005F3219"/>
    <w:rsid w:val="00603BAC"/>
    <w:rsid w:val="00653B03"/>
    <w:rsid w:val="00663985"/>
    <w:rsid w:val="00674C56"/>
    <w:rsid w:val="00682601"/>
    <w:rsid w:val="00686978"/>
    <w:rsid w:val="006D5A02"/>
    <w:rsid w:val="006E3652"/>
    <w:rsid w:val="006E3718"/>
    <w:rsid w:val="00713755"/>
    <w:rsid w:val="0072493E"/>
    <w:rsid w:val="00727B99"/>
    <w:rsid w:val="007441DF"/>
    <w:rsid w:val="007445BC"/>
    <w:rsid w:val="00763D87"/>
    <w:rsid w:val="0078184C"/>
    <w:rsid w:val="00787485"/>
    <w:rsid w:val="007901A0"/>
    <w:rsid w:val="00791AEB"/>
    <w:rsid w:val="0079297F"/>
    <w:rsid w:val="007B254E"/>
    <w:rsid w:val="007B2BB7"/>
    <w:rsid w:val="007E1C0A"/>
    <w:rsid w:val="007E7229"/>
    <w:rsid w:val="007F27E3"/>
    <w:rsid w:val="00807913"/>
    <w:rsid w:val="0081404C"/>
    <w:rsid w:val="00830DAD"/>
    <w:rsid w:val="00845349"/>
    <w:rsid w:val="008549EE"/>
    <w:rsid w:val="00856E9C"/>
    <w:rsid w:val="0087370A"/>
    <w:rsid w:val="00880B7B"/>
    <w:rsid w:val="008878B7"/>
    <w:rsid w:val="00890F00"/>
    <w:rsid w:val="008A1D14"/>
    <w:rsid w:val="008C6110"/>
    <w:rsid w:val="008E3C11"/>
    <w:rsid w:val="008E5B0B"/>
    <w:rsid w:val="008F016D"/>
    <w:rsid w:val="00922FDC"/>
    <w:rsid w:val="00931AF7"/>
    <w:rsid w:val="0093616A"/>
    <w:rsid w:val="00991E05"/>
    <w:rsid w:val="00991E7A"/>
    <w:rsid w:val="0099550B"/>
    <w:rsid w:val="009B1494"/>
    <w:rsid w:val="009D0F16"/>
    <w:rsid w:val="009D318E"/>
    <w:rsid w:val="009D52E5"/>
    <w:rsid w:val="009E32FB"/>
    <w:rsid w:val="00A0599B"/>
    <w:rsid w:val="00A353B6"/>
    <w:rsid w:val="00A45E54"/>
    <w:rsid w:val="00A54176"/>
    <w:rsid w:val="00A62943"/>
    <w:rsid w:val="00A62966"/>
    <w:rsid w:val="00A93A93"/>
    <w:rsid w:val="00AA10FC"/>
    <w:rsid w:val="00AB0598"/>
    <w:rsid w:val="00AB12BA"/>
    <w:rsid w:val="00AB57D5"/>
    <w:rsid w:val="00AB61C9"/>
    <w:rsid w:val="00B308BF"/>
    <w:rsid w:val="00B36CC8"/>
    <w:rsid w:val="00B74BB5"/>
    <w:rsid w:val="00B77DE7"/>
    <w:rsid w:val="00B81CC6"/>
    <w:rsid w:val="00B849B3"/>
    <w:rsid w:val="00B86BE3"/>
    <w:rsid w:val="00B8784F"/>
    <w:rsid w:val="00B963F5"/>
    <w:rsid w:val="00BA4598"/>
    <w:rsid w:val="00BA48F8"/>
    <w:rsid w:val="00C07F59"/>
    <w:rsid w:val="00C166E5"/>
    <w:rsid w:val="00C27C56"/>
    <w:rsid w:val="00C5724C"/>
    <w:rsid w:val="00C745F1"/>
    <w:rsid w:val="00C900B3"/>
    <w:rsid w:val="00CC431B"/>
    <w:rsid w:val="00CD1C67"/>
    <w:rsid w:val="00CE2043"/>
    <w:rsid w:val="00CE5C8E"/>
    <w:rsid w:val="00CE74C3"/>
    <w:rsid w:val="00CF1FD0"/>
    <w:rsid w:val="00D02164"/>
    <w:rsid w:val="00D311DE"/>
    <w:rsid w:val="00D45C74"/>
    <w:rsid w:val="00D60110"/>
    <w:rsid w:val="00D739B6"/>
    <w:rsid w:val="00D76334"/>
    <w:rsid w:val="00D77252"/>
    <w:rsid w:val="00DC300D"/>
    <w:rsid w:val="00DC39B5"/>
    <w:rsid w:val="00DC63DA"/>
    <w:rsid w:val="00E147FC"/>
    <w:rsid w:val="00E2228A"/>
    <w:rsid w:val="00E26C3D"/>
    <w:rsid w:val="00E8309C"/>
    <w:rsid w:val="00E8337D"/>
    <w:rsid w:val="00EC402F"/>
    <w:rsid w:val="00F64C5D"/>
    <w:rsid w:val="00F65C21"/>
    <w:rsid w:val="00F756B3"/>
    <w:rsid w:val="00F8027B"/>
    <w:rsid w:val="00F90D7C"/>
    <w:rsid w:val="00FC0A40"/>
    <w:rsid w:val="00FC485E"/>
    <w:rsid w:val="00FE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1A8F"/>
  <w15:docId w15:val="{F17EB61C-1760-4438-987C-ADBAF1E94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2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E22CD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DC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300D"/>
  </w:style>
  <w:style w:type="paragraph" w:styleId="Footer">
    <w:name w:val="footer"/>
    <w:basedOn w:val="Normal"/>
    <w:link w:val="FooterChar"/>
    <w:uiPriority w:val="99"/>
    <w:unhideWhenUsed/>
    <w:rsid w:val="00DC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00D"/>
  </w:style>
  <w:style w:type="paragraph" w:styleId="BalloonText">
    <w:name w:val="Balloon Text"/>
    <w:basedOn w:val="Normal"/>
    <w:link w:val="BalloonTextChar"/>
    <w:uiPriority w:val="99"/>
    <w:semiHidden/>
    <w:unhideWhenUsed/>
    <w:rsid w:val="00BA4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3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4A808-CA43-4A5F-866C-31CF5436E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Veronica, Chirila</cp:lastModifiedBy>
  <cp:revision>11</cp:revision>
  <cp:lastPrinted>2021-11-09T09:17:00Z</cp:lastPrinted>
  <dcterms:created xsi:type="dcterms:W3CDTF">2021-11-09T14:59:00Z</dcterms:created>
  <dcterms:modified xsi:type="dcterms:W3CDTF">2021-11-10T11:07:00Z</dcterms:modified>
</cp:coreProperties>
</file>