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139C" w14:textId="77777777" w:rsidR="00187C17" w:rsidRPr="00AB6A5F" w:rsidRDefault="00187C17" w:rsidP="00AB6A5F">
      <w:pPr>
        <w:widowControl w:val="0"/>
        <w:autoSpaceDE w:val="0"/>
        <w:autoSpaceDN w:val="0"/>
        <w:adjustRightInd w:val="0"/>
        <w:jc w:val="center"/>
        <w:rPr>
          <w:b/>
          <w:lang w:val="ro-RO"/>
        </w:rPr>
      </w:pPr>
      <w:r w:rsidRPr="00AB6A5F">
        <w:rPr>
          <w:b/>
          <w:lang w:val="ro-RO"/>
        </w:rPr>
        <w:t>NOTĂ INFORMATIVĂ</w:t>
      </w:r>
    </w:p>
    <w:p w14:paraId="16E08910" w14:textId="77777777" w:rsidR="00A46C6E" w:rsidRPr="00A46C6E" w:rsidRDefault="00187C17" w:rsidP="00A46C6E">
      <w:pPr>
        <w:jc w:val="center"/>
        <w:rPr>
          <w:b/>
          <w:lang w:val="ro-RO"/>
        </w:rPr>
      </w:pPr>
      <w:r w:rsidRPr="00AB6A5F">
        <w:rPr>
          <w:b/>
          <w:lang w:val="ro-RO"/>
        </w:rPr>
        <w:t xml:space="preserve">la proiectul </w:t>
      </w:r>
      <w:r w:rsidR="00CA0073" w:rsidRPr="00AB6A5F">
        <w:rPr>
          <w:b/>
          <w:lang w:val="ro-RO"/>
        </w:rPr>
        <w:t>Hotărîrii de Guvern</w:t>
      </w:r>
      <w:r w:rsidRPr="00AB6A5F">
        <w:rPr>
          <w:b/>
          <w:lang w:val="ro-RO"/>
        </w:rPr>
        <w:t xml:space="preserve"> </w:t>
      </w:r>
      <w:r w:rsidR="00A46C6E" w:rsidRPr="00A46C6E">
        <w:rPr>
          <w:b/>
          <w:lang w:val="ro-RO"/>
        </w:rPr>
        <w:t>pentru modificarea Regulamentului privind eliberarea</w:t>
      </w:r>
    </w:p>
    <w:p w14:paraId="74460D81" w14:textId="4F0CB625" w:rsidR="00187C17" w:rsidRDefault="00A46C6E" w:rsidP="00A46C6E">
      <w:pPr>
        <w:jc w:val="center"/>
        <w:rPr>
          <w:b/>
          <w:lang w:val="ro-RO"/>
        </w:rPr>
      </w:pPr>
      <w:r w:rsidRPr="00A46C6E">
        <w:rPr>
          <w:b/>
          <w:lang w:val="ro-RO"/>
        </w:rPr>
        <w:t xml:space="preserve">şi utilizarea autorizaţiilor de transporturi rutiere, aprobat prin Hotărârea Guvernului </w:t>
      </w:r>
      <w:r w:rsidR="00347052">
        <w:rPr>
          <w:b/>
          <w:lang w:val="ro-RO"/>
        </w:rPr>
        <w:br/>
      </w:r>
      <w:r w:rsidRPr="00A46C6E">
        <w:rPr>
          <w:b/>
          <w:lang w:val="ro-RO"/>
        </w:rPr>
        <w:t>nr. 257/2017</w:t>
      </w:r>
    </w:p>
    <w:p w14:paraId="41F39417" w14:textId="3D2227DC" w:rsidR="00A46C6E" w:rsidRDefault="00A46C6E" w:rsidP="00A46C6E">
      <w:pPr>
        <w:jc w:val="center"/>
        <w:rPr>
          <w:b/>
          <w:lang w:val="ro-RO"/>
        </w:rPr>
      </w:pPr>
    </w:p>
    <w:tbl>
      <w:tblPr>
        <w:tblStyle w:val="TableGrid"/>
        <w:tblW w:w="9782" w:type="dxa"/>
        <w:tblInd w:w="-431" w:type="dxa"/>
        <w:tblLook w:val="04A0" w:firstRow="1" w:lastRow="0" w:firstColumn="1" w:lastColumn="0" w:noHBand="0" w:noVBand="1"/>
      </w:tblPr>
      <w:tblGrid>
        <w:gridCol w:w="9782"/>
      </w:tblGrid>
      <w:tr w:rsidR="00A46C6E" w14:paraId="6DEBF011" w14:textId="77777777" w:rsidTr="004C4C55">
        <w:tc>
          <w:tcPr>
            <w:tcW w:w="9782" w:type="dxa"/>
          </w:tcPr>
          <w:p w14:paraId="18F44446" w14:textId="6BADC97D" w:rsidR="00A46C6E" w:rsidRDefault="00A46C6E" w:rsidP="00A46C6E">
            <w:pPr>
              <w:ind w:firstLine="596"/>
              <w:jc w:val="both"/>
              <w:rPr>
                <w:i/>
                <w:lang w:val="ro-RO"/>
              </w:rPr>
            </w:pPr>
            <w:r>
              <w:rPr>
                <w:b/>
                <w:lang w:val="ro-RO"/>
              </w:rPr>
              <w:t xml:space="preserve">1. </w:t>
            </w:r>
            <w:r w:rsidRPr="00AB6A5F">
              <w:rPr>
                <w:b/>
                <w:lang w:val="ro-RO"/>
              </w:rPr>
              <w:t>Denumirea autorului şi, după caz, a participanților la elaborarea proiectului</w:t>
            </w:r>
          </w:p>
        </w:tc>
      </w:tr>
      <w:tr w:rsidR="00A46C6E" w14:paraId="3CC2279D" w14:textId="77777777" w:rsidTr="004C4C55">
        <w:tc>
          <w:tcPr>
            <w:tcW w:w="9782" w:type="dxa"/>
          </w:tcPr>
          <w:p w14:paraId="798D4CA4" w14:textId="6DBEE101" w:rsidR="00A46C6E" w:rsidRDefault="00A46C6E" w:rsidP="00A46C6E">
            <w:pPr>
              <w:ind w:firstLine="596"/>
              <w:jc w:val="both"/>
              <w:rPr>
                <w:b/>
                <w:lang w:val="ro-RO"/>
              </w:rPr>
            </w:pPr>
            <w:r w:rsidRPr="00AB6A5F">
              <w:rPr>
                <w:lang w:val="ro-RO"/>
              </w:rPr>
              <w:t>Ministerul Economiei și Infrastructurii, Agenția Națională Transport Auto</w:t>
            </w:r>
          </w:p>
        </w:tc>
      </w:tr>
      <w:tr w:rsidR="00A46C6E" w14:paraId="72331855" w14:textId="77777777" w:rsidTr="004C4C55">
        <w:tc>
          <w:tcPr>
            <w:tcW w:w="9782" w:type="dxa"/>
          </w:tcPr>
          <w:p w14:paraId="01D56291" w14:textId="0F7427D5" w:rsidR="00A46C6E" w:rsidRDefault="00A46C6E" w:rsidP="00A46C6E">
            <w:pPr>
              <w:ind w:firstLine="596"/>
              <w:jc w:val="both"/>
              <w:rPr>
                <w:b/>
                <w:lang w:val="ro-RO"/>
              </w:rPr>
            </w:pPr>
            <w:r>
              <w:rPr>
                <w:b/>
                <w:lang w:val="ro-RO"/>
              </w:rPr>
              <w:t xml:space="preserve">2. </w:t>
            </w:r>
            <w:r w:rsidRPr="00AB6A5F">
              <w:rPr>
                <w:b/>
                <w:lang w:val="ro-RO"/>
              </w:rPr>
              <w:t>Condiţiile ce au impus elaborarea proiectului actului normativ şi finalitățile urmărite</w:t>
            </w:r>
          </w:p>
        </w:tc>
      </w:tr>
      <w:tr w:rsidR="00A46C6E" w14:paraId="4788E054" w14:textId="77777777" w:rsidTr="004C4C55">
        <w:tc>
          <w:tcPr>
            <w:tcW w:w="9782" w:type="dxa"/>
          </w:tcPr>
          <w:p w14:paraId="4DFD32CE" w14:textId="7286405F" w:rsidR="00DE3002" w:rsidRPr="003D70EC" w:rsidRDefault="00DE3002" w:rsidP="00DE3002">
            <w:pPr>
              <w:ind w:firstLine="596"/>
              <w:jc w:val="both"/>
              <w:rPr>
                <w:lang w:val="ro-RO"/>
              </w:rPr>
            </w:pPr>
            <w:bookmarkStart w:id="0" w:name="_Hlk81983720"/>
            <w:r w:rsidRPr="003D70EC">
              <w:rPr>
                <w:lang w:val="ro-RO"/>
              </w:rPr>
              <w:t xml:space="preserve">Prin </w:t>
            </w:r>
            <w:r w:rsidR="005C38AF">
              <w:rPr>
                <w:lang w:val="ro-RO"/>
              </w:rPr>
              <w:t>L</w:t>
            </w:r>
            <w:r w:rsidR="005C38AF" w:rsidRPr="003D70EC">
              <w:rPr>
                <w:lang w:val="ro-RO"/>
              </w:rPr>
              <w:t xml:space="preserve">egea </w:t>
            </w:r>
            <w:r w:rsidRPr="003D70EC">
              <w:rPr>
                <w:lang w:val="ro-RO"/>
              </w:rPr>
              <w:t xml:space="preserve">nr.181/2020 au fost operate modificări </w:t>
            </w:r>
            <w:r w:rsidR="006E06DD">
              <w:rPr>
                <w:lang w:val="ro-RO"/>
              </w:rPr>
              <w:t>la</w:t>
            </w:r>
            <w:r w:rsidR="006E06DD" w:rsidRPr="003D70EC">
              <w:rPr>
                <w:lang w:val="ro-RO"/>
              </w:rPr>
              <w:t xml:space="preserve"> </w:t>
            </w:r>
            <w:r w:rsidRPr="003D70EC">
              <w:rPr>
                <w:lang w:val="ro-RO"/>
              </w:rPr>
              <w:t xml:space="preserve">Codul </w:t>
            </w:r>
            <w:r w:rsidR="006E06DD">
              <w:rPr>
                <w:lang w:val="ro-RO"/>
              </w:rPr>
              <w:t>T</w:t>
            </w:r>
            <w:r w:rsidRPr="003D70EC">
              <w:rPr>
                <w:lang w:val="ro-RO"/>
              </w:rPr>
              <w:t xml:space="preserve">ransporturilor </w:t>
            </w:r>
            <w:r w:rsidR="006E06DD">
              <w:rPr>
                <w:lang w:val="ro-RO"/>
              </w:rPr>
              <w:t>R</w:t>
            </w:r>
            <w:r w:rsidRPr="003D70EC">
              <w:rPr>
                <w:lang w:val="ro-RO"/>
              </w:rPr>
              <w:t>utiere nr.150/2014</w:t>
            </w:r>
            <w:r w:rsidR="006E06DD">
              <w:rPr>
                <w:lang w:val="ro-RO"/>
              </w:rPr>
              <w:t>,</w:t>
            </w:r>
            <w:r w:rsidRPr="003D70EC">
              <w:rPr>
                <w:lang w:val="ro-RO"/>
              </w:rPr>
              <w:t xml:space="preserve"> în partea ce ține de regulile</w:t>
            </w:r>
            <w:r w:rsidR="007223FE">
              <w:rPr>
                <w:lang w:val="ro-RO"/>
              </w:rPr>
              <w:t>,</w:t>
            </w:r>
            <w:r w:rsidRPr="003D70EC">
              <w:rPr>
                <w:lang w:val="ro-RO"/>
              </w:rPr>
              <w:t xml:space="preserve"> modul de solicitare, eliberare și utilizare a actelor permisive. </w:t>
            </w:r>
            <w:r w:rsidR="007223FE">
              <w:rPr>
                <w:lang w:val="ro-RO"/>
              </w:rPr>
              <w:t>Totodată, legea prenotată, statuează că c</w:t>
            </w:r>
            <w:r w:rsidRPr="003D70EC">
              <w:rPr>
                <w:lang w:val="ro-RO"/>
              </w:rPr>
              <w:t>riteriile de atribuire a autorizaţiilor la categoria celor cu stoc limitat, termenele, precum şi categoriile</w:t>
            </w:r>
            <w:r w:rsidR="007223FE">
              <w:rPr>
                <w:lang w:val="ro-RO"/>
              </w:rPr>
              <w:t xml:space="preserve"> acestora</w:t>
            </w:r>
            <w:r w:rsidRPr="003D70EC">
              <w:rPr>
                <w:lang w:val="ro-RO"/>
              </w:rPr>
              <w:t xml:space="preserve"> </w:t>
            </w:r>
            <w:r w:rsidR="007223FE">
              <w:rPr>
                <w:lang w:val="ro-RO"/>
              </w:rPr>
              <w:t xml:space="preserve"> urmează a fi stabilite</w:t>
            </w:r>
            <w:r w:rsidRPr="003D70EC">
              <w:rPr>
                <w:lang w:val="ro-RO"/>
              </w:rPr>
              <w:t xml:space="preserve"> de Guvern.</w:t>
            </w:r>
          </w:p>
          <w:p w14:paraId="0592EB38" w14:textId="06635F54" w:rsidR="00DE3002" w:rsidRPr="003D70EC" w:rsidRDefault="00E469AC" w:rsidP="00DE3002">
            <w:pPr>
              <w:ind w:firstLine="596"/>
              <w:jc w:val="both"/>
              <w:rPr>
                <w:lang w:val="ro-RO"/>
              </w:rPr>
            </w:pPr>
            <w:r>
              <w:rPr>
                <w:lang w:val="ro-RO"/>
              </w:rPr>
              <w:t>Subsidiar, prin prisma</w:t>
            </w:r>
            <w:r w:rsidR="00177B16">
              <w:rPr>
                <w:lang w:val="ro-RO"/>
              </w:rPr>
              <w:t xml:space="preserve"> </w:t>
            </w:r>
            <w:r w:rsidR="00DE3002" w:rsidRPr="003D70EC">
              <w:rPr>
                <w:lang w:val="ro-RO"/>
              </w:rPr>
              <w:t>art. 2 alin. (2) al Legii</w:t>
            </w:r>
            <w:r>
              <w:rPr>
                <w:lang w:val="ro-RO"/>
              </w:rPr>
              <w:t xml:space="preserve"> nr.181/2020,</w:t>
            </w:r>
            <w:r w:rsidR="00DE3002" w:rsidRPr="003D70EC">
              <w:rPr>
                <w:lang w:val="ro-RO"/>
              </w:rPr>
              <w:t xml:space="preserve"> </w:t>
            </w:r>
            <w:r w:rsidR="009F57AE" w:rsidRPr="009F57AE">
              <w:rPr>
                <w:lang w:val="ro-RO"/>
              </w:rPr>
              <w:t>Guvernul, în termen de 3 luni de la data publicării legi</w:t>
            </w:r>
            <w:r>
              <w:rPr>
                <w:lang w:val="ro-RO"/>
              </w:rPr>
              <w:t>i menționate</w:t>
            </w:r>
            <w:r w:rsidR="009F57AE" w:rsidRPr="009F57AE">
              <w:rPr>
                <w:lang w:val="ro-RO"/>
              </w:rPr>
              <w:t xml:space="preserve">, va </w:t>
            </w:r>
            <w:r>
              <w:rPr>
                <w:lang w:val="ro-RO"/>
              </w:rPr>
              <w:t>aduce</w:t>
            </w:r>
            <w:r w:rsidR="009F57AE" w:rsidRPr="009F57AE">
              <w:rPr>
                <w:lang w:val="ro-RO"/>
              </w:rPr>
              <w:t xml:space="preserve"> în concordanță actele sale normative cu </w:t>
            </w:r>
            <w:r w:rsidR="00374D71">
              <w:rPr>
                <w:lang w:val="ro-RO"/>
              </w:rPr>
              <w:t>prevederile</w:t>
            </w:r>
            <w:r w:rsidR="009F57AE" w:rsidRPr="009F57AE">
              <w:rPr>
                <w:lang w:val="ro-RO"/>
              </w:rPr>
              <w:t xml:space="preserve"> </w:t>
            </w:r>
            <w:r>
              <w:rPr>
                <w:lang w:val="ro-RO"/>
              </w:rPr>
              <w:t>acesteia</w:t>
            </w:r>
            <w:r w:rsidR="00DE3002" w:rsidRPr="003D70EC">
              <w:rPr>
                <w:lang w:val="ro-RO"/>
              </w:rPr>
              <w:t>.</w:t>
            </w:r>
          </w:p>
          <w:p w14:paraId="106D2DF6" w14:textId="1789A794" w:rsidR="003D70EC" w:rsidRPr="00153DF8" w:rsidRDefault="006602C4" w:rsidP="00E45E5C">
            <w:pPr>
              <w:ind w:firstLine="596"/>
              <w:jc w:val="both"/>
              <w:rPr>
                <w:lang w:val="ro-RO"/>
              </w:rPr>
            </w:pPr>
            <w:r>
              <w:rPr>
                <w:lang w:val="ro-RO"/>
              </w:rPr>
              <w:t>Ca urmare</w:t>
            </w:r>
            <w:r w:rsidR="00A26CC5">
              <w:rPr>
                <w:lang w:val="ro-RO"/>
              </w:rPr>
              <w:t>, prevederile</w:t>
            </w:r>
            <w:r>
              <w:rPr>
                <w:lang w:val="ro-RO"/>
              </w:rPr>
              <w:t xml:space="preserve"> </w:t>
            </w:r>
            <w:r w:rsidR="00A46C6E" w:rsidRPr="003D70EC">
              <w:rPr>
                <w:lang w:val="ro-RO"/>
              </w:rPr>
              <w:t>Hotărîr</w:t>
            </w:r>
            <w:r w:rsidR="00A26CC5">
              <w:rPr>
                <w:lang w:val="ro-RO"/>
              </w:rPr>
              <w:t>ii</w:t>
            </w:r>
            <w:r w:rsidR="00A46C6E" w:rsidRPr="003D70EC">
              <w:rPr>
                <w:lang w:val="ro-RO"/>
              </w:rPr>
              <w:t xml:space="preserve"> Guvernului nr. 257/2017 </w:t>
            </w:r>
            <w:r w:rsidR="00A26CC5">
              <w:rPr>
                <w:lang w:val="ro-RO"/>
              </w:rPr>
              <w:t xml:space="preserve">cu privire la aprobarea </w:t>
            </w:r>
            <w:r w:rsidR="00A46C6E" w:rsidRPr="003D70EC">
              <w:rPr>
                <w:lang w:val="ro-RO"/>
              </w:rPr>
              <w:t>Regulamentu</w:t>
            </w:r>
            <w:r w:rsidR="00A26CC5">
              <w:rPr>
                <w:lang w:val="ro-RO"/>
              </w:rPr>
              <w:t>lui</w:t>
            </w:r>
            <w:r w:rsidR="00A46C6E" w:rsidRPr="003D70EC">
              <w:rPr>
                <w:lang w:val="ro-RO"/>
              </w:rPr>
              <w:t xml:space="preserve"> privind eliberarea și utilizarea autorizațiilor de transporturi rutiere</w:t>
            </w:r>
            <w:r w:rsidR="00A26CC5">
              <w:rPr>
                <w:lang w:val="ro-RO"/>
              </w:rPr>
              <w:t>,</w:t>
            </w:r>
            <w:r w:rsidR="00A46C6E" w:rsidRPr="003D70EC">
              <w:rPr>
                <w:lang w:val="ro-RO"/>
              </w:rPr>
              <w:t xml:space="preserve"> </w:t>
            </w:r>
            <w:r w:rsidR="00A26CC5">
              <w:rPr>
                <w:lang w:val="ro-RO"/>
              </w:rPr>
              <w:t xml:space="preserve">necesită revizuire în sensul noilor prevederi ale Codului inclusiv, </w:t>
            </w:r>
            <w:r w:rsidR="00D960FF">
              <w:rPr>
                <w:lang w:val="ro-RO"/>
              </w:rPr>
              <w:t>ajusta</w:t>
            </w:r>
            <w:r w:rsidR="00A26CC5">
              <w:rPr>
                <w:lang w:val="ro-RO"/>
              </w:rPr>
              <w:t>re</w:t>
            </w:r>
            <w:r w:rsidR="00D960FF">
              <w:rPr>
                <w:lang w:val="ro-RO"/>
              </w:rPr>
              <w:t xml:space="preserve"> cu prevederile</w:t>
            </w:r>
            <w:r w:rsidR="0041463D">
              <w:rPr>
                <w:lang w:val="ro-RO"/>
              </w:rPr>
              <w:t xml:space="preserve"> Hotărîrii Guvernului nr.127/2020 </w:t>
            </w:r>
            <w:r w:rsidR="0041463D" w:rsidRPr="0041463D">
              <w:rPr>
                <w:lang w:val="ro-RO"/>
              </w:rPr>
              <w:t>pentru aprobarea Regulamentului privind</w:t>
            </w:r>
            <w:r w:rsidR="0041463D">
              <w:rPr>
                <w:lang w:val="ro-RO"/>
              </w:rPr>
              <w:t xml:space="preserve"> </w:t>
            </w:r>
            <w:r w:rsidR="0041463D" w:rsidRPr="0041463D">
              <w:rPr>
                <w:lang w:val="ro-RO"/>
              </w:rPr>
              <w:t>modul de ținere a registrelor de stat formate de</w:t>
            </w:r>
            <w:r w:rsidR="0041463D">
              <w:rPr>
                <w:lang w:val="ro-RO"/>
              </w:rPr>
              <w:t xml:space="preserve"> </w:t>
            </w:r>
            <w:r w:rsidR="0041463D" w:rsidRPr="0041463D">
              <w:rPr>
                <w:lang w:val="ro-RO"/>
              </w:rPr>
              <w:t>Sistemul informațional „e-Autorizație transport”</w:t>
            </w:r>
            <w:r w:rsidR="00766438">
              <w:rPr>
                <w:lang w:val="ro-RO"/>
              </w:rPr>
              <w:t>.</w:t>
            </w:r>
            <w:bookmarkEnd w:id="0"/>
          </w:p>
        </w:tc>
      </w:tr>
      <w:tr w:rsidR="00A46C6E" w14:paraId="6CB6C311" w14:textId="77777777" w:rsidTr="004C4C55">
        <w:tc>
          <w:tcPr>
            <w:tcW w:w="9782" w:type="dxa"/>
          </w:tcPr>
          <w:p w14:paraId="1032175B" w14:textId="6E9DF695" w:rsidR="00A46C6E" w:rsidRDefault="00A46C6E" w:rsidP="00A46C6E">
            <w:pPr>
              <w:ind w:firstLine="596"/>
              <w:jc w:val="both"/>
              <w:rPr>
                <w:b/>
                <w:lang w:val="ro-RO"/>
              </w:rPr>
            </w:pPr>
            <w:r>
              <w:rPr>
                <w:b/>
                <w:lang w:val="ro-RO"/>
              </w:rPr>
              <w:t xml:space="preserve">3. </w:t>
            </w:r>
            <w:r w:rsidRPr="00AB6A5F">
              <w:rPr>
                <w:b/>
                <w:lang w:val="ro-RO"/>
              </w:rPr>
              <w:t xml:space="preserve">Descrierea gradului de compatibilitate pentru proiectele care au ca scop armonizarea legislației naționale cu legislația Uniunii Europene </w:t>
            </w:r>
          </w:p>
        </w:tc>
      </w:tr>
      <w:tr w:rsidR="00A46C6E" w14:paraId="741E0AB8" w14:textId="77777777" w:rsidTr="004C4C55">
        <w:tc>
          <w:tcPr>
            <w:tcW w:w="9782" w:type="dxa"/>
          </w:tcPr>
          <w:p w14:paraId="00EBE0DC" w14:textId="0A542476" w:rsidR="00A46C6E" w:rsidRPr="0053627A" w:rsidRDefault="00F703C9" w:rsidP="00A46C6E">
            <w:pPr>
              <w:ind w:firstLine="596"/>
              <w:jc w:val="both"/>
              <w:rPr>
                <w:bCs/>
                <w:lang w:val="ro-RO"/>
              </w:rPr>
            </w:pPr>
            <w:r w:rsidRPr="00F703C9">
              <w:rPr>
                <w:bCs/>
                <w:lang w:val="ro-RO"/>
              </w:rPr>
              <w:t xml:space="preserve">  Proiectul de hotărîre nu </w:t>
            </w:r>
            <w:r w:rsidR="000A0589" w:rsidRPr="00F703C9">
              <w:rPr>
                <w:bCs/>
                <w:lang w:val="ro-RO"/>
              </w:rPr>
              <w:t>conține</w:t>
            </w:r>
            <w:r w:rsidRPr="00F703C9">
              <w:rPr>
                <w:bCs/>
                <w:lang w:val="ro-RO"/>
              </w:rPr>
              <w:t xml:space="preserve"> norme privind armonizarea legislaţiei naţionale cu acquis-</w:t>
            </w:r>
            <w:proofErr w:type="spellStart"/>
            <w:r w:rsidRPr="00F703C9">
              <w:rPr>
                <w:bCs/>
                <w:lang w:val="ro-RO"/>
              </w:rPr>
              <w:t>ul</w:t>
            </w:r>
            <w:proofErr w:type="spellEnd"/>
            <w:r w:rsidRPr="00F703C9">
              <w:rPr>
                <w:bCs/>
                <w:lang w:val="ro-RO"/>
              </w:rPr>
              <w:t xml:space="preserve"> comunitar.</w:t>
            </w:r>
          </w:p>
        </w:tc>
      </w:tr>
      <w:tr w:rsidR="00A46C6E" w14:paraId="24CBDEB9" w14:textId="77777777" w:rsidTr="004C4C55">
        <w:tc>
          <w:tcPr>
            <w:tcW w:w="9782" w:type="dxa"/>
          </w:tcPr>
          <w:p w14:paraId="4E76208F" w14:textId="08302C40" w:rsidR="00A46C6E" w:rsidRDefault="00A46C6E" w:rsidP="00A46C6E">
            <w:pPr>
              <w:ind w:firstLine="596"/>
              <w:jc w:val="both"/>
              <w:rPr>
                <w:b/>
                <w:lang w:val="ro-RO"/>
              </w:rPr>
            </w:pPr>
            <w:r>
              <w:rPr>
                <w:b/>
                <w:lang w:val="ro-RO"/>
              </w:rPr>
              <w:t xml:space="preserve">4. </w:t>
            </w:r>
            <w:r w:rsidRPr="00AB6A5F">
              <w:rPr>
                <w:b/>
                <w:lang w:val="ro-RO"/>
              </w:rPr>
              <w:t>Principalele prevederi ale proiectului şi evidențierea elementelor noi</w:t>
            </w:r>
          </w:p>
        </w:tc>
      </w:tr>
      <w:tr w:rsidR="00A46C6E" w14:paraId="4FAAAA03" w14:textId="77777777" w:rsidTr="004C4C55">
        <w:tc>
          <w:tcPr>
            <w:tcW w:w="9782" w:type="dxa"/>
          </w:tcPr>
          <w:p w14:paraId="7FE1B358" w14:textId="5B67514F" w:rsidR="006B6CCC" w:rsidRDefault="00340286" w:rsidP="00340286">
            <w:pPr>
              <w:ind w:firstLine="589"/>
              <w:jc w:val="both"/>
              <w:rPr>
                <w:lang w:val="ro-RO"/>
              </w:rPr>
            </w:pPr>
            <w:r>
              <w:rPr>
                <w:lang w:val="ro-RO"/>
              </w:rPr>
              <w:t>P</w:t>
            </w:r>
            <w:r w:rsidRPr="00340286">
              <w:rPr>
                <w:lang w:val="ro-RO"/>
              </w:rPr>
              <w:t>roiectul Hotărîrii de Guvern pentru modificarea Re</w:t>
            </w:r>
            <w:r>
              <w:rPr>
                <w:lang w:val="ro-RO"/>
              </w:rPr>
              <w:t xml:space="preserve">gulamentului privind eliberarea </w:t>
            </w:r>
            <w:r w:rsidRPr="00340286">
              <w:rPr>
                <w:lang w:val="ro-RO"/>
              </w:rPr>
              <w:t>şi utilizarea autorizaţiilor de transporturi rutiere, aprob</w:t>
            </w:r>
            <w:r>
              <w:rPr>
                <w:lang w:val="ro-RO"/>
              </w:rPr>
              <w:t xml:space="preserve">at prin Hotărârea Guvernului </w:t>
            </w:r>
            <w:r w:rsidRPr="00340286">
              <w:rPr>
                <w:lang w:val="ro-RO"/>
              </w:rPr>
              <w:t>nr. 257/2017</w:t>
            </w:r>
            <w:r w:rsidR="006B6CCC" w:rsidRPr="006B6CCC">
              <w:rPr>
                <w:lang w:val="ro-RO"/>
              </w:rPr>
              <w:t>,</w:t>
            </w:r>
            <w:r w:rsidR="006B6CCC">
              <w:rPr>
                <w:lang w:val="ro-RO"/>
              </w:rPr>
              <w:t xml:space="preserve"> </w:t>
            </w:r>
            <w:r>
              <w:rPr>
                <w:lang w:val="ro-RO"/>
              </w:rPr>
              <w:t>este elaborat</w:t>
            </w:r>
            <w:r w:rsidR="00B56634">
              <w:rPr>
                <w:lang w:val="ro-RO"/>
              </w:rPr>
              <w:t xml:space="preserve"> în contextul modificărilor operate la </w:t>
            </w:r>
            <w:r w:rsidR="00B56634" w:rsidRPr="00940FAC">
              <w:rPr>
                <w:lang w:val="ro-RO"/>
              </w:rPr>
              <w:t>Codul Transporturilor Rutiere</w:t>
            </w:r>
            <w:r w:rsidR="00766438">
              <w:rPr>
                <w:lang w:val="ro-RO"/>
              </w:rPr>
              <w:t xml:space="preserve"> </w:t>
            </w:r>
            <w:r w:rsidR="00937567">
              <w:rPr>
                <w:lang w:val="ro-RO"/>
              </w:rPr>
              <w:t xml:space="preserve">și prevederilor Hotărîrii Guvernului nr.127/2020 </w:t>
            </w:r>
            <w:r w:rsidR="00937567" w:rsidRPr="0041463D">
              <w:rPr>
                <w:lang w:val="ro-RO"/>
              </w:rPr>
              <w:t>pentru aprobarea Regulamentului privind</w:t>
            </w:r>
            <w:r w:rsidR="00937567">
              <w:rPr>
                <w:lang w:val="ro-RO"/>
              </w:rPr>
              <w:t xml:space="preserve"> </w:t>
            </w:r>
            <w:r w:rsidR="00937567" w:rsidRPr="0041463D">
              <w:rPr>
                <w:lang w:val="ro-RO"/>
              </w:rPr>
              <w:t>modul de ținere a registrelor de stat formate de</w:t>
            </w:r>
            <w:r w:rsidR="00937567">
              <w:rPr>
                <w:lang w:val="ro-RO"/>
              </w:rPr>
              <w:t xml:space="preserve"> </w:t>
            </w:r>
            <w:r w:rsidR="00937567" w:rsidRPr="0041463D">
              <w:rPr>
                <w:lang w:val="ro-RO"/>
              </w:rPr>
              <w:t>Sistemul informațional „e-Autorizație transport”</w:t>
            </w:r>
            <w:r w:rsidR="00937567">
              <w:rPr>
                <w:lang w:val="ro-RO"/>
              </w:rPr>
              <w:t xml:space="preserve">, </w:t>
            </w:r>
            <w:r>
              <w:rPr>
                <w:lang w:val="ro-RO"/>
              </w:rPr>
              <w:t>respectiv</w:t>
            </w:r>
            <w:r w:rsidR="00CF5040">
              <w:rPr>
                <w:lang w:val="ro-RO"/>
              </w:rPr>
              <w:t xml:space="preserve"> </w:t>
            </w:r>
            <w:r w:rsidR="00B349A1">
              <w:rPr>
                <w:lang w:val="ro-RO"/>
              </w:rPr>
              <w:t>se propun următoarele modificări</w:t>
            </w:r>
            <w:r>
              <w:rPr>
                <w:lang w:val="ro-RO"/>
              </w:rPr>
              <w:t xml:space="preserve"> normative</w:t>
            </w:r>
            <w:r w:rsidR="00B349A1">
              <w:rPr>
                <w:lang w:val="ro-RO"/>
              </w:rPr>
              <w:t>:</w:t>
            </w:r>
            <w:r w:rsidR="00766438">
              <w:rPr>
                <w:lang w:val="ro-RO"/>
              </w:rPr>
              <w:t xml:space="preserve">   </w:t>
            </w:r>
          </w:p>
          <w:p w14:paraId="498A9E28" w14:textId="40FD7826" w:rsidR="007F06B1" w:rsidRDefault="00B349A1" w:rsidP="0053627A">
            <w:pPr>
              <w:ind w:firstLine="599"/>
              <w:jc w:val="both"/>
              <w:rPr>
                <w:lang w:val="ro-RO"/>
              </w:rPr>
            </w:pPr>
            <w:r>
              <w:rPr>
                <w:lang w:val="ro-RO"/>
              </w:rPr>
              <w:t xml:space="preserve">- </w:t>
            </w:r>
            <w:r w:rsidR="00D8017B">
              <w:rPr>
                <w:lang w:val="ro-RO"/>
              </w:rPr>
              <w:t xml:space="preserve">revizuirea mecanismelor de eliberare a autorizațiilor prin </w:t>
            </w:r>
            <w:r>
              <w:rPr>
                <w:lang w:val="ro-RO"/>
              </w:rPr>
              <w:t xml:space="preserve">stabilirea unor noi </w:t>
            </w:r>
            <w:r w:rsidR="00C56BD8">
              <w:rPr>
                <w:lang w:val="ro-RO"/>
              </w:rPr>
              <w:t>criterii de divizare</w:t>
            </w:r>
            <w:r w:rsidR="009D4835">
              <w:rPr>
                <w:lang w:val="ro-RO"/>
              </w:rPr>
              <w:t xml:space="preserve"> pe categorii </w:t>
            </w:r>
            <w:r w:rsidR="00C56BD8">
              <w:rPr>
                <w:lang w:val="ro-RO"/>
              </w:rPr>
              <w:t xml:space="preserve">a autorizațiilor în dependență de stocul </w:t>
            </w:r>
            <w:r w:rsidR="00227323">
              <w:rPr>
                <w:lang w:val="ro-RO"/>
              </w:rPr>
              <w:t>disponibil și cererea pentru următoarea perioadă</w:t>
            </w:r>
            <w:r w:rsidR="009D17CC">
              <w:rPr>
                <w:lang w:val="ro-RO"/>
              </w:rPr>
              <w:t>;</w:t>
            </w:r>
          </w:p>
          <w:p w14:paraId="4C87D798" w14:textId="092FD3BA" w:rsidR="00940FAC" w:rsidRPr="00821865" w:rsidRDefault="007F06B1" w:rsidP="0053627A">
            <w:pPr>
              <w:ind w:firstLine="599"/>
              <w:jc w:val="both"/>
              <w:rPr>
                <w:lang w:val="ro-RO"/>
              </w:rPr>
            </w:pPr>
            <w:r>
              <w:rPr>
                <w:lang w:val="ro-RO"/>
              </w:rPr>
              <w:t xml:space="preserve">- </w:t>
            </w:r>
            <w:r w:rsidR="00723D51" w:rsidRPr="0053627A">
              <w:rPr>
                <w:lang w:val="ro-RO"/>
              </w:rPr>
              <w:t xml:space="preserve">eliberarea autorizațiilor </w:t>
            </w:r>
            <w:r w:rsidR="00821865" w:rsidRPr="0053627A">
              <w:rPr>
                <w:lang w:val="ro-RO"/>
              </w:rPr>
              <w:t xml:space="preserve">doar pentru </w:t>
            </w:r>
            <w:r w:rsidR="00940FAC" w:rsidRPr="00821865">
              <w:rPr>
                <w:lang w:val="ro-RO"/>
              </w:rPr>
              <w:t>parc</w:t>
            </w:r>
            <w:r w:rsidR="00821865" w:rsidRPr="0053627A">
              <w:rPr>
                <w:lang w:val="ro-RO"/>
              </w:rPr>
              <w:t>ul</w:t>
            </w:r>
            <w:r w:rsidR="00940FAC" w:rsidRPr="00821865">
              <w:rPr>
                <w:lang w:val="ro-RO"/>
              </w:rPr>
              <w:t xml:space="preserve"> eligibil real antrenat</w:t>
            </w:r>
            <w:r w:rsidR="002F62BE">
              <w:rPr>
                <w:lang w:val="ro-RO"/>
              </w:rPr>
              <w:t xml:space="preserve">, fapt care </w:t>
            </w:r>
            <w:r w:rsidR="00940FAC" w:rsidRPr="00821865">
              <w:rPr>
                <w:lang w:val="ro-RO"/>
              </w:rPr>
              <w:t>va permite excluderea din procesul de eliberare a autorizațiilor a unităților de transport care nu sunt antrenate în trafic internațional.</w:t>
            </w:r>
          </w:p>
          <w:p w14:paraId="27432B2E" w14:textId="502FA8BE" w:rsidR="00940FAC" w:rsidRDefault="00EC0D1F" w:rsidP="0053627A">
            <w:pPr>
              <w:ind w:firstLine="599"/>
              <w:jc w:val="both"/>
              <w:rPr>
                <w:lang w:val="ro-RO"/>
              </w:rPr>
            </w:pPr>
            <w:r>
              <w:rPr>
                <w:lang w:val="ro-RO"/>
              </w:rPr>
              <w:t xml:space="preserve">- </w:t>
            </w:r>
            <w:r w:rsidR="00940FAC" w:rsidRPr="00940FAC">
              <w:rPr>
                <w:lang w:val="ro-RO"/>
              </w:rPr>
              <w:t xml:space="preserve">excluderea obligativității de a </w:t>
            </w:r>
            <w:r w:rsidR="002F62BE">
              <w:rPr>
                <w:lang w:val="ro-RO"/>
              </w:rPr>
              <w:t>utiliza</w:t>
            </w:r>
            <w:r w:rsidR="00940FAC" w:rsidRPr="00940FAC">
              <w:rPr>
                <w:lang w:val="ro-RO"/>
              </w:rPr>
              <w:t xml:space="preserve"> în termen de 30 de zile de la momentul eliberării, autorizaţi</w:t>
            </w:r>
            <w:r w:rsidR="002F62BE">
              <w:rPr>
                <w:lang w:val="ro-RO"/>
              </w:rPr>
              <w:t>a</w:t>
            </w:r>
            <w:r w:rsidR="00940FAC" w:rsidRPr="00940FAC">
              <w:rPr>
                <w:lang w:val="ro-RO"/>
              </w:rPr>
              <w:t xml:space="preserve"> de transport rutier internaţional. </w:t>
            </w:r>
            <w:r w:rsidR="002F62BE">
              <w:rPr>
                <w:lang w:val="ro-RO"/>
              </w:rPr>
              <w:t xml:space="preserve">Totodată, noul proiect </w:t>
            </w:r>
            <w:r w:rsidR="00F92BB1">
              <w:rPr>
                <w:lang w:val="ro-RO"/>
              </w:rPr>
              <w:t xml:space="preserve">menține </w:t>
            </w:r>
            <w:r w:rsidR="00940FAC" w:rsidRPr="00940FAC">
              <w:rPr>
                <w:lang w:val="ro-RO"/>
              </w:rPr>
              <w:t xml:space="preserve">obligația </w:t>
            </w:r>
            <w:r w:rsidR="00F92BB1">
              <w:rPr>
                <w:lang w:val="ro-RO"/>
              </w:rPr>
              <w:t xml:space="preserve">operatorului de transport rutier </w:t>
            </w:r>
            <w:r w:rsidR="00940FAC" w:rsidRPr="00940FAC">
              <w:rPr>
                <w:lang w:val="ro-RO"/>
              </w:rPr>
              <w:t xml:space="preserve">de a restitui autorizația în termen de </w:t>
            </w:r>
            <w:r w:rsidR="00940FAC">
              <w:rPr>
                <w:lang w:val="ro-RO"/>
              </w:rPr>
              <w:t>90 de zile din data eliberării</w:t>
            </w:r>
            <w:r w:rsidR="002F62BE">
              <w:rPr>
                <w:lang w:val="ro-RO"/>
              </w:rPr>
              <w:t>, în cazul neutilizării acesteia</w:t>
            </w:r>
            <w:r w:rsidR="00940FAC">
              <w:rPr>
                <w:lang w:val="ro-RO"/>
              </w:rPr>
              <w:t>.</w:t>
            </w:r>
          </w:p>
          <w:p w14:paraId="1C14FDD3" w14:textId="3AD21DC8" w:rsidR="00E5408D" w:rsidRDefault="00681908" w:rsidP="0053627A">
            <w:pPr>
              <w:ind w:firstLine="599"/>
              <w:jc w:val="both"/>
              <w:rPr>
                <w:lang w:val="ro-RO"/>
              </w:rPr>
            </w:pPr>
            <w:r>
              <w:rPr>
                <w:lang w:val="ro-RO"/>
              </w:rPr>
              <w:t xml:space="preserve">- </w:t>
            </w:r>
            <w:r w:rsidR="009E6251">
              <w:rPr>
                <w:lang w:val="ro-RO"/>
              </w:rPr>
              <w:t xml:space="preserve">clarificarea </w:t>
            </w:r>
            <w:r w:rsidR="00D25560">
              <w:rPr>
                <w:lang w:val="ro-RO"/>
              </w:rPr>
              <w:t xml:space="preserve">condițiilor </w:t>
            </w:r>
            <w:r w:rsidR="00C56114">
              <w:rPr>
                <w:lang w:val="ro-RO"/>
              </w:rPr>
              <w:t xml:space="preserve">față de </w:t>
            </w:r>
            <w:r w:rsidR="00D25560">
              <w:rPr>
                <w:lang w:val="ro-RO"/>
              </w:rPr>
              <w:t>parcul eligibil</w:t>
            </w:r>
            <w:r w:rsidR="00C56114">
              <w:rPr>
                <w:lang w:val="ro-RO"/>
              </w:rPr>
              <w:t xml:space="preserve"> admis la repartizarea autorizațiilor CEMT</w:t>
            </w:r>
            <w:r w:rsidR="00633C12">
              <w:rPr>
                <w:lang w:val="ro-RO"/>
              </w:rPr>
              <w:t xml:space="preserve">, </w:t>
            </w:r>
            <w:r w:rsidR="00E5408D">
              <w:rPr>
                <w:lang w:val="ro-RO"/>
              </w:rPr>
              <w:t>inclusiv</w:t>
            </w:r>
            <w:r w:rsidR="00633C12">
              <w:rPr>
                <w:lang w:val="ro-RO"/>
              </w:rPr>
              <w:t xml:space="preserve"> categoriile de vehicule </w:t>
            </w:r>
            <w:r w:rsidR="00E5408D">
              <w:rPr>
                <w:lang w:val="ro-RO"/>
              </w:rPr>
              <w:t>acceptate</w:t>
            </w:r>
            <w:r w:rsidR="00FF0185">
              <w:rPr>
                <w:lang w:val="ro-RO"/>
              </w:rPr>
              <w:t xml:space="preserve"> la</w:t>
            </w:r>
            <w:r w:rsidR="000A0589">
              <w:rPr>
                <w:lang w:val="ro-RO"/>
              </w:rPr>
              <w:t xml:space="preserve"> </w:t>
            </w:r>
            <w:r w:rsidR="00DD73F0">
              <w:rPr>
                <w:lang w:val="ro-RO"/>
              </w:rPr>
              <w:t>concursul de eliberare</w:t>
            </w:r>
            <w:r w:rsidR="00FF0185">
              <w:rPr>
                <w:lang w:val="ro-RO"/>
              </w:rPr>
              <w:t xml:space="preserve"> </w:t>
            </w:r>
            <w:r w:rsidR="00DD73F0">
              <w:rPr>
                <w:lang w:val="ro-RO"/>
              </w:rPr>
              <w:t>a autorizațiilor de transport</w:t>
            </w:r>
            <w:r w:rsidR="0035254F">
              <w:rPr>
                <w:lang w:val="ro-RO"/>
              </w:rPr>
              <w:t>.</w:t>
            </w:r>
            <w:r w:rsidR="00D25560">
              <w:rPr>
                <w:lang w:val="ro-RO"/>
              </w:rPr>
              <w:t xml:space="preserve"> </w:t>
            </w:r>
          </w:p>
          <w:p w14:paraId="40083089" w14:textId="0A5206C2" w:rsidR="00A46C6E" w:rsidRDefault="0047650B" w:rsidP="00425F79">
            <w:pPr>
              <w:ind w:firstLine="589"/>
              <w:jc w:val="both"/>
              <w:rPr>
                <w:lang w:val="ro-RO"/>
              </w:rPr>
            </w:pPr>
            <w:r>
              <w:rPr>
                <w:lang w:val="ro-RO"/>
              </w:rPr>
              <w:t>Complementar, evocăm că propunerile normative în cauză,</w:t>
            </w:r>
            <w:r w:rsidR="008032A1">
              <w:rPr>
                <w:lang w:val="ro-RO"/>
              </w:rPr>
              <w:t xml:space="preserve"> </w:t>
            </w:r>
            <w:r w:rsidR="00A46C6E">
              <w:rPr>
                <w:lang w:val="ro-RO"/>
              </w:rPr>
              <w:t>sunt necesare pentru a</w:t>
            </w:r>
            <w:r w:rsidR="00A46C6E" w:rsidRPr="00A46C6E">
              <w:rPr>
                <w:lang w:val="ro-RO"/>
              </w:rPr>
              <w:t xml:space="preserve"> facilita gestionarea </w:t>
            </w:r>
            <w:r w:rsidRPr="00A46C6E">
              <w:rPr>
                <w:lang w:val="ro-RO"/>
              </w:rPr>
              <w:t xml:space="preserve">și utilizarea mai eficientă </w:t>
            </w:r>
            <w:r>
              <w:rPr>
                <w:lang w:val="ro-RO"/>
              </w:rPr>
              <w:t xml:space="preserve">a </w:t>
            </w:r>
            <w:r w:rsidR="00A46C6E" w:rsidRPr="00A46C6E">
              <w:rPr>
                <w:lang w:val="ro-RO"/>
              </w:rPr>
              <w:t>stocurilor de autorizații disponibile</w:t>
            </w:r>
            <w:r>
              <w:rPr>
                <w:lang w:val="ro-RO"/>
              </w:rPr>
              <w:t>.</w:t>
            </w:r>
          </w:p>
          <w:p w14:paraId="067B9FB6" w14:textId="53A0F67E" w:rsidR="00C324E1" w:rsidRPr="00A46C6E" w:rsidRDefault="00C324E1" w:rsidP="00425F79">
            <w:pPr>
              <w:ind w:firstLine="589"/>
              <w:jc w:val="both"/>
              <w:rPr>
                <w:lang w:val="ro-RO"/>
              </w:rPr>
            </w:pPr>
            <w:r>
              <w:rPr>
                <w:lang w:val="ro-RO"/>
              </w:rPr>
              <w:t xml:space="preserve">Prevederile proiectului </w:t>
            </w:r>
            <w:r w:rsidR="00032EE4">
              <w:rPr>
                <w:lang w:val="ro-RO"/>
              </w:rPr>
              <w:t>urmează să intre în vigo</w:t>
            </w:r>
            <w:r w:rsidR="001E6833">
              <w:rPr>
                <w:lang w:val="ro-RO"/>
              </w:rPr>
              <w:t xml:space="preserve">are </w:t>
            </w:r>
            <w:r w:rsidR="003D6305">
              <w:rPr>
                <w:lang w:val="ro-RO"/>
              </w:rPr>
              <w:t xml:space="preserve">conform cadrului legal </w:t>
            </w:r>
            <w:r w:rsidR="001E6833">
              <w:rPr>
                <w:lang w:val="ro-RO"/>
              </w:rPr>
              <w:t xml:space="preserve">peste 30 de zile de la momentul publicării, cu excepția </w:t>
            </w:r>
            <w:r w:rsidR="000E002E">
              <w:rPr>
                <w:lang w:val="ro-RO"/>
              </w:rPr>
              <w:t>aspectelor ce reglementează eliberarea autorizațiilor CEMT</w:t>
            </w:r>
            <w:r w:rsidR="003D6305">
              <w:rPr>
                <w:lang w:val="ro-RO"/>
              </w:rPr>
              <w:t>,</w:t>
            </w:r>
            <w:r w:rsidR="000E002E">
              <w:rPr>
                <w:lang w:val="ro-RO"/>
              </w:rPr>
              <w:t xml:space="preserve"> care urmează a </w:t>
            </w:r>
            <w:r w:rsidR="00903A4C">
              <w:rPr>
                <w:lang w:val="ro-RO"/>
              </w:rPr>
              <w:t>fi aplicate începând cu 01.09.2021</w:t>
            </w:r>
            <w:r w:rsidR="00F52D32">
              <w:rPr>
                <w:lang w:val="ro-RO"/>
              </w:rPr>
              <w:t xml:space="preserve"> și autorizațiilor unitare care vor fi aplicate la eliberarea contingentului de autorizații pentru 2022.</w:t>
            </w:r>
          </w:p>
        </w:tc>
      </w:tr>
      <w:tr w:rsidR="00A46C6E" w14:paraId="2733F849" w14:textId="77777777" w:rsidTr="004C4C55">
        <w:tc>
          <w:tcPr>
            <w:tcW w:w="9782" w:type="dxa"/>
          </w:tcPr>
          <w:p w14:paraId="49504355" w14:textId="57F31A13" w:rsidR="00A46C6E" w:rsidRPr="00A46C6E" w:rsidRDefault="00A46C6E" w:rsidP="00A46C6E">
            <w:pPr>
              <w:ind w:firstLine="596"/>
              <w:jc w:val="both"/>
              <w:rPr>
                <w:b/>
                <w:lang w:val="ro-RO"/>
              </w:rPr>
            </w:pPr>
            <w:r>
              <w:rPr>
                <w:rFonts w:eastAsia="Calibri"/>
                <w:b/>
                <w:lang w:val="ro-RO"/>
              </w:rPr>
              <w:t xml:space="preserve">5. </w:t>
            </w:r>
            <w:r w:rsidRPr="00A46C6E">
              <w:rPr>
                <w:rFonts w:eastAsia="Calibri"/>
                <w:b/>
                <w:lang w:val="ro-RO"/>
              </w:rPr>
              <w:t>Fundamentarea economico-financiară</w:t>
            </w:r>
          </w:p>
        </w:tc>
      </w:tr>
      <w:tr w:rsidR="00A46C6E" w14:paraId="0B98CCCA" w14:textId="77777777" w:rsidTr="004C4C55">
        <w:tc>
          <w:tcPr>
            <w:tcW w:w="9782" w:type="dxa"/>
          </w:tcPr>
          <w:p w14:paraId="252B5CEE" w14:textId="07D9FC33" w:rsidR="00A46C6E" w:rsidRDefault="00A46C6E" w:rsidP="00A46C6E">
            <w:pPr>
              <w:ind w:firstLine="596"/>
              <w:jc w:val="both"/>
              <w:rPr>
                <w:b/>
                <w:lang w:val="ro-RO"/>
              </w:rPr>
            </w:pPr>
            <w:r w:rsidRPr="00AB6A5F">
              <w:rPr>
                <w:lang w:val="ro-RO"/>
              </w:rPr>
              <w:t>Implementarea prevederilor proiectului nu necesita cheltuieli financiare din bugetul de stat.</w:t>
            </w:r>
          </w:p>
        </w:tc>
      </w:tr>
      <w:tr w:rsidR="00A46C6E" w14:paraId="1C109512" w14:textId="77777777" w:rsidTr="004C4C55">
        <w:tc>
          <w:tcPr>
            <w:tcW w:w="9782" w:type="dxa"/>
          </w:tcPr>
          <w:p w14:paraId="76650227" w14:textId="2E4446CB" w:rsidR="00A46C6E" w:rsidRPr="00A46C6E" w:rsidRDefault="00A46C6E" w:rsidP="00A46C6E">
            <w:pPr>
              <w:ind w:firstLine="596"/>
              <w:jc w:val="both"/>
              <w:rPr>
                <w:b/>
                <w:lang w:val="ro-RO"/>
              </w:rPr>
            </w:pPr>
            <w:r>
              <w:rPr>
                <w:rFonts w:eastAsia="Calibri"/>
                <w:b/>
                <w:lang w:val="ro-RO"/>
              </w:rPr>
              <w:t xml:space="preserve">6. </w:t>
            </w:r>
            <w:r w:rsidRPr="00A46C6E">
              <w:rPr>
                <w:rFonts w:eastAsia="Calibri"/>
                <w:b/>
                <w:lang w:val="ro-RO"/>
              </w:rPr>
              <w:t>Modul de încorporare a actului în cadrul normativ în vigoare</w:t>
            </w:r>
          </w:p>
        </w:tc>
      </w:tr>
      <w:tr w:rsidR="00A46C6E" w14:paraId="522900A5" w14:textId="77777777" w:rsidTr="004C4C55">
        <w:tc>
          <w:tcPr>
            <w:tcW w:w="9782" w:type="dxa"/>
          </w:tcPr>
          <w:p w14:paraId="2CB26066" w14:textId="00FF8AAF" w:rsidR="00A46C6E" w:rsidRDefault="00A46C6E" w:rsidP="004E26CD">
            <w:pPr>
              <w:ind w:firstLine="596"/>
              <w:jc w:val="both"/>
              <w:rPr>
                <w:b/>
                <w:lang w:val="ro-RO"/>
              </w:rPr>
            </w:pPr>
            <w:r w:rsidRPr="00AB6A5F">
              <w:rPr>
                <w:lang w:val="ro-RO"/>
              </w:rPr>
              <w:lastRenderedPageBreak/>
              <w:t xml:space="preserve">Proiectul elaborat se încadrează în </w:t>
            </w:r>
            <w:r w:rsidR="004E26CD">
              <w:rPr>
                <w:lang w:val="ro-RO"/>
              </w:rPr>
              <w:t xml:space="preserve">prevederile </w:t>
            </w:r>
            <w:r w:rsidRPr="00AB6A5F">
              <w:rPr>
                <w:lang w:val="ro-RO"/>
              </w:rPr>
              <w:t>cadrul</w:t>
            </w:r>
            <w:r w:rsidR="004E26CD">
              <w:rPr>
                <w:lang w:val="ro-RO"/>
              </w:rPr>
              <w:t>ui</w:t>
            </w:r>
            <w:r w:rsidRPr="00AB6A5F">
              <w:rPr>
                <w:lang w:val="ro-RO"/>
              </w:rPr>
              <w:t xml:space="preserve"> normativ în vigoare, </w:t>
            </w:r>
            <w:r w:rsidR="004E26CD">
              <w:rPr>
                <w:lang w:val="ro-RO"/>
              </w:rPr>
              <w:t>respectiv</w:t>
            </w:r>
            <w:r w:rsidR="00CB33BA">
              <w:rPr>
                <w:lang w:val="ro-RO"/>
              </w:rPr>
              <w:t xml:space="preserve"> </w:t>
            </w:r>
            <w:r w:rsidRPr="00AB6A5F">
              <w:rPr>
                <w:lang w:val="ro-RO"/>
              </w:rPr>
              <w:t>aprobare</w:t>
            </w:r>
            <w:r w:rsidR="004E26CD">
              <w:rPr>
                <w:lang w:val="ro-RO"/>
              </w:rPr>
              <w:t>a acestuia</w:t>
            </w:r>
            <w:r w:rsidRPr="00AB6A5F">
              <w:rPr>
                <w:lang w:val="ro-RO"/>
              </w:rPr>
              <w:t xml:space="preserve"> nu </w:t>
            </w:r>
            <w:r w:rsidR="004E26CD">
              <w:rPr>
                <w:lang w:val="ro-RO"/>
              </w:rPr>
              <w:t>implică</w:t>
            </w:r>
            <w:r w:rsidRPr="00AB6A5F">
              <w:rPr>
                <w:lang w:val="ro-RO"/>
              </w:rPr>
              <w:t xml:space="preserve"> necesitatea</w:t>
            </w:r>
            <w:r w:rsidR="004E26CD">
              <w:rPr>
                <w:lang w:val="ro-RO"/>
              </w:rPr>
              <w:t xml:space="preserve"> modificării</w:t>
            </w:r>
            <w:r w:rsidRPr="00AB6A5F">
              <w:rPr>
                <w:lang w:val="ro-RO"/>
              </w:rPr>
              <w:t xml:space="preserve"> altor acte normative.</w:t>
            </w:r>
          </w:p>
        </w:tc>
      </w:tr>
      <w:tr w:rsidR="00A46C6E" w14:paraId="370ACBFE" w14:textId="77777777" w:rsidTr="004C4C55">
        <w:tc>
          <w:tcPr>
            <w:tcW w:w="9782" w:type="dxa"/>
          </w:tcPr>
          <w:p w14:paraId="54C57AF4" w14:textId="6C4E6C44" w:rsidR="00A46C6E" w:rsidRPr="00A46C6E" w:rsidRDefault="00A46C6E" w:rsidP="00A46C6E">
            <w:pPr>
              <w:ind w:firstLine="596"/>
              <w:jc w:val="both"/>
              <w:rPr>
                <w:b/>
                <w:lang w:val="ro-RO"/>
              </w:rPr>
            </w:pPr>
            <w:r>
              <w:rPr>
                <w:rFonts w:eastAsia="Calibri"/>
                <w:b/>
                <w:lang w:val="ro-RO"/>
              </w:rPr>
              <w:t xml:space="preserve">7. </w:t>
            </w:r>
            <w:r w:rsidRPr="00A46C6E">
              <w:rPr>
                <w:rFonts w:eastAsia="Calibri"/>
                <w:b/>
                <w:lang w:val="ro-RO"/>
              </w:rPr>
              <w:t>Avizarea şi consultarea publică a proiectului</w:t>
            </w:r>
          </w:p>
        </w:tc>
      </w:tr>
      <w:tr w:rsidR="00A46C6E" w14:paraId="14B8DBFA" w14:textId="77777777" w:rsidTr="004C4C55">
        <w:tc>
          <w:tcPr>
            <w:tcW w:w="9782" w:type="dxa"/>
          </w:tcPr>
          <w:p w14:paraId="629B115E" w14:textId="5EBFF7E2" w:rsidR="00A46C6E" w:rsidRPr="00AB6A5F" w:rsidRDefault="00EC5F83" w:rsidP="00DE3002">
            <w:pPr>
              <w:pStyle w:val="NoSpacing"/>
              <w:ind w:firstLine="596"/>
              <w:rPr>
                <w:rFonts w:ascii="Times New Roman" w:eastAsia="Times New Roman" w:hAnsi="Times New Roman"/>
                <w:bCs/>
                <w:sz w:val="24"/>
                <w:szCs w:val="24"/>
                <w:lang w:val="ro-RO"/>
              </w:rPr>
            </w:pPr>
            <w:r w:rsidRPr="00EC5F83">
              <w:rPr>
                <w:rFonts w:ascii="Times New Roman" w:eastAsia="Times New Roman" w:hAnsi="Times New Roman"/>
                <w:bCs/>
                <w:sz w:val="24"/>
                <w:szCs w:val="24"/>
                <w:lang w:val="ro-RO"/>
              </w:rPr>
              <w:t xml:space="preserve">În scopul respectării prevederilor Legii 239/2008 privind transparența în procesul decizional, anunțul privind </w:t>
            </w:r>
            <w:r>
              <w:rPr>
                <w:rFonts w:ascii="Times New Roman" w:eastAsia="Times New Roman" w:hAnsi="Times New Roman"/>
                <w:bCs/>
                <w:sz w:val="24"/>
                <w:szCs w:val="24"/>
                <w:lang w:val="ro-RO"/>
              </w:rPr>
              <w:t>consultarea publică a p</w:t>
            </w:r>
            <w:r w:rsidRPr="00EC5F83">
              <w:rPr>
                <w:rFonts w:ascii="Times New Roman" w:eastAsia="Times New Roman" w:hAnsi="Times New Roman"/>
                <w:bCs/>
                <w:sz w:val="24"/>
                <w:szCs w:val="24"/>
                <w:lang w:val="ro-RO"/>
              </w:rPr>
              <w:t>roiectului poate fi accesat pe pagina web oficială a Ministerului Economiei și Infrastructurii (compartimentul „Transparența”, directoriul Transparență decizională/</w:t>
            </w:r>
            <w:r w:rsidR="0012769E">
              <w:rPr>
                <w:rFonts w:ascii="Times New Roman" w:eastAsia="Times New Roman" w:hAnsi="Times New Roman"/>
                <w:bCs/>
                <w:sz w:val="24"/>
                <w:szCs w:val="24"/>
                <w:lang w:val="ro-RO"/>
              </w:rPr>
              <w:t>Consultări</w:t>
            </w:r>
            <w:r>
              <w:rPr>
                <w:rFonts w:ascii="Times New Roman" w:eastAsia="Times New Roman" w:hAnsi="Times New Roman"/>
                <w:bCs/>
                <w:sz w:val="24"/>
                <w:szCs w:val="24"/>
                <w:lang w:val="ro-RO"/>
              </w:rPr>
              <w:t xml:space="preserve"> publice</w:t>
            </w:r>
            <w:r w:rsidRPr="00EC5F83">
              <w:rPr>
                <w:rFonts w:ascii="Times New Roman" w:eastAsia="Times New Roman" w:hAnsi="Times New Roman"/>
                <w:bCs/>
                <w:sz w:val="24"/>
                <w:szCs w:val="24"/>
                <w:lang w:val="ro-RO"/>
              </w:rPr>
              <w:t>”), și pe portalul guvernamental particip.gov.md.</w:t>
            </w:r>
            <w:r w:rsidR="00A46C6E" w:rsidRPr="00AB6A5F">
              <w:rPr>
                <w:rFonts w:ascii="Times New Roman" w:eastAsia="Times New Roman" w:hAnsi="Times New Roman"/>
                <w:bCs/>
                <w:sz w:val="24"/>
                <w:szCs w:val="24"/>
                <w:lang w:val="ro-RO"/>
              </w:rPr>
              <w:t xml:space="preserve"> și </w:t>
            </w:r>
            <w:r>
              <w:rPr>
                <w:rFonts w:ascii="Times New Roman" w:eastAsia="Times New Roman" w:hAnsi="Times New Roman"/>
                <w:bCs/>
                <w:sz w:val="24"/>
                <w:szCs w:val="24"/>
                <w:lang w:val="ro-RO"/>
              </w:rPr>
              <w:t>a fost</w:t>
            </w:r>
            <w:r w:rsidR="00A46C6E" w:rsidRPr="00AB6A5F">
              <w:rPr>
                <w:rFonts w:ascii="Times New Roman" w:eastAsia="Times New Roman" w:hAnsi="Times New Roman"/>
                <w:bCs/>
                <w:sz w:val="24"/>
                <w:szCs w:val="24"/>
                <w:lang w:val="ro-RO"/>
              </w:rPr>
              <w:t xml:space="preserve"> remis spre avizare</w:t>
            </w:r>
            <w:r>
              <w:rPr>
                <w:rFonts w:ascii="Times New Roman" w:eastAsia="Times New Roman" w:hAnsi="Times New Roman"/>
                <w:bCs/>
                <w:sz w:val="24"/>
                <w:szCs w:val="24"/>
                <w:lang w:val="ro-RO"/>
              </w:rPr>
              <w:t>, în prima etapă</w:t>
            </w:r>
            <w:r w:rsidR="00A46C6E" w:rsidRPr="00AB6A5F">
              <w:rPr>
                <w:rFonts w:ascii="Times New Roman" w:eastAsia="Times New Roman" w:hAnsi="Times New Roman"/>
                <w:bCs/>
                <w:sz w:val="24"/>
                <w:szCs w:val="24"/>
                <w:lang w:val="ro-RO"/>
              </w:rPr>
              <w:t>:</w:t>
            </w:r>
          </w:p>
          <w:p w14:paraId="06CC453C" w14:textId="63C76932" w:rsidR="00DE3002" w:rsidRDefault="00A46C6E" w:rsidP="00DE3002">
            <w:pPr>
              <w:pStyle w:val="NoSpacing"/>
              <w:ind w:firstLine="596"/>
              <w:rPr>
                <w:rFonts w:ascii="Times New Roman" w:eastAsia="Times New Roman" w:hAnsi="Times New Roman"/>
                <w:sz w:val="24"/>
                <w:szCs w:val="24"/>
                <w:lang w:val="ro-MD" w:eastAsia="ro-MD"/>
              </w:rPr>
            </w:pPr>
            <w:r w:rsidRPr="00AB6A5F">
              <w:rPr>
                <w:rFonts w:ascii="Times New Roman" w:eastAsia="Times New Roman" w:hAnsi="Times New Roman"/>
                <w:bCs/>
                <w:sz w:val="24"/>
                <w:szCs w:val="24"/>
                <w:lang w:val="ro-RO"/>
              </w:rPr>
              <w:t xml:space="preserve">- </w:t>
            </w:r>
            <w:r w:rsidR="00DE3002">
              <w:rPr>
                <w:rFonts w:ascii="Times New Roman" w:eastAsia="Times New Roman" w:hAnsi="Times New Roman"/>
                <w:sz w:val="24"/>
                <w:szCs w:val="24"/>
                <w:lang w:val="ro-MD" w:eastAsia="ro-MD"/>
              </w:rPr>
              <w:t>Ministerul</w:t>
            </w:r>
            <w:r w:rsidR="00EC5F83">
              <w:rPr>
                <w:rFonts w:ascii="Times New Roman" w:eastAsia="Times New Roman" w:hAnsi="Times New Roman"/>
                <w:sz w:val="24"/>
                <w:szCs w:val="24"/>
                <w:lang w:val="ro-MD" w:eastAsia="ro-MD"/>
              </w:rPr>
              <w:t>ui</w:t>
            </w:r>
            <w:r w:rsidR="00DE3002">
              <w:rPr>
                <w:rFonts w:ascii="Times New Roman" w:eastAsia="Times New Roman" w:hAnsi="Times New Roman"/>
                <w:sz w:val="24"/>
                <w:szCs w:val="24"/>
                <w:lang w:val="ro-MD" w:eastAsia="ro-MD"/>
              </w:rPr>
              <w:t xml:space="preserve"> Finanțelor;</w:t>
            </w:r>
          </w:p>
          <w:p w14:paraId="0C6E5BBA" w14:textId="4B77BEC1" w:rsidR="00DE3002" w:rsidRPr="00DE3002" w:rsidRDefault="00DE3002" w:rsidP="00DE3002">
            <w:pPr>
              <w:pStyle w:val="NoSpacing"/>
              <w:ind w:firstLine="596"/>
              <w:rPr>
                <w:rFonts w:ascii="Times New Roman" w:eastAsia="Times New Roman" w:hAnsi="Times New Roman"/>
                <w:sz w:val="24"/>
                <w:szCs w:val="24"/>
                <w:lang w:val="ro-MD" w:eastAsia="ro-MD"/>
              </w:rPr>
            </w:pPr>
            <w:r>
              <w:rPr>
                <w:rFonts w:ascii="Times New Roman" w:eastAsia="Times New Roman" w:hAnsi="Times New Roman"/>
                <w:sz w:val="24"/>
                <w:szCs w:val="24"/>
                <w:lang w:val="ro-MD" w:eastAsia="ro-MD"/>
              </w:rPr>
              <w:t xml:space="preserve">- </w:t>
            </w:r>
            <w:r w:rsidR="00A46C6E" w:rsidRPr="00AB6A5F">
              <w:rPr>
                <w:rFonts w:ascii="Times New Roman" w:eastAsia="Times New Roman" w:hAnsi="Times New Roman"/>
                <w:bCs/>
                <w:sz w:val="24"/>
                <w:szCs w:val="24"/>
                <w:lang w:val="ro-RO"/>
              </w:rPr>
              <w:t>Ministerului Justiției;</w:t>
            </w:r>
          </w:p>
          <w:p w14:paraId="446F22D9" w14:textId="77777777" w:rsidR="00A46C6E" w:rsidRDefault="00A46C6E" w:rsidP="00DE3002">
            <w:pPr>
              <w:ind w:firstLine="596"/>
              <w:jc w:val="both"/>
              <w:rPr>
                <w:lang w:val="ro-RO"/>
              </w:rPr>
            </w:pPr>
            <w:r w:rsidRPr="00AB6A5F">
              <w:rPr>
                <w:lang w:val="ro-RO"/>
              </w:rPr>
              <w:t xml:space="preserve">- </w:t>
            </w:r>
            <w:r w:rsidR="00DE3002">
              <w:rPr>
                <w:lang w:val="ro-RO"/>
              </w:rPr>
              <w:t>Centrului Național Anticorupție;</w:t>
            </w:r>
          </w:p>
          <w:p w14:paraId="7CA40CDC" w14:textId="77777777" w:rsidR="00DE3002" w:rsidRDefault="00DE3002" w:rsidP="00DE3002">
            <w:pPr>
              <w:ind w:firstLine="596"/>
              <w:jc w:val="both"/>
              <w:rPr>
                <w:lang w:val="ro-MD" w:eastAsia="ro-MD"/>
              </w:rPr>
            </w:pPr>
            <w:r>
              <w:rPr>
                <w:lang w:val="ro-RO"/>
              </w:rPr>
              <w:t xml:space="preserve">- </w:t>
            </w:r>
            <w:r>
              <w:rPr>
                <w:lang w:val="ro-MD" w:eastAsia="ro-MD"/>
              </w:rPr>
              <w:t>Mediul</w:t>
            </w:r>
            <w:r w:rsidR="00EC5F83">
              <w:rPr>
                <w:lang w:val="ro-MD" w:eastAsia="ro-MD"/>
              </w:rPr>
              <w:t xml:space="preserve">ui </w:t>
            </w:r>
            <w:r>
              <w:rPr>
                <w:lang w:val="ro-MD" w:eastAsia="ro-MD"/>
              </w:rPr>
              <w:t>de afaceri.</w:t>
            </w:r>
          </w:p>
          <w:p w14:paraId="2C1DF7D1" w14:textId="04357A9E" w:rsidR="00E251D0" w:rsidRPr="0014759F" w:rsidRDefault="00E84C12" w:rsidP="0014759F">
            <w:pPr>
              <w:ind w:firstLine="599"/>
              <w:jc w:val="both"/>
              <w:rPr>
                <w:bCs/>
                <w:lang w:val="ro-RO"/>
              </w:rPr>
            </w:pPr>
            <w:r w:rsidRPr="0014759F">
              <w:rPr>
                <w:bCs/>
                <w:lang w:val="ro-RO"/>
              </w:rPr>
              <w:t xml:space="preserve">Ca urmare </w:t>
            </w:r>
            <w:r>
              <w:rPr>
                <w:bCs/>
                <w:lang w:val="ro-RO"/>
              </w:rPr>
              <w:t xml:space="preserve">a procesului de avizare mai multe propuneri </w:t>
            </w:r>
            <w:r w:rsidR="00477EF7">
              <w:rPr>
                <w:bCs/>
                <w:lang w:val="ro-RO"/>
              </w:rPr>
              <w:t>au fost prezentate de Asociațiile Patronale și Agenția Națională Transport Auto.</w:t>
            </w:r>
            <w:r w:rsidR="00363A31">
              <w:rPr>
                <w:bCs/>
                <w:lang w:val="ro-RO"/>
              </w:rPr>
              <w:t xml:space="preserve"> Majoritatea propunerilor prezentate au fost acceptate</w:t>
            </w:r>
            <w:r w:rsidR="00826E52">
              <w:rPr>
                <w:bCs/>
                <w:lang w:val="ro-RO"/>
              </w:rPr>
              <w:t>, fiind introduse modificările necesare în proiect</w:t>
            </w:r>
            <w:r w:rsidR="00CB33BA">
              <w:rPr>
                <w:bCs/>
                <w:lang w:val="ro-RO"/>
              </w:rPr>
              <w:t xml:space="preserve"> </w:t>
            </w:r>
            <w:r w:rsidR="00CB33BA" w:rsidRPr="0014759F">
              <w:rPr>
                <w:bCs/>
                <w:i/>
                <w:iCs/>
                <w:lang w:val="ro-RO"/>
              </w:rPr>
              <w:t>(</w:t>
            </w:r>
            <w:r w:rsidR="00177B16" w:rsidRPr="0014759F">
              <w:rPr>
                <w:bCs/>
                <w:i/>
                <w:iCs/>
                <w:lang w:val="ro-RO"/>
              </w:rPr>
              <w:t>Sinteza obiecțiilor și propunerilor/recomandărilor la proiect se anexează</w:t>
            </w:r>
            <w:r w:rsidR="00CB33BA" w:rsidRPr="0014759F">
              <w:rPr>
                <w:bCs/>
                <w:i/>
                <w:iCs/>
                <w:lang w:val="ro-RO"/>
              </w:rPr>
              <w:t>)</w:t>
            </w:r>
          </w:p>
        </w:tc>
      </w:tr>
      <w:tr w:rsidR="00993180" w14:paraId="3C646760" w14:textId="77777777" w:rsidTr="004C4C55">
        <w:tc>
          <w:tcPr>
            <w:tcW w:w="9782" w:type="dxa"/>
          </w:tcPr>
          <w:p w14:paraId="3DA9F68D" w14:textId="5DFF4F97" w:rsidR="00993180" w:rsidRPr="002B5DE7" w:rsidRDefault="00D76A16" w:rsidP="002B5DE7">
            <w:pPr>
              <w:ind w:firstLine="596"/>
              <w:jc w:val="both"/>
              <w:rPr>
                <w:rFonts w:eastAsia="Calibri"/>
                <w:b/>
                <w:lang w:val="ro-RO"/>
              </w:rPr>
            </w:pPr>
            <w:r w:rsidRPr="002B5DE7">
              <w:rPr>
                <w:rFonts w:eastAsia="Calibri"/>
                <w:b/>
                <w:lang w:val="ro-RO"/>
              </w:rPr>
              <w:t xml:space="preserve">8. Constatările expertizei </w:t>
            </w:r>
            <w:r w:rsidR="002B5DE7" w:rsidRPr="002B5DE7">
              <w:rPr>
                <w:rFonts w:eastAsia="Calibri"/>
                <w:b/>
                <w:lang w:val="ro-RO"/>
              </w:rPr>
              <w:t>anticorupție</w:t>
            </w:r>
          </w:p>
        </w:tc>
      </w:tr>
      <w:tr w:rsidR="00D76A16" w14:paraId="5E597008" w14:textId="77777777" w:rsidTr="004C4C55">
        <w:tc>
          <w:tcPr>
            <w:tcW w:w="9782" w:type="dxa"/>
          </w:tcPr>
          <w:p w14:paraId="73C8184E" w14:textId="3F64DCE1" w:rsidR="00D76A16" w:rsidRPr="00AB6A5F" w:rsidRDefault="00673E7F" w:rsidP="00DE3002">
            <w:pPr>
              <w:pStyle w:val="NoSpacing"/>
              <w:ind w:firstLine="596"/>
              <w:rPr>
                <w:rFonts w:ascii="Times New Roman" w:eastAsia="Times New Roman" w:hAnsi="Times New Roman"/>
                <w:bCs/>
                <w:sz w:val="24"/>
                <w:szCs w:val="24"/>
                <w:lang w:val="ro-RO"/>
              </w:rPr>
            </w:pPr>
            <w:r w:rsidRPr="00673E7F">
              <w:rPr>
                <w:rFonts w:ascii="Times New Roman" w:eastAsia="Times New Roman" w:hAnsi="Times New Roman"/>
                <w:bCs/>
                <w:sz w:val="24"/>
                <w:szCs w:val="24"/>
                <w:lang w:val="ro-RO"/>
              </w:rPr>
              <w:t>Compartimentul respectiv se va completa ulterior prezentării avizului.</w:t>
            </w:r>
          </w:p>
        </w:tc>
      </w:tr>
      <w:tr w:rsidR="00D76A16" w14:paraId="616BD476" w14:textId="77777777" w:rsidTr="004C4C55">
        <w:tc>
          <w:tcPr>
            <w:tcW w:w="9782" w:type="dxa"/>
          </w:tcPr>
          <w:p w14:paraId="30AFC02A" w14:textId="5181FE35" w:rsidR="00D76A16" w:rsidRPr="002B5DE7" w:rsidRDefault="005D251B" w:rsidP="002B5DE7">
            <w:pPr>
              <w:ind w:firstLine="596"/>
              <w:jc w:val="both"/>
              <w:rPr>
                <w:rFonts w:eastAsia="Calibri"/>
                <w:b/>
                <w:lang w:val="ro-RO"/>
              </w:rPr>
            </w:pPr>
            <w:r w:rsidRPr="002B5DE7">
              <w:rPr>
                <w:rFonts w:eastAsia="Calibri"/>
                <w:b/>
                <w:lang w:val="ro-RO"/>
              </w:rPr>
              <w:t>9. Constatările expertizei de compatibilitate</w:t>
            </w:r>
          </w:p>
        </w:tc>
      </w:tr>
      <w:tr w:rsidR="00D76A16" w14:paraId="2BB1B014" w14:textId="77777777" w:rsidTr="004C4C55">
        <w:tc>
          <w:tcPr>
            <w:tcW w:w="9782" w:type="dxa"/>
          </w:tcPr>
          <w:p w14:paraId="45460EC7" w14:textId="14D02AF4" w:rsidR="00D76A16" w:rsidRPr="00AB6A5F" w:rsidRDefault="008C370D" w:rsidP="00DE3002">
            <w:pPr>
              <w:pStyle w:val="NoSpacing"/>
              <w:ind w:firstLine="596"/>
              <w:rPr>
                <w:rFonts w:ascii="Times New Roman" w:eastAsia="Times New Roman" w:hAnsi="Times New Roman"/>
                <w:bCs/>
                <w:sz w:val="24"/>
                <w:szCs w:val="24"/>
                <w:lang w:val="ro-RO"/>
              </w:rPr>
            </w:pPr>
            <w:r w:rsidRPr="008C370D">
              <w:rPr>
                <w:rFonts w:ascii="Times New Roman" w:eastAsia="Times New Roman" w:hAnsi="Times New Roman"/>
                <w:bCs/>
                <w:sz w:val="24"/>
                <w:szCs w:val="24"/>
                <w:lang w:val="ro-RO"/>
              </w:rPr>
              <w:t xml:space="preserve">Proiectul de hotărîre nu </w:t>
            </w:r>
            <w:r w:rsidR="00CB33BA" w:rsidRPr="008C370D">
              <w:rPr>
                <w:rFonts w:ascii="Times New Roman" w:eastAsia="Times New Roman" w:hAnsi="Times New Roman"/>
                <w:bCs/>
                <w:sz w:val="24"/>
                <w:szCs w:val="24"/>
                <w:lang w:val="ro-RO"/>
              </w:rPr>
              <w:t>conține</w:t>
            </w:r>
            <w:r w:rsidRPr="008C370D">
              <w:rPr>
                <w:rFonts w:ascii="Times New Roman" w:eastAsia="Times New Roman" w:hAnsi="Times New Roman"/>
                <w:bCs/>
                <w:sz w:val="24"/>
                <w:szCs w:val="24"/>
                <w:lang w:val="ro-RO"/>
              </w:rPr>
              <w:t xml:space="preserve"> norme privind armonizarea legislaţiei naţionale cu acquis-</w:t>
            </w:r>
            <w:proofErr w:type="spellStart"/>
            <w:r w:rsidRPr="008C370D">
              <w:rPr>
                <w:rFonts w:ascii="Times New Roman" w:eastAsia="Times New Roman" w:hAnsi="Times New Roman"/>
                <w:bCs/>
                <w:sz w:val="24"/>
                <w:szCs w:val="24"/>
                <w:lang w:val="ro-RO"/>
              </w:rPr>
              <w:t>ul</w:t>
            </w:r>
            <w:proofErr w:type="spellEnd"/>
            <w:r w:rsidRPr="008C370D">
              <w:rPr>
                <w:rFonts w:ascii="Times New Roman" w:eastAsia="Times New Roman" w:hAnsi="Times New Roman"/>
                <w:bCs/>
                <w:sz w:val="24"/>
                <w:szCs w:val="24"/>
                <w:lang w:val="ro-RO"/>
              </w:rPr>
              <w:t xml:space="preserve"> comunitar</w:t>
            </w:r>
            <w:r>
              <w:rPr>
                <w:rFonts w:ascii="Times New Roman" w:eastAsia="Times New Roman" w:hAnsi="Times New Roman"/>
                <w:bCs/>
                <w:sz w:val="24"/>
                <w:szCs w:val="24"/>
                <w:lang w:val="ro-RO"/>
              </w:rPr>
              <w:t>.</w:t>
            </w:r>
          </w:p>
        </w:tc>
      </w:tr>
      <w:tr w:rsidR="00D76A16" w14:paraId="77945EAA" w14:textId="77777777" w:rsidTr="004C4C55">
        <w:tc>
          <w:tcPr>
            <w:tcW w:w="9782" w:type="dxa"/>
          </w:tcPr>
          <w:p w14:paraId="13853023" w14:textId="56657AF7" w:rsidR="00D76A16" w:rsidRPr="002B5DE7" w:rsidRDefault="005D251B" w:rsidP="002B5DE7">
            <w:pPr>
              <w:ind w:firstLine="596"/>
              <w:jc w:val="both"/>
              <w:rPr>
                <w:rFonts w:eastAsia="Calibri"/>
                <w:b/>
                <w:lang w:val="ro-RO"/>
              </w:rPr>
            </w:pPr>
            <w:r w:rsidRPr="002B5DE7">
              <w:rPr>
                <w:rFonts w:eastAsia="Calibri"/>
                <w:b/>
                <w:lang w:val="ro-RO"/>
              </w:rPr>
              <w:t>10. Constatările expertizei juridice</w:t>
            </w:r>
          </w:p>
        </w:tc>
      </w:tr>
      <w:tr w:rsidR="00D76A16" w14:paraId="382C94E6" w14:textId="77777777" w:rsidTr="004C4C55">
        <w:tc>
          <w:tcPr>
            <w:tcW w:w="9782" w:type="dxa"/>
          </w:tcPr>
          <w:p w14:paraId="3E756190" w14:textId="46686921" w:rsidR="00D76A16" w:rsidRPr="00AB6A5F" w:rsidRDefault="00BF05BF" w:rsidP="00DE3002">
            <w:pPr>
              <w:pStyle w:val="NoSpacing"/>
              <w:ind w:firstLine="596"/>
              <w:rPr>
                <w:rFonts w:ascii="Times New Roman" w:eastAsia="Times New Roman" w:hAnsi="Times New Roman"/>
                <w:bCs/>
                <w:sz w:val="24"/>
                <w:szCs w:val="24"/>
                <w:lang w:val="ro-RO"/>
              </w:rPr>
            </w:pPr>
            <w:r>
              <w:rPr>
                <w:rFonts w:ascii="Times New Roman" w:eastAsia="Times New Roman" w:hAnsi="Times New Roman"/>
                <w:bCs/>
                <w:sz w:val="24"/>
                <w:szCs w:val="24"/>
                <w:lang w:val="ro-RO"/>
              </w:rPr>
              <w:t xml:space="preserve">Ca urmare a examinării proiectului de către Ministerul Justiției </w:t>
            </w:r>
            <w:r w:rsidRPr="000D6DCB">
              <w:rPr>
                <w:rFonts w:ascii="Times New Roman" w:eastAsia="Times New Roman" w:hAnsi="Times New Roman"/>
                <w:bCs/>
                <w:i/>
                <w:sz w:val="24"/>
                <w:szCs w:val="24"/>
                <w:lang w:val="ro-RO"/>
              </w:rPr>
              <w:t>(aviz nr.04/2619 din 19.04.2021)</w:t>
            </w:r>
            <w:r>
              <w:rPr>
                <w:rFonts w:ascii="Times New Roman" w:eastAsia="Times New Roman" w:hAnsi="Times New Roman"/>
                <w:bCs/>
                <w:sz w:val="24"/>
                <w:szCs w:val="24"/>
                <w:lang w:val="ro-RO"/>
              </w:rPr>
              <w:t xml:space="preserve"> au fost identificate mai multe carențe</w:t>
            </w:r>
            <w:r w:rsidR="00105CF1">
              <w:rPr>
                <w:rFonts w:ascii="Times New Roman" w:eastAsia="Times New Roman" w:hAnsi="Times New Roman"/>
                <w:bCs/>
                <w:sz w:val="24"/>
                <w:szCs w:val="24"/>
                <w:lang w:val="ro-RO"/>
              </w:rPr>
              <w:t xml:space="preserve">, în special de tehnică legislativă. La definitivarea proiectului au fost acceptate </w:t>
            </w:r>
            <w:r w:rsidR="008C370D">
              <w:rPr>
                <w:rFonts w:ascii="Times New Roman" w:eastAsia="Times New Roman" w:hAnsi="Times New Roman"/>
                <w:bCs/>
                <w:sz w:val="24"/>
                <w:szCs w:val="24"/>
                <w:lang w:val="ro-RO"/>
              </w:rPr>
              <w:t xml:space="preserve">și considerate </w:t>
            </w:r>
            <w:r w:rsidR="00105CF1">
              <w:rPr>
                <w:rFonts w:ascii="Times New Roman" w:eastAsia="Times New Roman" w:hAnsi="Times New Roman"/>
                <w:bCs/>
                <w:sz w:val="24"/>
                <w:szCs w:val="24"/>
                <w:lang w:val="ro-RO"/>
              </w:rPr>
              <w:t xml:space="preserve">toate obiecțiile enunțate în expertiza juridică. </w:t>
            </w:r>
          </w:p>
        </w:tc>
      </w:tr>
      <w:tr w:rsidR="00D76A16" w14:paraId="665EFF23" w14:textId="77777777" w:rsidTr="004C4C55">
        <w:tc>
          <w:tcPr>
            <w:tcW w:w="9782" w:type="dxa"/>
          </w:tcPr>
          <w:p w14:paraId="70AADFF7" w14:textId="0305CECE" w:rsidR="00D76A16" w:rsidRPr="002B5DE7" w:rsidRDefault="005D251B" w:rsidP="002B5DE7">
            <w:pPr>
              <w:ind w:firstLine="596"/>
              <w:jc w:val="both"/>
              <w:rPr>
                <w:rFonts w:eastAsia="Calibri"/>
                <w:b/>
                <w:lang w:val="ro-RO"/>
              </w:rPr>
            </w:pPr>
            <w:r w:rsidRPr="002B5DE7">
              <w:rPr>
                <w:rFonts w:eastAsia="Calibri"/>
                <w:b/>
                <w:lang w:val="ro-RO"/>
              </w:rPr>
              <w:t>11. Constatările altor expertize</w:t>
            </w:r>
          </w:p>
        </w:tc>
      </w:tr>
      <w:tr w:rsidR="00D76A16" w14:paraId="15B5EB13" w14:textId="77777777" w:rsidTr="004C4C55">
        <w:tc>
          <w:tcPr>
            <w:tcW w:w="9782" w:type="dxa"/>
          </w:tcPr>
          <w:p w14:paraId="69484CC4" w14:textId="77777777" w:rsidR="00D76A16" w:rsidRPr="00AB6A5F" w:rsidRDefault="00D76A16" w:rsidP="00DE3002">
            <w:pPr>
              <w:pStyle w:val="NoSpacing"/>
              <w:ind w:firstLine="596"/>
              <w:rPr>
                <w:rFonts w:ascii="Times New Roman" w:eastAsia="Times New Roman" w:hAnsi="Times New Roman"/>
                <w:bCs/>
                <w:sz w:val="24"/>
                <w:szCs w:val="24"/>
                <w:lang w:val="ro-RO"/>
              </w:rPr>
            </w:pPr>
          </w:p>
        </w:tc>
      </w:tr>
    </w:tbl>
    <w:p w14:paraId="77A428E2" w14:textId="77777777" w:rsidR="004C4C55" w:rsidRDefault="004C4C55" w:rsidP="004C4C55">
      <w:pPr>
        <w:rPr>
          <w:b/>
          <w:lang w:val="ro-RO"/>
        </w:rPr>
      </w:pPr>
    </w:p>
    <w:p w14:paraId="09642A62" w14:textId="77777777" w:rsidR="00FE5209" w:rsidRDefault="00FE5209" w:rsidP="00E45E5C">
      <w:pPr>
        <w:jc w:val="center"/>
        <w:rPr>
          <w:b/>
          <w:sz w:val="28"/>
          <w:szCs w:val="28"/>
          <w:lang w:val="ro-RO"/>
        </w:rPr>
      </w:pPr>
    </w:p>
    <w:p w14:paraId="75D03C7A" w14:textId="77777777" w:rsidR="00FE5209" w:rsidRDefault="00FE5209" w:rsidP="00E45E5C">
      <w:pPr>
        <w:jc w:val="center"/>
        <w:rPr>
          <w:b/>
          <w:sz w:val="28"/>
          <w:szCs w:val="28"/>
          <w:lang w:val="ro-RO"/>
        </w:rPr>
      </w:pPr>
    </w:p>
    <w:p w14:paraId="579B42CD" w14:textId="12DAFAB2" w:rsidR="00E45E5C" w:rsidRPr="00B143EF" w:rsidRDefault="00E45E5C" w:rsidP="00E45E5C">
      <w:pPr>
        <w:jc w:val="center"/>
        <w:rPr>
          <w:b/>
          <w:sz w:val="28"/>
          <w:szCs w:val="28"/>
          <w:lang w:val="ro-RO"/>
        </w:rPr>
      </w:pPr>
      <w:r>
        <w:rPr>
          <w:b/>
          <w:sz w:val="28"/>
          <w:szCs w:val="28"/>
          <w:lang w:val="ro-RO"/>
        </w:rPr>
        <w:t>Viceprim-ministru, ministru</w:t>
      </w:r>
      <w:r>
        <w:rPr>
          <w:b/>
          <w:sz w:val="28"/>
          <w:szCs w:val="28"/>
          <w:lang w:val="ro-RO"/>
        </w:rPr>
        <w:tab/>
      </w:r>
      <w:r>
        <w:rPr>
          <w:b/>
          <w:sz w:val="28"/>
          <w:szCs w:val="28"/>
          <w:lang w:val="ro-RO"/>
        </w:rPr>
        <w:tab/>
      </w:r>
      <w:r>
        <w:rPr>
          <w:b/>
          <w:sz w:val="28"/>
          <w:szCs w:val="28"/>
          <w:lang w:val="ro-RO"/>
        </w:rPr>
        <w:tab/>
      </w:r>
      <w:r>
        <w:rPr>
          <w:b/>
          <w:sz w:val="28"/>
          <w:szCs w:val="28"/>
          <w:lang w:val="ro-RO"/>
        </w:rPr>
        <w:tab/>
      </w:r>
      <w:r>
        <w:rPr>
          <w:b/>
          <w:sz w:val="28"/>
          <w:szCs w:val="28"/>
          <w:lang w:val="ro-RO"/>
        </w:rPr>
        <w:tab/>
        <w:t>Andrei SPÎNU</w:t>
      </w:r>
    </w:p>
    <w:p w14:paraId="04E31721" w14:textId="16EE861A" w:rsidR="00376302" w:rsidRPr="00AB6A5F" w:rsidRDefault="00A46C6E" w:rsidP="004C4C55">
      <w:pPr>
        <w:rPr>
          <w:lang w:val="ro-RO"/>
        </w:rPr>
      </w:pPr>
      <w:r>
        <w:rPr>
          <w:b/>
          <w:lang w:val="ro-RO"/>
        </w:rPr>
        <w:t xml:space="preserve">                                                                      </w:t>
      </w:r>
      <w:r w:rsidR="00DA0D4A">
        <w:rPr>
          <w:b/>
          <w:lang w:val="ro-RO"/>
        </w:rPr>
        <w:t xml:space="preserve">          </w:t>
      </w:r>
      <w:r>
        <w:rPr>
          <w:b/>
          <w:lang w:val="ro-RO"/>
        </w:rPr>
        <w:t xml:space="preserve">                   </w:t>
      </w:r>
    </w:p>
    <w:sectPr w:rsidR="00376302" w:rsidRPr="00AB6A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7407"/>
    <w:multiLevelType w:val="hybridMultilevel"/>
    <w:tmpl w:val="CA409E18"/>
    <w:lvl w:ilvl="0" w:tplc="786C658C">
      <w:start w:val="1"/>
      <w:numFmt w:val="decimal"/>
      <w:lvlText w:val="%1."/>
      <w:lvlJc w:val="left"/>
      <w:pPr>
        <w:ind w:left="720" w:hanging="360"/>
      </w:pPr>
      <w:rPr>
        <w:rFonts w:ascii="Times New Roman" w:hAnsi="Times New Roman" w:cs="Times New Roman" w:hint="default"/>
        <w:b/>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934"/>
    <w:rsid w:val="00000255"/>
    <w:rsid w:val="00032EE4"/>
    <w:rsid w:val="0004671B"/>
    <w:rsid w:val="000A0589"/>
    <w:rsid w:val="000B5F52"/>
    <w:rsid w:val="000C1907"/>
    <w:rsid w:val="000D6DCB"/>
    <w:rsid w:val="000E002E"/>
    <w:rsid w:val="00105CF1"/>
    <w:rsid w:val="0012769E"/>
    <w:rsid w:val="00136CDB"/>
    <w:rsid w:val="0014759F"/>
    <w:rsid w:val="00153DF8"/>
    <w:rsid w:val="001646BA"/>
    <w:rsid w:val="00177B16"/>
    <w:rsid w:val="00187C17"/>
    <w:rsid w:val="00190DA3"/>
    <w:rsid w:val="001B528B"/>
    <w:rsid w:val="001C578F"/>
    <w:rsid w:val="001C5BAD"/>
    <w:rsid w:val="001E6833"/>
    <w:rsid w:val="00202EC3"/>
    <w:rsid w:val="00227323"/>
    <w:rsid w:val="002708E9"/>
    <w:rsid w:val="002941E1"/>
    <w:rsid w:val="002A60C8"/>
    <w:rsid w:val="002B5DE7"/>
    <w:rsid w:val="002C4E59"/>
    <w:rsid w:val="002D052F"/>
    <w:rsid w:val="002E1AFD"/>
    <w:rsid w:val="002E6934"/>
    <w:rsid w:val="002F37CC"/>
    <w:rsid w:val="002F62BE"/>
    <w:rsid w:val="00340286"/>
    <w:rsid w:val="0034141F"/>
    <w:rsid w:val="00347052"/>
    <w:rsid w:val="0035254F"/>
    <w:rsid w:val="00363A31"/>
    <w:rsid w:val="00374D71"/>
    <w:rsid w:val="003C1396"/>
    <w:rsid w:val="003D0582"/>
    <w:rsid w:val="003D06D9"/>
    <w:rsid w:val="003D5A4B"/>
    <w:rsid w:val="003D6305"/>
    <w:rsid w:val="003D70EC"/>
    <w:rsid w:val="0041463D"/>
    <w:rsid w:val="00425F79"/>
    <w:rsid w:val="00441369"/>
    <w:rsid w:val="004476BA"/>
    <w:rsid w:val="0047650B"/>
    <w:rsid w:val="00477EF7"/>
    <w:rsid w:val="004868E3"/>
    <w:rsid w:val="004B6C02"/>
    <w:rsid w:val="004C4C55"/>
    <w:rsid w:val="004E26CD"/>
    <w:rsid w:val="005161D9"/>
    <w:rsid w:val="0053627A"/>
    <w:rsid w:val="005425DA"/>
    <w:rsid w:val="00564FA0"/>
    <w:rsid w:val="005A37BB"/>
    <w:rsid w:val="005C38AF"/>
    <w:rsid w:val="005D251B"/>
    <w:rsid w:val="005E232C"/>
    <w:rsid w:val="005E359B"/>
    <w:rsid w:val="00633C12"/>
    <w:rsid w:val="006602C4"/>
    <w:rsid w:val="00663934"/>
    <w:rsid w:val="00672C85"/>
    <w:rsid w:val="00673E7F"/>
    <w:rsid w:val="00675F7C"/>
    <w:rsid w:val="00681908"/>
    <w:rsid w:val="006B5DDD"/>
    <w:rsid w:val="006B6CCC"/>
    <w:rsid w:val="006C66BC"/>
    <w:rsid w:val="006C7C67"/>
    <w:rsid w:val="006C7F4D"/>
    <w:rsid w:val="006E06DD"/>
    <w:rsid w:val="00703D5A"/>
    <w:rsid w:val="007223FE"/>
    <w:rsid w:val="00723D51"/>
    <w:rsid w:val="00732EE5"/>
    <w:rsid w:val="00766438"/>
    <w:rsid w:val="00793D3B"/>
    <w:rsid w:val="007D3820"/>
    <w:rsid w:val="007F06B1"/>
    <w:rsid w:val="008032A1"/>
    <w:rsid w:val="00821865"/>
    <w:rsid w:val="00826E52"/>
    <w:rsid w:val="0083011A"/>
    <w:rsid w:val="00855C9F"/>
    <w:rsid w:val="008C370D"/>
    <w:rsid w:val="00903A4C"/>
    <w:rsid w:val="00937567"/>
    <w:rsid w:val="00940FAC"/>
    <w:rsid w:val="00993180"/>
    <w:rsid w:val="009D17CC"/>
    <w:rsid w:val="009D4835"/>
    <w:rsid w:val="009E6251"/>
    <w:rsid w:val="009F57AE"/>
    <w:rsid w:val="00A1065D"/>
    <w:rsid w:val="00A1706F"/>
    <w:rsid w:val="00A26CC5"/>
    <w:rsid w:val="00A46C6E"/>
    <w:rsid w:val="00A64310"/>
    <w:rsid w:val="00A80E11"/>
    <w:rsid w:val="00A96128"/>
    <w:rsid w:val="00AB4DFC"/>
    <w:rsid w:val="00AB6A5F"/>
    <w:rsid w:val="00AF4E2E"/>
    <w:rsid w:val="00B349A1"/>
    <w:rsid w:val="00B55D7F"/>
    <w:rsid w:val="00B56634"/>
    <w:rsid w:val="00B73E2F"/>
    <w:rsid w:val="00B77EF6"/>
    <w:rsid w:val="00BA280C"/>
    <w:rsid w:val="00BF05BF"/>
    <w:rsid w:val="00C043B1"/>
    <w:rsid w:val="00C324E1"/>
    <w:rsid w:val="00C56114"/>
    <w:rsid w:val="00C56BD8"/>
    <w:rsid w:val="00CA0073"/>
    <w:rsid w:val="00CB3122"/>
    <w:rsid w:val="00CB33BA"/>
    <w:rsid w:val="00CE3388"/>
    <w:rsid w:val="00CE5A94"/>
    <w:rsid w:val="00CF5040"/>
    <w:rsid w:val="00D21394"/>
    <w:rsid w:val="00D22FCF"/>
    <w:rsid w:val="00D25560"/>
    <w:rsid w:val="00D33894"/>
    <w:rsid w:val="00D44DE9"/>
    <w:rsid w:val="00D75E61"/>
    <w:rsid w:val="00D76A16"/>
    <w:rsid w:val="00D8017B"/>
    <w:rsid w:val="00D960FF"/>
    <w:rsid w:val="00DA0D4A"/>
    <w:rsid w:val="00DD1C53"/>
    <w:rsid w:val="00DD73F0"/>
    <w:rsid w:val="00DE3002"/>
    <w:rsid w:val="00E0775C"/>
    <w:rsid w:val="00E251D0"/>
    <w:rsid w:val="00E45E5C"/>
    <w:rsid w:val="00E469AC"/>
    <w:rsid w:val="00E52906"/>
    <w:rsid w:val="00E5408D"/>
    <w:rsid w:val="00E74E61"/>
    <w:rsid w:val="00E84C12"/>
    <w:rsid w:val="00EB6965"/>
    <w:rsid w:val="00EC0D1F"/>
    <w:rsid w:val="00EC4FF9"/>
    <w:rsid w:val="00EC5F83"/>
    <w:rsid w:val="00F13F55"/>
    <w:rsid w:val="00F166CC"/>
    <w:rsid w:val="00F211A0"/>
    <w:rsid w:val="00F52D32"/>
    <w:rsid w:val="00F52F7F"/>
    <w:rsid w:val="00F61FED"/>
    <w:rsid w:val="00F703C9"/>
    <w:rsid w:val="00F907EE"/>
    <w:rsid w:val="00F92BB1"/>
    <w:rsid w:val="00FA04A4"/>
    <w:rsid w:val="00FB1B98"/>
    <w:rsid w:val="00FE5209"/>
    <w:rsid w:val="00FF0185"/>
    <w:rsid w:val="00FF063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3483"/>
  <w15:chartTrackingRefBased/>
  <w15:docId w15:val="{BC31C3E9-04BB-4FC4-A55F-EFFCB15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C1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p">
    <w:name w:val="cp"/>
    <w:basedOn w:val="Normal"/>
    <w:rsid w:val="00187C17"/>
    <w:pPr>
      <w:jc w:val="center"/>
    </w:pPr>
    <w:rPr>
      <w:b/>
      <w:bCs/>
      <w:lang w:val="en-US" w:eastAsia="en-US"/>
    </w:rPr>
  </w:style>
  <w:style w:type="paragraph" w:styleId="ListParagraph">
    <w:name w:val="List Paragraph"/>
    <w:basedOn w:val="Normal"/>
    <w:uiPriority w:val="34"/>
    <w:qFormat/>
    <w:rsid w:val="00187C17"/>
    <w:pPr>
      <w:spacing w:after="200" w:line="276" w:lineRule="auto"/>
      <w:ind w:left="720"/>
      <w:contextualSpacing/>
    </w:pPr>
    <w:rPr>
      <w:rFonts w:ascii="Calibri" w:eastAsia="Calibri" w:hAnsi="Calibri"/>
      <w:sz w:val="22"/>
      <w:szCs w:val="22"/>
      <w:lang w:val="en-GB" w:eastAsia="en-US"/>
    </w:rPr>
  </w:style>
  <w:style w:type="table" w:styleId="TableGrid">
    <w:name w:val="Table Grid"/>
    <w:basedOn w:val="TableNormal"/>
    <w:uiPriority w:val="59"/>
    <w:rsid w:val="00187C1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2F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F7F"/>
    <w:rPr>
      <w:rFonts w:ascii="Segoe UI" w:eastAsia="Times New Roman" w:hAnsi="Segoe UI" w:cs="Segoe UI"/>
      <w:sz w:val="18"/>
      <w:szCs w:val="18"/>
      <w:lang w:eastAsia="ru-RU"/>
    </w:rPr>
  </w:style>
  <w:style w:type="paragraph" w:customStyle="1" w:styleId="cb">
    <w:name w:val="cb"/>
    <w:basedOn w:val="Normal"/>
    <w:uiPriority w:val="99"/>
    <w:semiHidden/>
    <w:rsid w:val="00CA0073"/>
    <w:pPr>
      <w:jc w:val="center"/>
    </w:pPr>
    <w:rPr>
      <w:b/>
      <w:bCs/>
      <w:lang w:val="ru-RU"/>
    </w:rPr>
  </w:style>
  <w:style w:type="paragraph" w:customStyle="1" w:styleId="Tabel">
    <w:name w:val="Tabel"/>
    <w:basedOn w:val="NormalWeb"/>
    <w:link w:val="TabelChar"/>
    <w:qFormat/>
    <w:rsid w:val="00CA0073"/>
    <w:pPr>
      <w:ind w:firstLine="567"/>
      <w:jc w:val="both"/>
    </w:pPr>
    <w:rPr>
      <w:lang w:val="ro-RO" w:eastAsia="en-US"/>
    </w:rPr>
  </w:style>
  <w:style w:type="character" w:customStyle="1" w:styleId="TabelChar">
    <w:name w:val="Tabel Char"/>
    <w:basedOn w:val="DefaultParagraphFont"/>
    <w:link w:val="Tabel"/>
    <w:rsid w:val="00CA0073"/>
    <w:rPr>
      <w:rFonts w:ascii="Times New Roman" w:eastAsia="Times New Roman" w:hAnsi="Times New Roman" w:cs="Times New Roman"/>
      <w:sz w:val="24"/>
      <w:szCs w:val="24"/>
      <w:lang w:val="ro-RO"/>
    </w:rPr>
  </w:style>
  <w:style w:type="paragraph" w:styleId="NormalWeb">
    <w:name w:val="Normal (Web)"/>
    <w:aliases w:val=" Знак Знак,Знак,Знак Знак Знак Знак,Знак Знак, Знак Знак Знак,webb,webb Знак Знак, Знак,Знак Знак1,webb Знак Знак Знак Char Char,Обычный (веб) Знак,webb Знак,Знак Знак Знак,Normal (Web) Знак,webb Знак Знак Знак,Normal (Web) Знак Знак Знак"/>
    <w:basedOn w:val="Normal"/>
    <w:link w:val="NormalWebChar"/>
    <w:uiPriority w:val="99"/>
    <w:unhideWhenUsed/>
    <w:qFormat/>
    <w:rsid w:val="00CA0073"/>
  </w:style>
  <w:style w:type="character" w:customStyle="1" w:styleId="NormalWebChar">
    <w:name w:val="Normal (Web) Char"/>
    <w:aliases w:val=" Знак Знак Char,Знак Char,Знак Знак Знак Знак Char,Знак Знак Char, Знак Знак Знак Char,webb Char,webb Знак Знак Char, Знак Char,Знак Знак1 Char,webb Знак Знак Знак Char Char Char,Обычный (веб) Знак Char,webb Знак Char"/>
    <w:link w:val="NormalWeb"/>
    <w:uiPriority w:val="99"/>
    <w:locked/>
    <w:rsid w:val="001B528B"/>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A64310"/>
    <w:rPr>
      <w:color w:val="0563C1" w:themeColor="hyperlink"/>
      <w:u w:val="single"/>
    </w:rPr>
  </w:style>
  <w:style w:type="paragraph" w:styleId="NoSpacing">
    <w:name w:val="No Spacing"/>
    <w:uiPriority w:val="1"/>
    <w:qFormat/>
    <w:rsid w:val="00A6431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8099">
      <w:bodyDiv w:val="1"/>
      <w:marLeft w:val="0"/>
      <w:marRight w:val="0"/>
      <w:marTop w:val="0"/>
      <w:marBottom w:val="0"/>
      <w:divBdr>
        <w:top w:val="none" w:sz="0" w:space="0" w:color="auto"/>
        <w:left w:val="none" w:sz="0" w:space="0" w:color="auto"/>
        <w:bottom w:val="none" w:sz="0" w:space="0" w:color="auto"/>
        <w:right w:val="none" w:sz="0" w:space="0" w:color="auto"/>
      </w:divBdr>
    </w:div>
    <w:div w:id="265120160">
      <w:bodyDiv w:val="1"/>
      <w:marLeft w:val="0"/>
      <w:marRight w:val="0"/>
      <w:marTop w:val="0"/>
      <w:marBottom w:val="0"/>
      <w:divBdr>
        <w:top w:val="none" w:sz="0" w:space="0" w:color="auto"/>
        <w:left w:val="none" w:sz="0" w:space="0" w:color="auto"/>
        <w:bottom w:val="none" w:sz="0" w:space="0" w:color="auto"/>
        <w:right w:val="none" w:sz="0" w:space="0" w:color="auto"/>
      </w:divBdr>
    </w:div>
    <w:div w:id="455759736">
      <w:bodyDiv w:val="1"/>
      <w:marLeft w:val="0"/>
      <w:marRight w:val="0"/>
      <w:marTop w:val="0"/>
      <w:marBottom w:val="0"/>
      <w:divBdr>
        <w:top w:val="none" w:sz="0" w:space="0" w:color="auto"/>
        <w:left w:val="none" w:sz="0" w:space="0" w:color="auto"/>
        <w:bottom w:val="none" w:sz="0" w:space="0" w:color="auto"/>
        <w:right w:val="none" w:sz="0" w:space="0" w:color="auto"/>
      </w:divBdr>
    </w:div>
    <w:div w:id="1239514203">
      <w:bodyDiv w:val="1"/>
      <w:marLeft w:val="0"/>
      <w:marRight w:val="0"/>
      <w:marTop w:val="0"/>
      <w:marBottom w:val="0"/>
      <w:divBdr>
        <w:top w:val="none" w:sz="0" w:space="0" w:color="auto"/>
        <w:left w:val="none" w:sz="0" w:space="0" w:color="auto"/>
        <w:bottom w:val="none" w:sz="0" w:space="0" w:color="auto"/>
        <w:right w:val="none" w:sz="0" w:space="0" w:color="auto"/>
      </w:divBdr>
    </w:div>
    <w:div w:id="184523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865</Words>
  <Characters>4931</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Andrei Slanina</cp:lastModifiedBy>
  <cp:revision>7</cp:revision>
  <cp:lastPrinted>2020-11-17T09:06:00Z</cp:lastPrinted>
  <dcterms:created xsi:type="dcterms:W3CDTF">2021-06-29T06:34:00Z</dcterms:created>
  <dcterms:modified xsi:type="dcterms:W3CDTF">2021-09-08T05:57:00Z</dcterms:modified>
</cp:coreProperties>
</file>