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C85" w:rsidRPr="00F123D8" w:rsidRDefault="00564C85" w:rsidP="00564C85">
      <w:pPr>
        <w:spacing w:before="120"/>
        <w:jc w:val="center"/>
        <w:rPr>
          <w:b/>
          <w:bCs/>
          <w:color w:val="000000"/>
          <w:sz w:val="28"/>
          <w:szCs w:val="28"/>
          <w:lang w:val="ro-RO"/>
        </w:rPr>
      </w:pPr>
      <w:r w:rsidRPr="00F123D8">
        <w:rPr>
          <w:b/>
          <w:bCs/>
          <w:color w:val="000000"/>
          <w:sz w:val="28"/>
          <w:szCs w:val="28"/>
          <w:lang w:val="ro-RO"/>
        </w:rPr>
        <w:t>Notă informativă</w:t>
      </w:r>
    </w:p>
    <w:p w:rsidR="00564C85" w:rsidRPr="00F123D8" w:rsidRDefault="00564C85" w:rsidP="00564C85">
      <w:pPr>
        <w:jc w:val="center"/>
        <w:rPr>
          <w:b/>
          <w:sz w:val="28"/>
          <w:szCs w:val="28"/>
          <w:lang w:val="ro-RO"/>
        </w:rPr>
      </w:pPr>
      <w:r w:rsidRPr="00F123D8">
        <w:rPr>
          <w:b/>
          <w:bCs/>
          <w:color w:val="000000"/>
          <w:sz w:val="28"/>
          <w:szCs w:val="28"/>
          <w:lang w:val="ro-RO"/>
        </w:rPr>
        <w:t xml:space="preserve">la proiectul Hotărîrii de Guvern </w:t>
      </w:r>
      <w:r w:rsidRPr="00F123D8">
        <w:rPr>
          <w:b/>
          <w:sz w:val="28"/>
          <w:szCs w:val="28"/>
          <w:lang w:val="ro-RO"/>
        </w:rPr>
        <w:t>cu privire la indexarea</w:t>
      </w:r>
    </w:p>
    <w:p w:rsidR="00564C85" w:rsidRPr="00F123D8" w:rsidRDefault="00564C85" w:rsidP="00564C85">
      <w:pPr>
        <w:jc w:val="center"/>
        <w:rPr>
          <w:b/>
          <w:sz w:val="28"/>
          <w:szCs w:val="28"/>
          <w:lang w:val="ro-RO"/>
        </w:rPr>
      </w:pPr>
      <w:r w:rsidRPr="00F123D8">
        <w:rPr>
          <w:b/>
          <w:sz w:val="28"/>
          <w:szCs w:val="28"/>
          <w:lang w:val="ro-RO"/>
        </w:rPr>
        <w:t>prestațiilor de asigurări sociale și a unor prestații sociale de stat</w:t>
      </w:r>
    </w:p>
    <w:p w:rsidR="00564C85" w:rsidRPr="00F123D8" w:rsidRDefault="00564C85" w:rsidP="00564C85">
      <w:pPr>
        <w:jc w:val="center"/>
        <w:rPr>
          <w:b/>
          <w:bCs/>
          <w:color w:val="000000"/>
          <w:sz w:val="28"/>
          <w:szCs w:val="28"/>
          <w:lang w:val="ro-RO" w:eastAsia="en-US"/>
        </w:rPr>
      </w:pP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0"/>
      </w:tblGrid>
      <w:tr w:rsidR="00564C85" w:rsidRPr="00906FD7" w:rsidTr="006C6CD1">
        <w:tc>
          <w:tcPr>
            <w:tcW w:w="10260" w:type="dxa"/>
            <w:tcBorders>
              <w:top w:val="single" w:sz="4" w:space="0" w:color="000000"/>
              <w:left w:val="single" w:sz="4" w:space="0" w:color="000000"/>
              <w:bottom w:val="single" w:sz="4" w:space="0" w:color="000000"/>
              <w:right w:val="single" w:sz="4" w:space="0" w:color="000000"/>
            </w:tcBorders>
            <w:shd w:val="clear" w:color="auto" w:fill="BFBFBF"/>
          </w:tcPr>
          <w:p w:rsidR="00564C85" w:rsidRPr="00F123D8" w:rsidRDefault="00564C85" w:rsidP="006C6CD1">
            <w:pPr>
              <w:ind w:right="-18"/>
              <w:contextualSpacing/>
              <w:jc w:val="center"/>
              <w:rPr>
                <w:b/>
                <w:sz w:val="28"/>
                <w:szCs w:val="28"/>
                <w:lang w:val="ro-RO"/>
              </w:rPr>
            </w:pPr>
            <w:r w:rsidRPr="00F123D8">
              <w:rPr>
                <w:b/>
                <w:sz w:val="28"/>
                <w:szCs w:val="28"/>
                <w:lang w:val="ro-RO"/>
              </w:rPr>
              <w:t>Denumirea autorului şi, după caz, a participanţilor la elaborarea proiectului</w:t>
            </w:r>
          </w:p>
        </w:tc>
      </w:tr>
      <w:tr w:rsidR="00564C85" w:rsidRPr="00906FD7" w:rsidTr="006C6CD1">
        <w:trPr>
          <w:trHeight w:val="737"/>
        </w:trPr>
        <w:tc>
          <w:tcPr>
            <w:tcW w:w="10260" w:type="dxa"/>
            <w:tcBorders>
              <w:top w:val="single" w:sz="4" w:space="0" w:color="000000"/>
              <w:left w:val="single" w:sz="4" w:space="0" w:color="000000"/>
              <w:bottom w:val="single" w:sz="4" w:space="0" w:color="000000"/>
              <w:right w:val="single" w:sz="4" w:space="0" w:color="000000"/>
            </w:tcBorders>
          </w:tcPr>
          <w:p w:rsidR="00564C85" w:rsidRPr="00F123D8" w:rsidRDefault="00564C85" w:rsidP="00E06E27">
            <w:pPr>
              <w:jc w:val="both"/>
              <w:rPr>
                <w:sz w:val="28"/>
                <w:szCs w:val="28"/>
                <w:lang w:val="ro-RO"/>
              </w:rPr>
            </w:pPr>
            <w:r w:rsidRPr="00F123D8">
              <w:rPr>
                <w:sz w:val="28"/>
                <w:szCs w:val="28"/>
                <w:lang w:val="ro-RO"/>
              </w:rPr>
              <w:t>Proiectul Hotărîrii de Guvern cu privire la indexarea prestațiilor de asigurări sociale și a unor prestații sociale de stat</w:t>
            </w:r>
            <w:r w:rsidRPr="00F123D8">
              <w:rPr>
                <w:b/>
                <w:sz w:val="28"/>
                <w:szCs w:val="28"/>
                <w:lang w:val="ro-RO"/>
              </w:rPr>
              <w:t xml:space="preserve"> </w:t>
            </w:r>
            <w:r w:rsidRPr="00F123D8">
              <w:rPr>
                <w:sz w:val="28"/>
                <w:szCs w:val="28"/>
                <w:lang w:val="ro-RO"/>
              </w:rPr>
              <w:t xml:space="preserve">a fost elaborat de către Ministerul </w:t>
            </w:r>
            <w:bookmarkStart w:id="0" w:name="_GoBack"/>
            <w:bookmarkEnd w:id="0"/>
            <w:r w:rsidRPr="00F123D8">
              <w:rPr>
                <w:sz w:val="28"/>
                <w:szCs w:val="28"/>
                <w:lang w:val="ro-RO"/>
              </w:rPr>
              <w:t>Muncii și Protecției Sociale.</w:t>
            </w:r>
          </w:p>
        </w:tc>
      </w:tr>
      <w:tr w:rsidR="00564C85" w:rsidRPr="00906FD7" w:rsidTr="006C6CD1">
        <w:tc>
          <w:tcPr>
            <w:tcW w:w="10260" w:type="dxa"/>
            <w:tcBorders>
              <w:top w:val="single" w:sz="4" w:space="0" w:color="000000"/>
              <w:left w:val="single" w:sz="4" w:space="0" w:color="000000"/>
              <w:bottom w:val="single" w:sz="4" w:space="0" w:color="000000"/>
              <w:right w:val="single" w:sz="4" w:space="0" w:color="000000"/>
            </w:tcBorders>
            <w:shd w:val="clear" w:color="auto" w:fill="A6A6A6"/>
          </w:tcPr>
          <w:p w:rsidR="00564C85" w:rsidRPr="00F123D8" w:rsidRDefault="00564C85" w:rsidP="006C6CD1">
            <w:pPr>
              <w:jc w:val="center"/>
              <w:rPr>
                <w:b/>
                <w:spacing w:val="-1"/>
                <w:sz w:val="28"/>
                <w:szCs w:val="28"/>
                <w:lang w:val="ro-RO"/>
              </w:rPr>
            </w:pPr>
            <w:r w:rsidRPr="00F123D8">
              <w:rPr>
                <w:b/>
                <w:sz w:val="28"/>
                <w:szCs w:val="28"/>
                <w:lang w:val="ro-RO"/>
              </w:rPr>
              <w:t>Condiţiile ce au impus elaborarea proiectului de act normativ şi finalităţile urmărite</w:t>
            </w:r>
            <w:r w:rsidRPr="00F123D8">
              <w:rPr>
                <w:b/>
                <w:spacing w:val="-1"/>
                <w:sz w:val="28"/>
                <w:szCs w:val="28"/>
                <w:lang w:val="ro-RO"/>
              </w:rPr>
              <w:t xml:space="preserve"> Principalele prevederi ale proiectului şi evidenţierea elementelor noi</w:t>
            </w:r>
          </w:p>
        </w:tc>
      </w:tr>
      <w:tr w:rsidR="00564C85" w:rsidRPr="00906FD7" w:rsidTr="006C6CD1">
        <w:tc>
          <w:tcPr>
            <w:tcW w:w="10260" w:type="dxa"/>
            <w:tcBorders>
              <w:top w:val="single" w:sz="4" w:space="0" w:color="000000"/>
              <w:left w:val="single" w:sz="4" w:space="0" w:color="000000"/>
              <w:bottom w:val="single" w:sz="4" w:space="0" w:color="000000"/>
              <w:right w:val="single" w:sz="4" w:space="0" w:color="000000"/>
            </w:tcBorders>
          </w:tcPr>
          <w:p w:rsidR="00564C85" w:rsidRPr="00F123D8" w:rsidRDefault="00564C85" w:rsidP="006C6CD1">
            <w:pPr>
              <w:jc w:val="both"/>
              <w:rPr>
                <w:spacing w:val="-1"/>
                <w:sz w:val="28"/>
                <w:szCs w:val="28"/>
                <w:lang w:val="ro-RO"/>
              </w:rPr>
            </w:pPr>
            <w:r w:rsidRPr="00F123D8">
              <w:rPr>
                <w:sz w:val="28"/>
                <w:szCs w:val="28"/>
                <w:lang w:val="ro-RO"/>
              </w:rPr>
              <w:t xml:space="preserve">Proiectul Hotărîrii de Guvern a fost elaborat în temeiul </w:t>
            </w:r>
            <w:r w:rsidRPr="00F123D8">
              <w:rPr>
                <w:spacing w:val="-1"/>
                <w:sz w:val="28"/>
                <w:szCs w:val="28"/>
                <w:lang w:val="ro-RO"/>
              </w:rPr>
              <w:t xml:space="preserve">art. 12 și 13 din Legea nr. 156/1998 privind sistemul public de pensii. Or, art. 13 din legea menționată supra prevede că </w:t>
            </w:r>
            <w:r>
              <w:rPr>
                <w:sz w:val="28"/>
                <w:szCs w:val="28"/>
                <w:lang w:val="ro-RO"/>
              </w:rPr>
              <w:t>p</w:t>
            </w:r>
            <w:r w:rsidRPr="00564C85">
              <w:rPr>
                <w:sz w:val="28"/>
                <w:szCs w:val="28"/>
                <w:lang w:val="ro-RO"/>
              </w:rPr>
              <w:t xml:space="preserve">ensiile se indexează în fiecare an, la 1 aprilie și la 1 octombrie. La 1 aprilie, coeficientul de indexare va fi egal cu media creșterii anuale a indicilor prețurilor de consum din ultimii 3 ani, iar </w:t>
            </w:r>
            <w:r w:rsidRPr="00564C85">
              <w:rPr>
                <w:i/>
                <w:sz w:val="28"/>
                <w:szCs w:val="28"/>
                <w:lang w:val="ro-RO"/>
              </w:rPr>
              <w:t>la 1 octombrie – cu rata inflației înregistrată în primul semestru al anului în curs</w:t>
            </w:r>
            <w:r w:rsidRPr="00564C85">
              <w:rPr>
                <w:sz w:val="28"/>
                <w:szCs w:val="28"/>
                <w:lang w:val="ro-RO"/>
              </w:rPr>
              <w:t>. Coeficientul de indexare se stabilește de către Guvern.</w:t>
            </w:r>
          </w:p>
          <w:p w:rsidR="00564C85" w:rsidRDefault="00564C85" w:rsidP="006C6CD1">
            <w:pPr>
              <w:spacing w:before="120"/>
              <w:jc w:val="both"/>
              <w:rPr>
                <w:i/>
                <w:sz w:val="28"/>
                <w:szCs w:val="28"/>
                <w:lang w:val="ro-RO"/>
              </w:rPr>
            </w:pPr>
            <w:r w:rsidRPr="00F123D8">
              <w:rPr>
                <w:spacing w:val="-1"/>
                <w:sz w:val="28"/>
                <w:szCs w:val="28"/>
                <w:lang w:val="ro-RO"/>
              </w:rPr>
              <w:t xml:space="preserve">Respectiv, proiectul în cauză propune indexarea, la 1 octombrie curent, a prestațiilor de asigurări sociale și a unor prestații sociale de stat cu </w:t>
            </w:r>
            <w:r w:rsidR="001B70CE">
              <w:rPr>
                <w:spacing w:val="-1"/>
                <w:sz w:val="28"/>
                <w:szCs w:val="28"/>
                <w:lang w:val="ro-RO"/>
              </w:rPr>
              <w:t>3,86%</w:t>
            </w:r>
            <w:r w:rsidRPr="00F123D8">
              <w:rPr>
                <w:spacing w:val="-1"/>
                <w:sz w:val="28"/>
                <w:szCs w:val="28"/>
                <w:lang w:val="ro-RO"/>
              </w:rPr>
              <w:t xml:space="preserve">, reieșind din </w:t>
            </w:r>
            <w:r w:rsidRPr="00F123D8">
              <w:rPr>
                <w:i/>
                <w:sz w:val="28"/>
                <w:szCs w:val="28"/>
                <w:lang w:val="ro-RO"/>
              </w:rPr>
              <w:t>rata inflației înregistrată în primul semestru al anului în curs.</w:t>
            </w:r>
          </w:p>
          <w:p w:rsidR="00564C85" w:rsidRPr="00970E90" w:rsidRDefault="00564C85" w:rsidP="006C6CD1">
            <w:pPr>
              <w:spacing w:before="120"/>
              <w:jc w:val="both"/>
              <w:rPr>
                <w:spacing w:val="-1"/>
                <w:sz w:val="28"/>
                <w:szCs w:val="28"/>
                <w:lang w:val="ro-RO"/>
              </w:rPr>
            </w:pPr>
            <w:r w:rsidRPr="00970E90">
              <w:rPr>
                <w:spacing w:val="-1"/>
                <w:sz w:val="28"/>
                <w:szCs w:val="28"/>
                <w:lang w:val="ro-RO"/>
              </w:rPr>
              <w:t>Menţionăm, că conform datelor prezentate de Biroul Național de Statistică rata inflației înregistr</w:t>
            </w:r>
            <w:r>
              <w:rPr>
                <w:spacing w:val="-1"/>
                <w:sz w:val="28"/>
                <w:szCs w:val="28"/>
                <w:lang w:val="ro-RO"/>
              </w:rPr>
              <w:t>ată în I semestru al anului 2021</w:t>
            </w:r>
            <w:r w:rsidRPr="00970E90">
              <w:rPr>
                <w:spacing w:val="-1"/>
                <w:sz w:val="28"/>
                <w:szCs w:val="28"/>
                <w:lang w:val="ro-RO"/>
              </w:rPr>
              <w:t xml:space="preserve"> (lu</w:t>
            </w:r>
            <w:r>
              <w:rPr>
                <w:spacing w:val="-1"/>
                <w:sz w:val="28"/>
                <w:szCs w:val="28"/>
                <w:lang w:val="ro-RO"/>
              </w:rPr>
              <w:t>na iunie) față de decembrie 2020</w:t>
            </w:r>
            <w:r w:rsidRPr="00970E90">
              <w:rPr>
                <w:spacing w:val="-1"/>
                <w:sz w:val="28"/>
                <w:szCs w:val="28"/>
                <w:lang w:val="ro-RO"/>
              </w:rPr>
              <w:t xml:space="preserve"> este de </w:t>
            </w:r>
            <w:r w:rsidR="001B70CE">
              <w:rPr>
                <w:spacing w:val="-1"/>
                <w:sz w:val="28"/>
                <w:szCs w:val="28"/>
                <w:lang w:val="ro-RO"/>
              </w:rPr>
              <w:t>3,86%</w:t>
            </w:r>
            <w:r w:rsidRPr="00970E90">
              <w:rPr>
                <w:spacing w:val="-1"/>
                <w:sz w:val="28"/>
                <w:szCs w:val="28"/>
                <w:lang w:val="ro-RO"/>
              </w:rPr>
              <w:t>. Complementar, menționăm că scopul indexării anuale este reactualizarea periodică a mărimii pensiilor de asigurări sociale de stat, care este specifică prin caracterul său anual, permanent şi obligatoriu. Indexării sînt supuse toate categoriile de pensii, indiferent de tipul acestora, mărimea pensiei şi nu de la caz la caz.</w:t>
            </w:r>
          </w:p>
          <w:p w:rsidR="00564C85" w:rsidRPr="00F123D8" w:rsidRDefault="00326A9B" w:rsidP="00326A9B">
            <w:pPr>
              <w:spacing w:before="120"/>
              <w:jc w:val="both"/>
              <w:rPr>
                <w:spacing w:val="-1"/>
                <w:sz w:val="28"/>
                <w:szCs w:val="28"/>
                <w:lang w:val="ro-RO"/>
              </w:rPr>
            </w:pPr>
            <w:r w:rsidRPr="00326A9B">
              <w:rPr>
                <w:spacing w:val="-1"/>
                <w:sz w:val="28"/>
                <w:szCs w:val="28"/>
                <w:lang w:val="ro-RO"/>
              </w:rPr>
              <w:t>Totodată, d</w:t>
            </w:r>
            <w:r w:rsidR="00564C85" w:rsidRPr="00326A9B">
              <w:rPr>
                <w:spacing w:val="-1"/>
                <w:sz w:val="28"/>
                <w:szCs w:val="28"/>
                <w:lang w:val="ro-RO"/>
              </w:rPr>
              <w:t xml:space="preserve">e la 1 octombrie 2021 cuantumul pensiei minime pentru limită de vîrstă </w:t>
            </w:r>
            <w:r w:rsidRPr="00326A9B">
              <w:rPr>
                <w:spacing w:val="-1"/>
                <w:sz w:val="28"/>
                <w:szCs w:val="28"/>
                <w:lang w:val="ro-RO"/>
              </w:rPr>
              <w:t>va constitui</w:t>
            </w:r>
            <w:r w:rsidR="00564C85" w:rsidRPr="00326A9B">
              <w:rPr>
                <w:spacing w:val="-1"/>
                <w:sz w:val="28"/>
                <w:szCs w:val="28"/>
                <w:lang w:val="ro-RO"/>
              </w:rPr>
              <w:t xml:space="preserve"> </w:t>
            </w:r>
            <w:r w:rsidRPr="005455CA">
              <w:rPr>
                <w:spacing w:val="-1"/>
                <w:sz w:val="28"/>
                <w:szCs w:val="28"/>
                <w:lang w:val="ro-RO"/>
              </w:rPr>
              <w:t>2000</w:t>
            </w:r>
            <w:r w:rsidR="00564C85" w:rsidRPr="005455CA">
              <w:rPr>
                <w:spacing w:val="-1"/>
                <w:sz w:val="28"/>
                <w:szCs w:val="28"/>
                <w:lang w:val="ro-RO"/>
              </w:rPr>
              <w:t xml:space="preserve"> lei.</w:t>
            </w:r>
            <w:r w:rsidRPr="00326A9B">
              <w:rPr>
                <w:spacing w:val="-1"/>
                <w:sz w:val="28"/>
                <w:szCs w:val="28"/>
                <w:lang w:val="ro-RO"/>
              </w:rPr>
              <w:t xml:space="preserve"> Or, conform </w:t>
            </w:r>
            <w:r>
              <w:rPr>
                <w:spacing w:val="-1"/>
                <w:sz w:val="28"/>
                <w:szCs w:val="28"/>
                <w:lang w:val="ro-RO"/>
              </w:rPr>
              <w:t xml:space="preserve">alin. (1), </w:t>
            </w:r>
            <w:r w:rsidRPr="00326A9B">
              <w:rPr>
                <w:spacing w:val="-1"/>
                <w:sz w:val="28"/>
                <w:szCs w:val="28"/>
                <w:lang w:val="ro-RO"/>
              </w:rPr>
              <w:t xml:space="preserve">art. 12 din </w:t>
            </w:r>
            <w:r w:rsidRPr="00F123D8">
              <w:rPr>
                <w:spacing w:val="-1"/>
                <w:sz w:val="28"/>
                <w:szCs w:val="28"/>
                <w:lang w:val="ro-RO"/>
              </w:rPr>
              <w:t>Legea nr. 156/1998 privind sistemul public de pensii</w:t>
            </w:r>
            <w:r>
              <w:rPr>
                <w:spacing w:val="-1"/>
                <w:sz w:val="28"/>
                <w:szCs w:val="28"/>
                <w:lang w:val="ro-RO"/>
              </w:rPr>
              <w:t xml:space="preserve">, </w:t>
            </w:r>
            <w:r>
              <w:rPr>
                <w:i/>
                <w:spacing w:val="-1"/>
                <w:sz w:val="28"/>
                <w:szCs w:val="28"/>
                <w:lang w:val="ro-RO"/>
              </w:rPr>
              <w:t>c</w:t>
            </w:r>
            <w:r w:rsidRPr="00326A9B">
              <w:rPr>
                <w:i/>
                <w:spacing w:val="-1"/>
                <w:sz w:val="28"/>
                <w:szCs w:val="28"/>
                <w:lang w:val="ro-RO"/>
              </w:rPr>
              <w:t>uantumul pensiei minime pentru limită de vîrstă se stabilește de către Guvern.</w:t>
            </w:r>
            <w:r w:rsidR="00564C85" w:rsidRPr="00326A9B">
              <w:rPr>
                <w:spacing w:val="-1"/>
                <w:sz w:val="28"/>
                <w:szCs w:val="28"/>
                <w:lang w:val="ro-RO"/>
              </w:rPr>
              <w:t xml:space="preserve"> Diferenţa dintre cuantumul pensiei minime şi cuantumul pensiei calculate se va achita din mijloacele bugetului de stat.</w:t>
            </w:r>
          </w:p>
        </w:tc>
      </w:tr>
      <w:tr w:rsidR="00564C85" w:rsidRPr="00F123D8" w:rsidTr="006C6CD1">
        <w:tc>
          <w:tcPr>
            <w:tcW w:w="10260" w:type="dxa"/>
            <w:tcBorders>
              <w:top w:val="single" w:sz="4" w:space="0" w:color="000000"/>
              <w:left w:val="single" w:sz="4" w:space="0" w:color="000000"/>
              <w:bottom w:val="single" w:sz="4" w:space="0" w:color="000000"/>
              <w:right w:val="single" w:sz="4" w:space="0" w:color="000000"/>
            </w:tcBorders>
            <w:shd w:val="clear" w:color="auto" w:fill="A6A6A6"/>
          </w:tcPr>
          <w:p w:rsidR="00564C85" w:rsidRPr="00F123D8" w:rsidRDefault="00564C85" w:rsidP="006C6CD1">
            <w:pPr>
              <w:jc w:val="center"/>
              <w:rPr>
                <w:b/>
                <w:sz w:val="28"/>
                <w:szCs w:val="28"/>
                <w:lang w:val="ro-RO"/>
              </w:rPr>
            </w:pPr>
            <w:r w:rsidRPr="00F123D8">
              <w:rPr>
                <w:b/>
                <w:sz w:val="28"/>
                <w:szCs w:val="28"/>
                <w:lang w:val="ro-RO"/>
              </w:rPr>
              <w:t>Fundamentarea economico-financiară</w:t>
            </w:r>
          </w:p>
        </w:tc>
      </w:tr>
      <w:tr w:rsidR="00564C85" w:rsidRPr="00906FD7" w:rsidTr="006C6CD1">
        <w:tc>
          <w:tcPr>
            <w:tcW w:w="10260" w:type="dxa"/>
          </w:tcPr>
          <w:p w:rsidR="00564C85" w:rsidRPr="00196559" w:rsidRDefault="00196559" w:rsidP="00196559">
            <w:pPr>
              <w:jc w:val="both"/>
              <w:rPr>
                <w:color w:val="000000"/>
                <w:sz w:val="28"/>
                <w:szCs w:val="28"/>
                <w:lang w:val="ro-RO"/>
              </w:rPr>
            </w:pPr>
            <w:r w:rsidRPr="00196559">
              <w:rPr>
                <w:color w:val="000000"/>
                <w:sz w:val="28"/>
                <w:szCs w:val="28"/>
                <w:lang w:val="ro-RO"/>
              </w:rPr>
              <w:t xml:space="preserve">Cheltuielile necesare pentru </w:t>
            </w:r>
            <w:r>
              <w:rPr>
                <w:color w:val="000000"/>
                <w:sz w:val="28"/>
                <w:szCs w:val="28"/>
                <w:lang w:val="ro-RO"/>
              </w:rPr>
              <w:t xml:space="preserve">indexarea </w:t>
            </w:r>
            <w:r w:rsidRPr="00F123D8">
              <w:rPr>
                <w:spacing w:val="-1"/>
                <w:sz w:val="28"/>
                <w:szCs w:val="28"/>
                <w:lang w:val="ro-RO"/>
              </w:rPr>
              <w:t xml:space="preserve">prestațiilor de asigurări sociale și a unor prestații sociale de stat cu </w:t>
            </w:r>
            <w:r>
              <w:rPr>
                <w:spacing w:val="-1"/>
                <w:sz w:val="28"/>
                <w:szCs w:val="28"/>
                <w:lang w:val="ro-RO"/>
              </w:rPr>
              <w:t xml:space="preserve">coeficientul </w:t>
            </w:r>
            <w:r>
              <w:rPr>
                <w:spacing w:val="-1"/>
                <w:sz w:val="28"/>
                <w:szCs w:val="28"/>
                <w:lang w:val="ro-RO"/>
              </w:rPr>
              <w:t>3,86%</w:t>
            </w:r>
            <w:r>
              <w:rPr>
                <w:spacing w:val="-1"/>
                <w:sz w:val="28"/>
                <w:szCs w:val="28"/>
                <w:lang w:val="ro-RO"/>
              </w:rPr>
              <w:t xml:space="preserve"> </w:t>
            </w:r>
            <w:r>
              <w:rPr>
                <w:color w:val="000000"/>
                <w:sz w:val="28"/>
                <w:szCs w:val="28"/>
                <w:lang w:val="ro-RO"/>
              </w:rPr>
              <w:t>constituie 188 186,7 mii lei</w:t>
            </w:r>
            <w:r w:rsidRPr="00196559">
              <w:rPr>
                <w:color w:val="000000"/>
                <w:sz w:val="28"/>
                <w:szCs w:val="28"/>
                <w:lang w:val="ro-RO"/>
              </w:rPr>
              <w:t xml:space="preserve">. </w:t>
            </w:r>
            <w:r>
              <w:rPr>
                <w:color w:val="000000"/>
                <w:sz w:val="28"/>
                <w:szCs w:val="28"/>
                <w:lang w:val="ro-RO"/>
              </w:rPr>
              <w:t xml:space="preserve">Cheltuielile necesare pentru stabilirea </w:t>
            </w:r>
            <w:r w:rsidRPr="00326A9B">
              <w:rPr>
                <w:spacing w:val="-1"/>
                <w:sz w:val="28"/>
                <w:szCs w:val="28"/>
                <w:lang w:val="ro-RO"/>
              </w:rPr>
              <w:t xml:space="preserve">de la 1 octombrie 2021 </w:t>
            </w:r>
            <w:r>
              <w:rPr>
                <w:spacing w:val="-1"/>
                <w:sz w:val="28"/>
                <w:szCs w:val="28"/>
                <w:lang w:val="ro-RO"/>
              </w:rPr>
              <w:t xml:space="preserve">a </w:t>
            </w:r>
            <w:r w:rsidRPr="00326A9B">
              <w:rPr>
                <w:spacing w:val="-1"/>
                <w:sz w:val="28"/>
                <w:szCs w:val="28"/>
                <w:lang w:val="ro-RO"/>
              </w:rPr>
              <w:t>cuantumul</w:t>
            </w:r>
            <w:r>
              <w:rPr>
                <w:spacing w:val="-1"/>
                <w:sz w:val="28"/>
                <w:szCs w:val="28"/>
                <w:lang w:val="ro-RO"/>
              </w:rPr>
              <w:t>ui</w:t>
            </w:r>
            <w:r w:rsidRPr="00326A9B">
              <w:rPr>
                <w:spacing w:val="-1"/>
                <w:sz w:val="28"/>
                <w:szCs w:val="28"/>
                <w:lang w:val="ro-RO"/>
              </w:rPr>
              <w:t xml:space="preserve"> pensiei minime pentru limită de vîrstă </w:t>
            </w:r>
            <w:r>
              <w:rPr>
                <w:spacing w:val="-1"/>
                <w:sz w:val="28"/>
                <w:szCs w:val="28"/>
                <w:lang w:val="ro-RO"/>
              </w:rPr>
              <w:t>de</w:t>
            </w:r>
            <w:r w:rsidRPr="00326A9B">
              <w:rPr>
                <w:spacing w:val="-1"/>
                <w:sz w:val="28"/>
                <w:szCs w:val="28"/>
                <w:lang w:val="ro-RO"/>
              </w:rPr>
              <w:t xml:space="preserve"> </w:t>
            </w:r>
            <w:r w:rsidRPr="005455CA">
              <w:rPr>
                <w:spacing w:val="-1"/>
                <w:sz w:val="28"/>
                <w:szCs w:val="28"/>
                <w:lang w:val="ro-RO"/>
              </w:rPr>
              <w:t>2000 lei</w:t>
            </w:r>
            <w:r>
              <w:rPr>
                <w:spacing w:val="-1"/>
                <w:sz w:val="28"/>
                <w:szCs w:val="28"/>
                <w:lang w:val="ro-RO"/>
              </w:rPr>
              <w:t xml:space="preserve"> constituie 512 712,1 mii lei</w:t>
            </w:r>
            <w:r w:rsidRPr="005455CA">
              <w:rPr>
                <w:spacing w:val="-1"/>
                <w:sz w:val="28"/>
                <w:szCs w:val="28"/>
                <w:lang w:val="ro-RO"/>
              </w:rPr>
              <w:t>.</w:t>
            </w:r>
          </w:p>
        </w:tc>
      </w:tr>
      <w:tr w:rsidR="00564C85" w:rsidRPr="00906FD7" w:rsidTr="006C6CD1">
        <w:tc>
          <w:tcPr>
            <w:tcW w:w="10260" w:type="dxa"/>
            <w:shd w:val="clear" w:color="auto" w:fill="A6A6A6"/>
          </w:tcPr>
          <w:p w:rsidR="00564C85" w:rsidRPr="00F123D8" w:rsidRDefault="00564C85" w:rsidP="006C6CD1">
            <w:pPr>
              <w:pStyle w:val="Standard"/>
              <w:spacing w:after="0" w:line="240" w:lineRule="auto"/>
              <w:jc w:val="both"/>
              <w:rPr>
                <w:rFonts w:ascii="Times New Roman" w:hAnsi="Times New Roman"/>
                <w:b/>
                <w:sz w:val="28"/>
                <w:szCs w:val="28"/>
              </w:rPr>
            </w:pPr>
            <w:r w:rsidRPr="00F123D8">
              <w:rPr>
                <w:rFonts w:ascii="Times New Roman" w:hAnsi="Times New Roman"/>
                <w:b/>
                <w:sz w:val="28"/>
                <w:szCs w:val="28"/>
              </w:rPr>
              <w:t>Modul de încorporare a actului în cadrul normativ în vigoare</w:t>
            </w:r>
          </w:p>
        </w:tc>
      </w:tr>
      <w:tr w:rsidR="00564C85" w:rsidRPr="00906FD7" w:rsidTr="006C6CD1">
        <w:tc>
          <w:tcPr>
            <w:tcW w:w="10260" w:type="dxa"/>
          </w:tcPr>
          <w:p w:rsidR="00564C85" w:rsidRPr="00F123D8" w:rsidRDefault="00564C85" w:rsidP="006C6CD1">
            <w:pPr>
              <w:pStyle w:val="Standard"/>
              <w:spacing w:before="57" w:after="57" w:line="240" w:lineRule="auto"/>
              <w:jc w:val="both"/>
              <w:rPr>
                <w:rFonts w:ascii="Times New Roman" w:hAnsi="Times New Roman"/>
                <w:sz w:val="28"/>
                <w:szCs w:val="28"/>
              </w:rPr>
            </w:pPr>
            <w:r w:rsidRPr="00F123D8">
              <w:rPr>
                <w:rFonts w:ascii="Times New Roman" w:hAnsi="Times New Roman"/>
                <w:sz w:val="28"/>
                <w:szCs w:val="28"/>
              </w:rPr>
              <w:t>Adoptarea proiectului respectiv de Hotărîre nu implică operarea anumitor modificări și completări în actele normative în vigoare din domeniu.</w:t>
            </w:r>
          </w:p>
        </w:tc>
      </w:tr>
      <w:tr w:rsidR="00564C85" w:rsidRPr="00906FD7" w:rsidTr="006C6CD1">
        <w:tc>
          <w:tcPr>
            <w:tcW w:w="10260" w:type="dxa"/>
            <w:shd w:val="clear" w:color="auto" w:fill="A6A6A6"/>
          </w:tcPr>
          <w:p w:rsidR="00564C85" w:rsidRPr="00F123D8" w:rsidRDefault="00564C85" w:rsidP="006C6CD1">
            <w:pPr>
              <w:pStyle w:val="Standard"/>
              <w:spacing w:before="57" w:after="57" w:line="240" w:lineRule="auto"/>
              <w:jc w:val="both"/>
              <w:rPr>
                <w:rFonts w:ascii="Times New Roman" w:hAnsi="Times New Roman"/>
                <w:sz w:val="28"/>
                <w:szCs w:val="28"/>
              </w:rPr>
            </w:pPr>
            <w:r w:rsidRPr="00F123D8">
              <w:rPr>
                <w:rFonts w:ascii="Times New Roman" w:hAnsi="Times New Roman"/>
                <w:b/>
                <w:sz w:val="28"/>
                <w:szCs w:val="28"/>
              </w:rPr>
              <w:t>Avizarea și consultarea publică a proiectului</w:t>
            </w:r>
          </w:p>
        </w:tc>
      </w:tr>
      <w:tr w:rsidR="00564C85" w:rsidRPr="00906FD7" w:rsidTr="006C6CD1">
        <w:trPr>
          <w:trHeight w:val="260"/>
        </w:trPr>
        <w:tc>
          <w:tcPr>
            <w:tcW w:w="10260" w:type="dxa"/>
          </w:tcPr>
          <w:p w:rsidR="00564C85" w:rsidRPr="00F123D8" w:rsidRDefault="00564C85" w:rsidP="006C6CD1">
            <w:pPr>
              <w:pStyle w:val="Standard"/>
              <w:spacing w:before="57" w:after="57" w:line="240" w:lineRule="auto"/>
              <w:jc w:val="both"/>
              <w:rPr>
                <w:rFonts w:ascii="Times New Roman" w:hAnsi="Times New Roman"/>
                <w:sz w:val="28"/>
                <w:szCs w:val="28"/>
              </w:rPr>
            </w:pPr>
            <w:r w:rsidRPr="00F123D8">
              <w:rPr>
                <w:rFonts w:ascii="Times New Roman" w:hAnsi="Times New Roman"/>
                <w:sz w:val="28"/>
                <w:szCs w:val="28"/>
                <w:lang w:val="ro-MD"/>
              </w:rPr>
              <w:t xml:space="preserve">În scopul respectării prevederilor Legii nr. 239 din 13 noiembrie 2008 privind transparenţa în procesul decizional, proiectul hotarîrii de Guvern a fost plasat pe pagina web oficială a </w:t>
            </w:r>
            <w:r w:rsidR="00433950" w:rsidRPr="00433950">
              <w:rPr>
                <w:rFonts w:ascii="Times New Roman" w:hAnsi="Times New Roman"/>
                <w:sz w:val="28"/>
                <w:szCs w:val="28"/>
                <w:lang w:val="ro-MD"/>
              </w:rPr>
              <w:t xml:space="preserve">Ministerului </w:t>
            </w:r>
            <w:r w:rsidRPr="00433950">
              <w:rPr>
                <w:rFonts w:ascii="Times New Roman" w:hAnsi="Times New Roman"/>
                <w:sz w:val="28"/>
                <w:szCs w:val="28"/>
                <w:lang w:val="ro-MD"/>
              </w:rPr>
              <w:t>Muncii și Protecției Sociale www.</w:t>
            </w:r>
            <w:r w:rsidRPr="00433950">
              <w:rPr>
                <w:rFonts w:ascii="Times New Roman" w:hAnsi="Times New Roman"/>
                <w:i/>
                <w:sz w:val="28"/>
                <w:szCs w:val="28"/>
                <w:lang w:val="ro-MD"/>
              </w:rPr>
              <w:t>msmps.gov.md,</w:t>
            </w:r>
            <w:r w:rsidRPr="00F123D8">
              <w:rPr>
                <w:rFonts w:ascii="Times New Roman" w:hAnsi="Times New Roman"/>
                <w:i/>
                <w:sz w:val="28"/>
                <w:szCs w:val="28"/>
                <w:lang w:val="ro-MD"/>
              </w:rPr>
              <w:t xml:space="preserve"> directoriul „Transparența”, secțiunea „Proiecte</w:t>
            </w:r>
            <w:r w:rsidRPr="00F123D8">
              <w:rPr>
                <w:rFonts w:ascii="Times New Roman" w:hAnsi="Times New Roman"/>
                <w:sz w:val="28"/>
                <w:szCs w:val="28"/>
                <w:lang w:val="ro-MD"/>
              </w:rPr>
              <w:t xml:space="preserve"> </w:t>
            </w:r>
            <w:r w:rsidRPr="00F123D8">
              <w:rPr>
                <w:rFonts w:ascii="Times New Roman" w:hAnsi="Times New Roman"/>
                <w:i/>
                <w:sz w:val="28"/>
                <w:szCs w:val="28"/>
                <w:lang w:val="ro-MD"/>
              </w:rPr>
              <w:t>supuse consultărilor publice</w:t>
            </w:r>
            <w:r w:rsidRPr="00F123D8">
              <w:rPr>
                <w:rFonts w:ascii="Times New Roman" w:hAnsi="Times New Roman"/>
                <w:sz w:val="28"/>
                <w:szCs w:val="28"/>
                <w:lang w:val="ro-MD"/>
              </w:rPr>
              <w:t xml:space="preserve">”. </w:t>
            </w:r>
          </w:p>
        </w:tc>
      </w:tr>
      <w:tr w:rsidR="00564C85" w:rsidRPr="00F123D8" w:rsidTr="006C6CD1">
        <w:tc>
          <w:tcPr>
            <w:tcW w:w="10260" w:type="dxa"/>
            <w:shd w:val="clear" w:color="auto" w:fill="A6A6A6"/>
          </w:tcPr>
          <w:p w:rsidR="00564C85" w:rsidRPr="00F123D8" w:rsidRDefault="00564C85" w:rsidP="006C6CD1">
            <w:pPr>
              <w:pStyle w:val="Standard"/>
              <w:spacing w:before="57" w:after="57" w:line="240" w:lineRule="auto"/>
              <w:jc w:val="both"/>
              <w:rPr>
                <w:rFonts w:ascii="Times New Roman" w:hAnsi="Times New Roman"/>
                <w:sz w:val="28"/>
                <w:szCs w:val="28"/>
              </w:rPr>
            </w:pPr>
            <w:r w:rsidRPr="00F123D8">
              <w:rPr>
                <w:rFonts w:ascii="Times New Roman" w:hAnsi="Times New Roman"/>
                <w:b/>
                <w:sz w:val="28"/>
                <w:szCs w:val="28"/>
              </w:rPr>
              <w:lastRenderedPageBreak/>
              <w:t>Constatările expertizei anticorupție</w:t>
            </w:r>
          </w:p>
        </w:tc>
      </w:tr>
      <w:tr w:rsidR="00564C85" w:rsidRPr="00F123D8" w:rsidTr="006C6CD1">
        <w:tc>
          <w:tcPr>
            <w:tcW w:w="10260" w:type="dxa"/>
          </w:tcPr>
          <w:p w:rsidR="00564C85" w:rsidRPr="00017677" w:rsidRDefault="00564C85" w:rsidP="006C6CD1">
            <w:pPr>
              <w:pStyle w:val="Standard"/>
              <w:spacing w:before="57" w:after="57" w:line="240" w:lineRule="auto"/>
              <w:jc w:val="both"/>
              <w:rPr>
                <w:rFonts w:ascii="Times New Roman" w:hAnsi="Times New Roman"/>
                <w:sz w:val="28"/>
                <w:szCs w:val="28"/>
              </w:rPr>
            </w:pPr>
          </w:p>
        </w:tc>
      </w:tr>
      <w:tr w:rsidR="00564C85" w:rsidRPr="00F123D8" w:rsidTr="006C6CD1">
        <w:tc>
          <w:tcPr>
            <w:tcW w:w="10260" w:type="dxa"/>
            <w:shd w:val="clear" w:color="auto" w:fill="A6A6A6"/>
          </w:tcPr>
          <w:p w:rsidR="00564C85" w:rsidRPr="00F123D8" w:rsidRDefault="00564C85" w:rsidP="006C6CD1">
            <w:pPr>
              <w:pStyle w:val="Standard"/>
              <w:spacing w:before="57" w:after="57" w:line="240" w:lineRule="auto"/>
              <w:jc w:val="both"/>
              <w:rPr>
                <w:rFonts w:ascii="Times New Roman" w:hAnsi="Times New Roman"/>
                <w:b/>
                <w:sz w:val="28"/>
                <w:szCs w:val="28"/>
              </w:rPr>
            </w:pPr>
            <w:r w:rsidRPr="00F123D8">
              <w:rPr>
                <w:rFonts w:ascii="Times New Roman" w:hAnsi="Times New Roman"/>
                <w:b/>
                <w:sz w:val="28"/>
                <w:szCs w:val="28"/>
              </w:rPr>
              <w:t>Constatările expertizei juridice</w:t>
            </w:r>
          </w:p>
        </w:tc>
      </w:tr>
      <w:tr w:rsidR="00564C85" w:rsidRPr="00506B58" w:rsidTr="006C6CD1">
        <w:tc>
          <w:tcPr>
            <w:tcW w:w="10260" w:type="dxa"/>
          </w:tcPr>
          <w:p w:rsidR="00564C85" w:rsidRPr="00017677" w:rsidRDefault="00564C85" w:rsidP="006C6CD1">
            <w:pPr>
              <w:tabs>
                <w:tab w:val="left" w:pos="884"/>
                <w:tab w:val="left" w:pos="1196"/>
              </w:tabs>
              <w:jc w:val="both"/>
              <w:rPr>
                <w:sz w:val="28"/>
                <w:szCs w:val="28"/>
                <w:lang w:val="ro-RO"/>
              </w:rPr>
            </w:pPr>
          </w:p>
        </w:tc>
      </w:tr>
    </w:tbl>
    <w:p w:rsidR="00564C85" w:rsidRPr="00F123D8" w:rsidRDefault="00564C85" w:rsidP="00564C85">
      <w:pPr>
        <w:jc w:val="both"/>
        <w:rPr>
          <w:sz w:val="28"/>
          <w:szCs w:val="28"/>
          <w:lang w:val="ro-RO"/>
        </w:rPr>
      </w:pPr>
    </w:p>
    <w:p w:rsidR="00564C85" w:rsidRDefault="00564C85" w:rsidP="00564C85">
      <w:pPr>
        <w:ind w:left="720"/>
        <w:rPr>
          <w:sz w:val="28"/>
          <w:szCs w:val="28"/>
          <w:lang w:val="ro-RO"/>
        </w:rPr>
      </w:pPr>
    </w:p>
    <w:p w:rsidR="00433950" w:rsidRDefault="00433950" w:rsidP="00564C85">
      <w:pPr>
        <w:ind w:left="720"/>
        <w:rPr>
          <w:sz w:val="28"/>
          <w:szCs w:val="28"/>
          <w:lang w:val="ro-RO"/>
        </w:rPr>
      </w:pPr>
    </w:p>
    <w:p w:rsidR="00433950" w:rsidRDefault="00433950" w:rsidP="00564C85">
      <w:pPr>
        <w:ind w:left="720"/>
        <w:rPr>
          <w:sz w:val="28"/>
          <w:szCs w:val="28"/>
          <w:lang w:val="ro-RO"/>
        </w:rPr>
      </w:pPr>
    </w:p>
    <w:p w:rsidR="00433950" w:rsidRPr="00F123D8" w:rsidRDefault="00433950" w:rsidP="00564C85">
      <w:pPr>
        <w:ind w:left="720"/>
        <w:rPr>
          <w:sz w:val="28"/>
          <w:szCs w:val="28"/>
          <w:lang w:val="ro-RO"/>
        </w:rPr>
      </w:pPr>
    </w:p>
    <w:p w:rsidR="00433950" w:rsidRPr="00433950" w:rsidRDefault="00433950" w:rsidP="00433950">
      <w:pPr>
        <w:spacing w:before="120" w:line="276" w:lineRule="auto"/>
        <w:jc w:val="center"/>
        <w:rPr>
          <w:b/>
          <w:sz w:val="28"/>
          <w:szCs w:val="28"/>
          <w:lang w:val="ro-RO"/>
        </w:rPr>
      </w:pPr>
    </w:p>
    <w:p w:rsidR="00564C85" w:rsidRPr="00433950" w:rsidRDefault="00433950" w:rsidP="00433950">
      <w:pPr>
        <w:spacing w:before="120" w:line="276" w:lineRule="auto"/>
        <w:ind w:left="-426"/>
        <w:jc w:val="center"/>
        <w:rPr>
          <w:b/>
          <w:sz w:val="28"/>
          <w:szCs w:val="28"/>
          <w:lang w:val="ro-RO"/>
        </w:rPr>
      </w:pPr>
      <w:r>
        <w:rPr>
          <w:b/>
          <w:sz w:val="28"/>
          <w:szCs w:val="28"/>
          <w:lang w:val="ro-RO"/>
        </w:rPr>
        <w:t xml:space="preserve">Ministrul muncii </w:t>
      </w:r>
      <w:r w:rsidRPr="00433950">
        <w:rPr>
          <w:b/>
          <w:sz w:val="28"/>
          <w:szCs w:val="28"/>
          <w:lang w:val="ro-RO"/>
        </w:rPr>
        <w:t xml:space="preserve">și protecției sociale    </w:t>
      </w:r>
      <w:r>
        <w:rPr>
          <w:b/>
          <w:sz w:val="28"/>
          <w:szCs w:val="28"/>
          <w:lang w:val="ro-RO"/>
        </w:rPr>
        <w:t xml:space="preserve">                         </w:t>
      </w:r>
      <w:r w:rsidRPr="00433950">
        <w:rPr>
          <w:b/>
          <w:sz w:val="28"/>
          <w:szCs w:val="28"/>
          <w:lang w:val="ro-RO"/>
        </w:rPr>
        <w:t xml:space="preserve">                Marcel SPATARI</w:t>
      </w:r>
    </w:p>
    <w:p w:rsidR="00EF2543" w:rsidRDefault="00E06E27"/>
    <w:sectPr w:rsidR="00EF2543" w:rsidSect="00D946B4">
      <w:pgSz w:w="12240" w:h="15840"/>
      <w:pgMar w:top="630" w:right="850" w:bottom="36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B5"/>
    <w:rsid w:val="00196559"/>
    <w:rsid w:val="001B70CE"/>
    <w:rsid w:val="001C28EA"/>
    <w:rsid w:val="00326A9B"/>
    <w:rsid w:val="00433950"/>
    <w:rsid w:val="00506B58"/>
    <w:rsid w:val="00520196"/>
    <w:rsid w:val="005455CA"/>
    <w:rsid w:val="00564C85"/>
    <w:rsid w:val="00683797"/>
    <w:rsid w:val="008C49B5"/>
    <w:rsid w:val="00906FD7"/>
    <w:rsid w:val="009B5ADA"/>
    <w:rsid w:val="00AB7A7C"/>
    <w:rsid w:val="00B030A2"/>
    <w:rsid w:val="00B85282"/>
    <w:rsid w:val="00C55176"/>
    <w:rsid w:val="00E0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91B30-E266-4806-9EA6-00ADDBFC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C8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64C85"/>
    <w:pPr>
      <w:suppressAutoHyphens/>
      <w:autoSpaceDN w:val="0"/>
      <w:textAlignment w:val="baseline"/>
    </w:pPr>
    <w:rPr>
      <w:rFonts w:ascii="Calibri" w:eastAsia="Times New Roman" w:hAnsi="Calibri" w:cs="Times New Roman"/>
      <w:kern w:val="3"/>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cp:revision>
  <dcterms:created xsi:type="dcterms:W3CDTF">2021-07-15T09:02:00Z</dcterms:created>
  <dcterms:modified xsi:type="dcterms:W3CDTF">2021-08-17T06:14:00Z</dcterms:modified>
</cp:coreProperties>
</file>