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BC" w:rsidRPr="00820490" w:rsidRDefault="007B3442" w:rsidP="004360BC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20490">
        <w:rPr>
          <w:rFonts w:ascii="Times New Roman" w:hAnsi="Times New Roman" w:cs="Times New Roman"/>
          <w:b/>
          <w:sz w:val="26"/>
          <w:szCs w:val="26"/>
          <w:lang w:val="ro-RO"/>
        </w:rPr>
        <w:t>Notă informativă</w:t>
      </w:r>
    </w:p>
    <w:p w:rsidR="007B3442" w:rsidRPr="00820490" w:rsidRDefault="007B3442" w:rsidP="004360BC">
      <w:pPr>
        <w:ind w:left="-426" w:firstLine="71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20490">
        <w:rPr>
          <w:rFonts w:ascii="Times New Roman" w:hAnsi="Times New Roman" w:cs="Times New Roman"/>
          <w:b/>
          <w:sz w:val="26"/>
          <w:szCs w:val="26"/>
          <w:lang w:val="ro-RO"/>
        </w:rPr>
        <w:t>la  proiectul hotărârii Guvernului</w:t>
      </w:r>
      <w:r w:rsidR="0064418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820490">
        <w:rPr>
          <w:rFonts w:ascii="Times New Roman" w:hAnsi="Times New Roman" w:cs="Times New Roman"/>
          <w:b/>
          <w:sz w:val="26"/>
          <w:szCs w:val="26"/>
          <w:lang w:val="ro-RO"/>
        </w:rPr>
        <w:t xml:space="preserve">„Cu privire la transmiterea </w:t>
      </w:r>
      <w:r w:rsidR="005D68BE">
        <w:rPr>
          <w:rFonts w:ascii="Times New Roman" w:hAnsi="Times New Roman" w:cs="Times New Roman"/>
          <w:b/>
          <w:sz w:val="26"/>
          <w:szCs w:val="26"/>
          <w:lang w:val="ro-RO"/>
        </w:rPr>
        <w:t>unor bunuri</w:t>
      </w:r>
      <w:r w:rsidR="004360BC" w:rsidRPr="0082049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820490">
        <w:rPr>
          <w:rFonts w:ascii="Times New Roman" w:hAnsi="Times New Roman" w:cs="Times New Roman"/>
          <w:b/>
          <w:sz w:val="26"/>
          <w:szCs w:val="26"/>
          <w:lang w:val="ro-RO"/>
        </w:rPr>
        <w:t>imobil</w:t>
      </w:r>
      <w:r w:rsidR="005D68BE">
        <w:rPr>
          <w:rFonts w:ascii="Times New Roman" w:hAnsi="Times New Roman" w:cs="Times New Roman"/>
          <w:b/>
          <w:sz w:val="26"/>
          <w:szCs w:val="26"/>
          <w:lang w:val="ro-RO"/>
        </w:rPr>
        <w:t>e</w:t>
      </w:r>
      <w:r w:rsidRPr="00820490">
        <w:rPr>
          <w:rFonts w:ascii="Times New Roman" w:hAnsi="Times New Roman" w:cs="Times New Roman"/>
          <w:b/>
          <w:sz w:val="26"/>
          <w:szCs w:val="26"/>
          <w:lang w:val="ro-RO"/>
        </w:rPr>
        <w:t>”</w:t>
      </w:r>
    </w:p>
    <w:p w:rsidR="00820490" w:rsidRPr="00820490" w:rsidRDefault="00820490" w:rsidP="00820490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3"/>
      </w:tblGrid>
      <w:tr w:rsidR="00820490" w:rsidRPr="00820490" w:rsidTr="003374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490" w:rsidRPr="00820490" w:rsidRDefault="00820490" w:rsidP="003374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 Denumirea autorului și, după caz, a participanților la elaborarea proiectului</w:t>
            </w:r>
          </w:p>
        </w:tc>
      </w:tr>
      <w:tr w:rsidR="00820490" w:rsidRPr="00820490" w:rsidTr="003374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90" w:rsidRDefault="006D791A" w:rsidP="006D7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  <w:t xml:space="preserve">     </w:t>
            </w:r>
            <w:r w:rsidR="00820490" w:rsidRPr="008204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  <w:t xml:space="preserve">Proiectul Hotărârii </w:t>
            </w:r>
            <w:r w:rsidR="00820490" w:rsidRPr="00820490">
              <w:rPr>
                <w:rStyle w:val="FontStyle59"/>
                <w:lang w:val="ro-RO"/>
              </w:rPr>
              <w:t xml:space="preserve">Guvernului </w:t>
            </w:r>
            <w:r w:rsidR="00820490" w:rsidRPr="008204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  <w:t xml:space="preserve">cu privire la </w:t>
            </w:r>
            <w:r w:rsidR="008204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  <w:t xml:space="preserve">transmiterea </w:t>
            </w:r>
            <w:r w:rsidR="005D68B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  <w:t>unor bunuri imobile</w:t>
            </w:r>
            <w:r w:rsidR="00820490" w:rsidRPr="008204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  <w:t xml:space="preserve"> a fost elaborat de către Compania Națională de Asigurări în Medicină. </w:t>
            </w:r>
          </w:p>
          <w:p w:rsidR="00B426E0" w:rsidRPr="00707B32" w:rsidRDefault="00B426E0" w:rsidP="006D7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</w:pPr>
          </w:p>
        </w:tc>
      </w:tr>
      <w:tr w:rsidR="00820490" w:rsidRPr="00820490" w:rsidTr="003374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490" w:rsidRPr="00820490" w:rsidRDefault="00820490" w:rsidP="00337406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 Condițiile ce au impus elaborarea proiectului de act normativ şi finalitățile urmărite</w:t>
            </w:r>
          </w:p>
        </w:tc>
      </w:tr>
      <w:tr w:rsidR="00820490" w:rsidRPr="00707B32" w:rsidTr="00337406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90" w:rsidRDefault="006D791A" w:rsidP="00C6359B">
            <w:pPr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Style w:val="FontStyle59"/>
                <w:lang w:val="ro-RO"/>
              </w:rPr>
              <w:t xml:space="preserve">     </w:t>
            </w:r>
            <w:r w:rsidR="00820490" w:rsidRPr="00820490">
              <w:rPr>
                <w:rStyle w:val="FontStyle59"/>
                <w:lang w:val="ro-RO"/>
              </w:rPr>
              <w:t xml:space="preserve">Proiectul Hotărârii Guvernului </w:t>
            </w:r>
            <w:r w:rsidR="00820490" w:rsidRPr="008204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  <w:t xml:space="preserve">cu privire la </w:t>
            </w:r>
            <w:r w:rsidR="00B54F7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  <w:t xml:space="preserve">transmiterea </w:t>
            </w:r>
            <w:r w:rsidR="005D68B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  <w:t>unor bunuri</w:t>
            </w:r>
            <w:r w:rsidR="00B54F7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  <w:t xml:space="preserve"> imobil</w:t>
            </w:r>
            <w:r w:rsidR="005D68B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o-RO"/>
              </w:rPr>
              <w:t>e</w:t>
            </w:r>
            <w:r w:rsidR="00820490" w:rsidRPr="00C6359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C6359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fost elaborat </w:t>
            </w:r>
            <w:r w:rsidR="00C6359B" w:rsidRPr="00C6359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 scopul utilizării eficiente a bunu</w:t>
            </w:r>
            <w:r w:rsidR="007330E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rilor</w:t>
            </w:r>
            <w:r w:rsidR="00C6359B" w:rsidRPr="00C6359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C6359B" w:rsidRPr="00C6359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proprietate a statului, aflat în administrarea Companiei Naționale de  Asigurări în Medicină.</w:t>
            </w:r>
          </w:p>
          <w:p w:rsidR="006D791A" w:rsidRDefault="006D791A" w:rsidP="006D791A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Astfel, p</w:t>
            </w: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roiectul de hotărâre a fost elaborat în corespundere cu prevederile art. 8 alin. (2) al Legii nr. 523/199 cu privire la proprietatea publică a unităților administrativ-teritoriale, care stipulează că, t</w:t>
            </w:r>
            <w:r w:rsidRPr="008204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ransmiterea patrimoniului din proprietatea publică a statului în  proprietatea  publică a unităţii administrativ-teritoriale se face prin hotărâre a Guvernului, cu acordul consiliului local respectiv.</w:t>
            </w:r>
          </w:p>
          <w:p w:rsidR="00B426E0" w:rsidRPr="00363B68" w:rsidRDefault="00B426E0" w:rsidP="00363B68">
            <w:pPr>
              <w:ind w:firstLine="284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ro-MO"/>
              </w:rPr>
            </w:pPr>
          </w:p>
        </w:tc>
      </w:tr>
      <w:tr w:rsidR="00820490" w:rsidRPr="00820490" w:rsidTr="003374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490" w:rsidRPr="00820490" w:rsidRDefault="00820490" w:rsidP="003374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 Descrierea gradului de compatibilitate, pentru proiectele care au ca scop armonizarea legislației naționale cu legislația Uniunii Europene</w:t>
            </w:r>
          </w:p>
        </w:tc>
      </w:tr>
      <w:tr w:rsidR="00820490" w:rsidRPr="00820490" w:rsidTr="003374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90" w:rsidRDefault="006D791A" w:rsidP="006D791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   </w:t>
            </w:r>
            <w:r w:rsidR="00820490"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 respectiv nu are scopul armonizării legislației cu legislația Uniunii Europene</w:t>
            </w:r>
          </w:p>
          <w:p w:rsidR="00B426E0" w:rsidRPr="00820490" w:rsidRDefault="00B426E0" w:rsidP="006D791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820490" w:rsidRPr="00820490" w:rsidTr="00337406">
        <w:trPr>
          <w:trHeight w:val="4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490" w:rsidRPr="00820490" w:rsidRDefault="00820490" w:rsidP="00337406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 Principalele prevederi ale proiectului și evidențierea elementelor noi</w:t>
            </w:r>
          </w:p>
        </w:tc>
      </w:tr>
      <w:tr w:rsidR="00820490" w:rsidRPr="00820490" w:rsidTr="00337406">
        <w:trPr>
          <w:trHeight w:val="8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1A" w:rsidRPr="00820490" w:rsidRDefault="006D791A" w:rsidP="006D791A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Proiectul hotărârii de Guvern cu privire la transmiterea </w:t>
            </w:r>
            <w:r w:rsidR="00A343F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unor bunuri imobile</w:t>
            </w: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fost elaborat în temeiul prevederilor art. 14 alin. (1) lit. b) din Legea nr.121/2007 privind administrarea și </w:t>
            </w:r>
            <w:proofErr w:type="spellStart"/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deetatizarea</w:t>
            </w:r>
            <w:proofErr w:type="spellEnd"/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proprietății publice, și art. 8 alin. (2) din Legea nr. 523/199 cu privire la proprietatea publică a unităților administrativ-teritoriale, în contextul deciziei</w:t>
            </w:r>
            <w:bookmarkStart w:id="0" w:name="_GoBack"/>
            <w:bookmarkEnd w:id="0"/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Consiliului raional Taraclia din data de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12.12.2019 nr.</w:t>
            </w: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3/8 și dispune transmiterea, cu acordul Consiliului raional respectiv,  din proprietatea statului, administrarea Companiei Naționale de  Asigurări în Medicină, în propri</w:t>
            </w:r>
            <w:r w:rsidR="007330E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etatea raionului Taraclia, bunurilor</w:t>
            </w: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imobil</w:t>
            </w:r>
            <w:r w:rsidR="007330E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numerele cadastrale imobil 8701208.088.01 și teren 8701208.088, situat în or. Taraclia, str. </w:t>
            </w:r>
            <w:proofErr w:type="spellStart"/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Cotovscogo</w:t>
            </w:r>
            <w:proofErr w:type="spellEnd"/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nr. 5a.</w:t>
            </w:r>
          </w:p>
          <w:p w:rsidR="00820490" w:rsidRDefault="00705374" w:rsidP="006D791A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Menționăm că, bunurile</w:t>
            </w:r>
            <w:r w:rsidR="006D791A"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imobil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6D791A"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respectiv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6D791A"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care la moment se află în administrarea Companiei Naționale de  Asigurări în Medicină, nu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sunt</w:t>
            </w:r>
            <w:r w:rsidR="006D791A"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necesar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6D791A"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și util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6D791A"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pe când Consiliul raional Taraclia și-a manifestat interesul în </w:t>
            </w:r>
            <w:r w:rsidR="007330E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posesia și administrarea acestor</w:t>
            </w:r>
            <w:r w:rsidR="006D791A"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bun</w:t>
            </w:r>
            <w:r w:rsidR="007330E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uri</w:t>
            </w:r>
            <w:r w:rsidR="006D791A"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  <w:p w:rsidR="0076766F" w:rsidRPr="00B5028A" w:rsidRDefault="0076766F" w:rsidP="006D791A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speță, menționăm că urmare a </w:t>
            </w:r>
            <w:r w:rsidR="009D007F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reorganizării structurale a CNAM,</w:t>
            </w:r>
            <w:r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aprobate prin Hotărârea Guvernului nr.1053</w:t>
            </w:r>
            <w:r w:rsid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/</w:t>
            </w:r>
            <w:r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2013 cu privire la modificarea Hotărârii Guvernului nr.1432/2002, s-a redus numărul age</w:t>
            </w:r>
            <w:r w:rsidR="009D007F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nțiilor teritoriale ale CNAM</w:t>
            </w:r>
            <w:r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9D007F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 la 7 la 5</w:t>
            </w:r>
            <w:r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9D007F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Astfel, u</w:t>
            </w:r>
            <w:r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rmare a lichidării Agenției teritoriale Taraclia, atribuțiile CNAM în teritoriul respectiv, </w:t>
            </w:r>
            <w:r w:rsidR="001A4C76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sunt</w:t>
            </w:r>
            <w:r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exercitate </w:t>
            </w:r>
            <w:r w:rsidR="009D007F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</w:t>
            </w:r>
            <w:r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către un </w:t>
            </w:r>
            <w:r w:rsidR="001A4C76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singur </w:t>
            </w:r>
            <w:r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reprezentant al CNAM, </w:t>
            </w:r>
            <w:r w:rsidR="001A4C76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care nu necesită </w:t>
            </w:r>
            <w:r w:rsidR="009D007F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utilizarea în totalitate a bunurilor imobile care fac obiectul prezentului proiect de </w:t>
            </w:r>
            <w:r w:rsidR="000B684E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hotărâre</w:t>
            </w:r>
            <w:r w:rsidR="009D007F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și care constituie </w:t>
            </w:r>
            <w:r w:rsid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427,2 </w:t>
            </w:r>
            <w:r w:rsidR="009D007F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</w:t>
            </w:r>
            <w:r w:rsidR="009D007F" w:rsidRPr="00B5028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2</w:t>
            </w:r>
            <w:r w:rsidR="009D007F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0B684E" w:rsidRPr="00B5028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6D791A" w:rsidRDefault="001A3E20" w:rsidP="001A3E20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Concomitent, se prevede că, Compania Națională de Asigurări în Medicină în comun cu Consiliul raional Taraclia, vor institui comisia de transmitere și vor asigura, în termen de 30 de zile, transmiterea bunu</w:t>
            </w:r>
            <w:r w:rsidR="007330E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rilor</w:t>
            </w: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imobil</w:t>
            </w:r>
            <w:r w:rsidR="007330E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nominalizat</w:t>
            </w:r>
            <w:r w:rsidR="007330E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în conformitate cu prevederile Regulamentului cu privire la modul de transmitere a bunurilor proprietate publică, aprobat prin Hotărârea Guvernului nr. 901/2015.</w:t>
            </w:r>
          </w:p>
          <w:p w:rsidR="00B426E0" w:rsidRPr="00820490" w:rsidRDefault="00B426E0" w:rsidP="001A3E20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</w:tr>
      <w:tr w:rsidR="00820490" w:rsidRPr="00820490" w:rsidTr="003374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490" w:rsidRPr="00820490" w:rsidRDefault="00820490" w:rsidP="003374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5. Fundamentarea economico-financiară</w:t>
            </w:r>
          </w:p>
        </w:tc>
      </w:tr>
      <w:tr w:rsidR="00820490" w:rsidRPr="00820490" w:rsidTr="003374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20" w:rsidRPr="00820490" w:rsidRDefault="001A3E20" w:rsidP="001A3E20">
            <w:pPr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Implementarea prevederilor proiectului nu necesită cheltuieli financiare suplimentare din bugetul de stat. </w:t>
            </w:r>
          </w:p>
          <w:p w:rsidR="00820490" w:rsidRDefault="001A3E20" w:rsidP="001A3E20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C</w:t>
            </w: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heltuielile aferente înregistrării modificărilor corespunzătoare în Registrul bunurilor imobile vor fi suportate de Consiliul raional Taraclia. </w:t>
            </w:r>
          </w:p>
          <w:p w:rsidR="00B426E0" w:rsidRPr="00820490" w:rsidRDefault="00B426E0" w:rsidP="001A3E20">
            <w:pPr>
              <w:ind w:firstLine="284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ro-RO"/>
              </w:rPr>
            </w:pPr>
          </w:p>
        </w:tc>
      </w:tr>
      <w:tr w:rsidR="00820490" w:rsidRPr="00820490" w:rsidTr="003374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490" w:rsidRPr="00820490" w:rsidRDefault="00820490" w:rsidP="003374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 Modul de încorporare a proiectului în sistemul actelor normative în vigoare</w:t>
            </w:r>
          </w:p>
        </w:tc>
      </w:tr>
      <w:tr w:rsidR="00820490" w:rsidRPr="00820490" w:rsidTr="00337406">
        <w:trPr>
          <w:trHeight w:val="3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90" w:rsidRDefault="001A3E20" w:rsidP="001A3E20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 elaborat se încadrează în cadrul normativ în vigoare, iar aprobarea acestuia nu va genera ca consecință necesitatea amendării altor acte normative.</w:t>
            </w:r>
          </w:p>
          <w:p w:rsidR="00B426E0" w:rsidRPr="00820490" w:rsidRDefault="00B426E0" w:rsidP="001A3E20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820490" w:rsidRPr="00820490" w:rsidTr="0033740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20490" w:rsidRPr="00820490" w:rsidRDefault="00820490" w:rsidP="003374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Pr="0082049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Avizarea și consultarea publică a proiectului</w:t>
            </w:r>
          </w:p>
        </w:tc>
      </w:tr>
      <w:tr w:rsidR="00820490" w:rsidRPr="00820490" w:rsidTr="00337406">
        <w:trPr>
          <w:trHeight w:val="4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490" w:rsidRPr="00820490" w:rsidRDefault="00820490" w:rsidP="00B426E0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scopul respectării prevederilor Legii nr.239/2008 privind transparența în procesul decizional, proiectul de hotărâre este plasat pe pagina oficială a CNAM </w:t>
            </w:r>
            <w:proofErr w:type="spellStart"/>
            <w:r w:rsidRPr="0082049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www.cnam.md</w:t>
            </w:r>
            <w:proofErr w:type="spellEnd"/>
            <w:r w:rsidRPr="0082049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compartimentul Transparența decizională, precum și pe platforma guvernamentală </w:t>
            </w:r>
            <w:proofErr w:type="spellStart"/>
            <w:r w:rsidRPr="0082049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www.particip.gov.md</w:t>
            </w:r>
            <w:proofErr w:type="spellEnd"/>
            <w:r w:rsidRPr="0082049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</w:p>
          <w:p w:rsidR="00B426E0" w:rsidRPr="00820490" w:rsidRDefault="00B426E0" w:rsidP="00B426E0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Informația privind rezultatele expertizei, inclusiv a expertizei anticorupție va fi inclusă în sinteză, ulterior recepționării avizelor respective și a raportului de expertiză anticorupție. </w:t>
            </w:r>
          </w:p>
          <w:p w:rsidR="00820490" w:rsidRPr="00820490" w:rsidRDefault="00820490" w:rsidP="00B426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B426E0" w:rsidRPr="00820490" w:rsidTr="00337406">
        <w:trPr>
          <w:trHeight w:val="4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E0" w:rsidRPr="00A005EC" w:rsidRDefault="00A005EC" w:rsidP="00B426E0">
            <w:pPr>
              <w:ind w:left="-720"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A005E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8. </w:t>
            </w:r>
            <w:r w:rsidR="00B426E0" w:rsidRPr="00A005E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Constatările altor expertize</w:t>
            </w:r>
          </w:p>
        </w:tc>
      </w:tr>
      <w:tr w:rsidR="00B426E0" w:rsidRPr="00820490" w:rsidTr="00337406">
        <w:trPr>
          <w:trHeight w:val="4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E0" w:rsidRDefault="00B426E0" w:rsidP="00B426E0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82049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Proiectul nu conține prevederi de reglementare a activității de întreprinzător, în contextul Legii cu privire la principiile de bază de reglementare a activității de întreprinzător nr. 235/2006, astfel nefiind necesară elaborarea analizei impactului de reglementare. </w:t>
            </w:r>
          </w:p>
          <w:p w:rsidR="00B426E0" w:rsidRPr="00820490" w:rsidRDefault="00B426E0" w:rsidP="00B426E0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</w:tc>
      </w:tr>
    </w:tbl>
    <w:p w:rsidR="00820490" w:rsidRDefault="00820490" w:rsidP="00820490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</w:p>
    <w:p w:rsidR="00B426E0" w:rsidRDefault="00B426E0" w:rsidP="00820490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</w:p>
    <w:p w:rsidR="00B426E0" w:rsidRDefault="00B426E0" w:rsidP="00820490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</w:p>
    <w:p w:rsidR="00B426E0" w:rsidRPr="00820490" w:rsidRDefault="00B426E0" w:rsidP="00820490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</w:p>
    <w:p w:rsidR="00820490" w:rsidRPr="00820490" w:rsidRDefault="00820490" w:rsidP="0082049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820490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Director general</w:t>
      </w:r>
      <w:r w:rsidRPr="00820490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ab/>
      </w:r>
      <w:r w:rsidRPr="00820490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ab/>
      </w:r>
      <w:r w:rsidRPr="00820490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ab/>
      </w:r>
      <w:r w:rsidRPr="00820490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ab/>
      </w:r>
      <w:r w:rsidRPr="00820490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ab/>
      </w:r>
      <w:r w:rsidRPr="00820490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ab/>
        <w:t>Valentina BULIGA</w:t>
      </w:r>
    </w:p>
    <w:p w:rsidR="00820490" w:rsidRPr="00820490" w:rsidRDefault="00820490" w:rsidP="004360BC">
      <w:pPr>
        <w:pStyle w:val="rg"/>
        <w:spacing w:before="0" w:beforeAutospacing="0" w:after="0" w:afterAutospacing="0"/>
        <w:ind w:left="-426" w:firstLine="710"/>
        <w:rPr>
          <w:b/>
          <w:i/>
          <w:sz w:val="26"/>
          <w:szCs w:val="26"/>
          <w:lang w:val="en-US"/>
        </w:rPr>
      </w:pPr>
    </w:p>
    <w:p w:rsidR="00820490" w:rsidRPr="00820490" w:rsidRDefault="00820490" w:rsidP="004360BC">
      <w:pPr>
        <w:pStyle w:val="rg"/>
        <w:spacing w:before="0" w:beforeAutospacing="0" w:after="0" w:afterAutospacing="0"/>
        <w:ind w:left="-426" w:firstLine="710"/>
        <w:rPr>
          <w:b/>
          <w:i/>
          <w:sz w:val="26"/>
          <w:szCs w:val="26"/>
          <w:lang w:val="en-US"/>
        </w:rPr>
      </w:pPr>
    </w:p>
    <w:p w:rsidR="00074A8E" w:rsidRPr="00820490" w:rsidRDefault="00074A8E" w:rsidP="004360BC">
      <w:pPr>
        <w:pStyle w:val="rg"/>
        <w:spacing w:before="0" w:beforeAutospacing="0" w:after="0" w:afterAutospacing="0"/>
        <w:ind w:left="-426" w:firstLine="710"/>
        <w:rPr>
          <w:sz w:val="26"/>
          <w:szCs w:val="26"/>
          <w:lang w:val="en-US"/>
        </w:rPr>
      </w:pPr>
    </w:p>
    <w:p w:rsidR="006A665B" w:rsidRPr="00820490" w:rsidRDefault="006A665B" w:rsidP="004360BC">
      <w:pPr>
        <w:ind w:left="-426" w:firstLine="71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A665B" w:rsidRPr="00820490" w:rsidRDefault="006A665B" w:rsidP="004360BC">
      <w:pPr>
        <w:ind w:left="-72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A665B" w:rsidRPr="00820490" w:rsidRDefault="006A665B" w:rsidP="004360BC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A665B" w:rsidRPr="00820490" w:rsidRDefault="006A665B" w:rsidP="004360BC">
      <w:pPr>
        <w:ind w:left="-72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A665B" w:rsidRPr="00820490" w:rsidRDefault="006A665B" w:rsidP="004360BC">
      <w:pPr>
        <w:ind w:left="-72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A665B" w:rsidRPr="00820490" w:rsidRDefault="006A665B" w:rsidP="004360BC">
      <w:pPr>
        <w:ind w:left="-72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A665B" w:rsidRPr="00820490" w:rsidRDefault="006A665B" w:rsidP="004360BC">
      <w:pPr>
        <w:ind w:left="-72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360BC" w:rsidRPr="00820490" w:rsidRDefault="004360BC" w:rsidP="004360BC">
      <w:pPr>
        <w:ind w:left="-72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76BE5" w:rsidRPr="00820490" w:rsidRDefault="00876BE5" w:rsidP="004360BC">
      <w:pPr>
        <w:ind w:left="-426" w:firstLine="710"/>
        <w:rPr>
          <w:rFonts w:ascii="Times New Roman" w:hAnsi="Times New Roman" w:cs="Times New Roman"/>
          <w:sz w:val="26"/>
          <w:szCs w:val="26"/>
          <w:lang w:val="ro-RO"/>
        </w:rPr>
      </w:pPr>
    </w:p>
    <w:p w:rsidR="00820490" w:rsidRPr="00820490" w:rsidRDefault="00820490">
      <w:pPr>
        <w:ind w:left="-426" w:firstLine="710"/>
        <w:rPr>
          <w:rFonts w:ascii="Times New Roman" w:hAnsi="Times New Roman" w:cs="Times New Roman"/>
          <w:sz w:val="26"/>
          <w:szCs w:val="26"/>
          <w:lang w:val="ro-RO"/>
        </w:rPr>
      </w:pPr>
    </w:p>
    <w:sectPr w:rsidR="00820490" w:rsidRPr="00820490" w:rsidSect="00C8583A">
      <w:pgSz w:w="11906" w:h="16838"/>
      <w:pgMar w:top="1134" w:right="991" w:bottom="107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B3442"/>
    <w:rsid w:val="0000180E"/>
    <w:rsid w:val="00006D23"/>
    <w:rsid w:val="00011544"/>
    <w:rsid w:val="00014342"/>
    <w:rsid w:val="000179CA"/>
    <w:rsid w:val="00020D93"/>
    <w:rsid w:val="00025F87"/>
    <w:rsid w:val="00025F98"/>
    <w:rsid w:val="00026ABF"/>
    <w:rsid w:val="00032D1F"/>
    <w:rsid w:val="0003420B"/>
    <w:rsid w:val="00034624"/>
    <w:rsid w:val="00035546"/>
    <w:rsid w:val="00041C24"/>
    <w:rsid w:val="0004294C"/>
    <w:rsid w:val="00045615"/>
    <w:rsid w:val="00046DF2"/>
    <w:rsid w:val="00051A6D"/>
    <w:rsid w:val="0005797A"/>
    <w:rsid w:val="000625DF"/>
    <w:rsid w:val="000627DA"/>
    <w:rsid w:val="000628E9"/>
    <w:rsid w:val="00066432"/>
    <w:rsid w:val="00070756"/>
    <w:rsid w:val="00072529"/>
    <w:rsid w:val="00073F85"/>
    <w:rsid w:val="00074A8E"/>
    <w:rsid w:val="000756E0"/>
    <w:rsid w:val="00077CC1"/>
    <w:rsid w:val="00080317"/>
    <w:rsid w:val="0008082B"/>
    <w:rsid w:val="00080BD4"/>
    <w:rsid w:val="00081CD4"/>
    <w:rsid w:val="00082757"/>
    <w:rsid w:val="00085496"/>
    <w:rsid w:val="00094457"/>
    <w:rsid w:val="00095D30"/>
    <w:rsid w:val="000A46DA"/>
    <w:rsid w:val="000A5E96"/>
    <w:rsid w:val="000A768D"/>
    <w:rsid w:val="000B264E"/>
    <w:rsid w:val="000B54A0"/>
    <w:rsid w:val="000B684E"/>
    <w:rsid w:val="000C1DDA"/>
    <w:rsid w:val="000C2F85"/>
    <w:rsid w:val="000C31E1"/>
    <w:rsid w:val="000C7889"/>
    <w:rsid w:val="000C7D59"/>
    <w:rsid w:val="000D10D2"/>
    <w:rsid w:val="000D6817"/>
    <w:rsid w:val="000E091A"/>
    <w:rsid w:val="000E1001"/>
    <w:rsid w:val="000E2545"/>
    <w:rsid w:val="000E3DC7"/>
    <w:rsid w:val="000E603F"/>
    <w:rsid w:val="000E6BC3"/>
    <w:rsid w:val="000F1440"/>
    <w:rsid w:val="000F4B51"/>
    <w:rsid w:val="000F5ED4"/>
    <w:rsid w:val="000F7111"/>
    <w:rsid w:val="00101997"/>
    <w:rsid w:val="00102C21"/>
    <w:rsid w:val="0010668D"/>
    <w:rsid w:val="00112C9E"/>
    <w:rsid w:val="00113F45"/>
    <w:rsid w:val="001141F9"/>
    <w:rsid w:val="0012122F"/>
    <w:rsid w:val="00134F7A"/>
    <w:rsid w:val="001353D3"/>
    <w:rsid w:val="001368C5"/>
    <w:rsid w:val="00136BEF"/>
    <w:rsid w:val="00137C6F"/>
    <w:rsid w:val="00140191"/>
    <w:rsid w:val="00143783"/>
    <w:rsid w:val="00143A29"/>
    <w:rsid w:val="001460B8"/>
    <w:rsid w:val="001465BE"/>
    <w:rsid w:val="00146960"/>
    <w:rsid w:val="0015064F"/>
    <w:rsid w:val="00153A3D"/>
    <w:rsid w:val="00156BD7"/>
    <w:rsid w:val="00170A7D"/>
    <w:rsid w:val="00172C64"/>
    <w:rsid w:val="00173B0D"/>
    <w:rsid w:val="00173E2E"/>
    <w:rsid w:val="00181E60"/>
    <w:rsid w:val="001903FB"/>
    <w:rsid w:val="0019155D"/>
    <w:rsid w:val="0019196A"/>
    <w:rsid w:val="001A03D0"/>
    <w:rsid w:val="001A07AC"/>
    <w:rsid w:val="001A19DA"/>
    <w:rsid w:val="001A2715"/>
    <w:rsid w:val="001A2F37"/>
    <w:rsid w:val="001A3E20"/>
    <w:rsid w:val="001A4C76"/>
    <w:rsid w:val="001A7BD9"/>
    <w:rsid w:val="001A7BFE"/>
    <w:rsid w:val="001B1FDD"/>
    <w:rsid w:val="001B3867"/>
    <w:rsid w:val="001B747A"/>
    <w:rsid w:val="001C0482"/>
    <w:rsid w:val="001C1BB6"/>
    <w:rsid w:val="001C1EDB"/>
    <w:rsid w:val="001C4D07"/>
    <w:rsid w:val="001D07EC"/>
    <w:rsid w:val="001D1617"/>
    <w:rsid w:val="001D1E2D"/>
    <w:rsid w:val="001D1FF2"/>
    <w:rsid w:val="001D39F8"/>
    <w:rsid w:val="001D3CC9"/>
    <w:rsid w:val="001D5CC5"/>
    <w:rsid w:val="001D6D14"/>
    <w:rsid w:val="001D6F5C"/>
    <w:rsid w:val="001D79AE"/>
    <w:rsid w:val="001E0521"/>
    <w:rsid w:val="001E13CF"/>
    <w:rsid w:val="001E1FAF"/>
    <w:rsid w:val="001F4528"/>
    <w:rsid w:val="001F45F9"/>
    <w:rsid w:val="001F5127"/>
    <w:rsid w:val="001F59DA"/>
    <w:rsid w:val="002001AB"/>
    <w:rsid w:val="00200FB1"/>
    <w:rsid w:val="00206D32"/>
    <w:rsid w:val="00211451"/>
    <w:rsid w:val="00212625"/>
    <w:rsid w:val="0021312D"/>
    <w:rsid w:val="002143A1"/>
    <w:rsid w:val="002178DC"/>
    <w:rsid w:val="002262A3"/>
    <w:rsid w:val="002402CA"/>
    <w:rsid w:val="00240A99"/>
    <w:rsid w:val="00241BE5"/>
    <w:rsid w:val="002470E5"/>
    <w:rsid w:val="002518E6"/>
    <w:rsid w:val="00252B23"/>
    <w:rsid w:val="00255C3A"/>
    <w:rsid w:val="002577C6"/>
    <w:rsid w:val="00262557"/>
    <w:rsid w:val="00262DE0"/>
    <w:rsid w:val="0026429D"/>
    <w:rsid w:val="00266BDC"/>
    <w:rsid w:val="0027134C"/>
    <w:rsid w:val="00272227"/>
    <w:rsid w:val="00274F5E"/>
    <w:rsid w:val="00276EB2"/>
    <w:rsid w:val="00277703"/>
    <w:rsid w:val="00285C0B"/>
    <w:rsid w:val="002935D5"/>
    <w:rsid w:val="00295626"/>
    <w:rsid w:val="002A1D3D"/>
    <w:rsid w:val="002A4048"/>
    <w:rsid w:val="002A61D3"/>
    <w:rsid w:val="002A767D"/>
    <w:rsid w:val="002B0AA1"/>
    <w:rsid w:val="002B21B7"/>
    <w:rsid w:val="002B24B6"/>
    <w:rsid w:val="002B49E5"/>
    <w:rsid w:val="002B4F28"/>
    <w:rsid w:val="002B6A8A"/>
    <w:rsid w:val="002C06D2"/>
    <w:rsid w:val="002C2081"/>
    <w:rsid w:val="002C27EF"/>
    <w:rsid w:val="002C3642"/>
    <w:rsid w:val="002C430A"/>
    <w:rsid w:val="002C6915"/>
    <w:rsid w:val="002D2E95"/>
    <w:rsid w:val="002E0E20"/>
    <w:rsid w:val="002E20EA"/>
    <w:rsid w:val="002E2C68"/>
    <w:rsid w:val="002E321E"/>
    <w:rsid w:val="002E60A8"/>
    <w:rsid w:val="002F1696"/>
    <w:rsid w:val="002F248A"/>
    <w:rsid w:val="002F5237"/>
    <w:rsid w:val="003079FF"/>
    <w:rsid w:val="003110C1"/>
    <w:rsid w:val="00314BBA"/>
    <w:rsid w:val="00316DA5"/>
    <w:rsid w:val="00320242"/>
    <w:rsid w:val="003215F9"/>
    <w:rsid w:val="00322E36"/>
    <w:rsid w:val="0032494D"/>
    <w:rsid w:val="003256C2"/>
    <w:rsid w:val="00327544"/>
    <w:rsid w:val="0033208D"/>
    <w:rsid w:val="003321BE"/>
    <w:rsid w:val="003348C5"/>
    <w:rsid w:val="00336844"/>
    <w:rsid w:val="0034360E"/>
    <w:rsid w:val="00343AE1"/>
    <w:rsid w:val="003443DB"/>
    <w:rsid w:val="00344465"/>
    <w:rsid w:val="00347C16"/>
    <w:rsid w:val="00350C81"/>
    <w:rsid w:val="0035137E"/>
    <w:rsid w:val="00353AD2"/>
    <w:rsid w:val="00356348"/>
    <w:rsid w:val="003565CE"/>
    <w:rsid w:val="00361AE6"/>
    <w:rsid w:val="0036316B"/>
    <w:rsid w:val="003634CF"/>
    <w:rsid w:val="00363B68"/>
    <w:rsid w:val="00364845"/>
    <w:rsid w:val="00366AE6"/>
    <w:rsid w:val="00377CCF"/>
    <w:rsid w:val="00384A96"/>
    <w:rsid w:val="0038763A"/>
    <w:rsid w:val="003900C1"/>
    <w:rsid w:val="003941E9"/>
    <w:rsid w:val="0039454B"/>
    <w:rsid w:val="00396121"/>
    <w:rsid w:val="003A1C0E"/>
    <w:rsid w:val="003A1C95"/>
    <w:rsid w:val="003A3E84"/>
    <w:rsid w:val="003A5519"/>
    <w:rsid w:val="003A566F"/>
    <w:rsid w:val="003A5EB2"/>
    <w:rsid w:val="003B1EAF"/>
    <w:rsid w:val="003B2108"/>
    <w:rsid w:val="003B43A4"/>
    <w:rsid w:val="003B552B"/>
    <w:rsid w:val="003C2B70"/>
    <w:rsid w:val="003C3187"/>
    <w:rsid w:val="003C4FA3"/>
    <w:rsid w:val="003C7BCA"/>
    <w:rsid w:val="003D0147"/>
    <w:rsid w:val="003D4468"/>
    <w:rsid w:val="003D48B6"/>
    <w:rsid w:val="003D58B1"/>
    <w:rsid w:val="003E0516"/>
    <w:rsid w:val="003E18B4"/>
    <w:rsid w:val="003E453C"/>
    <w:rsid w:val="003E5AC4"/>
    <w:rsid w:val="003E614A"/>
    <w:rsid w:val="003F1C6D"/>
    <w:rsid w:val="003F41C9"/>
    <w:rsid w:val="003F5D81"/>
    <w:rsid w:val="00401A51"/>
    <w:rsid w:val="00410177"/>
    <w:rsid w:val="0041719D"/>
    <w:rsid w:val="00425812"/>
    <w:rsid w:val="00431BCC"/>
    <w:rsid w:val="0043448B"/>
    <w:rsid w:val="004360BC"/>
    <w:rsid w:val="00436ADD"/>
    <w:rsid w:val="004435CC"/>
    <w:rsid w:val="00443F78"/>
    <w:rsid w:val="00447EDA"/>
    <w:rsid w:val="00452508"/>
    <w:rsid w:val="004527C5"/>
    <w:rsid w:val="0045295C"/>
    <w:rsid w:val="00453A99"/>
    <w:rsid w:val="0045653D"/>
    <w:rsid w:val="00457A4E"/>
    <w:rsid w:val="004606EB"/>
    <w:rsid w:val="00460F73"/>
    <w:rsid w:val="004645D5"/>
    <w:rsid w:val="00464B3E"/>
    <w:rsid w:val="004673C7"/>
    <w:rsid w:val="0047138C"/>
    <w:rsid w:val="00474BE0"/>
    <w:rsid w:val="00480851"/>
    <w:rsid w:val="00482297"/>
    <w:rsid w:val="00483DDD"/>
    <w:rsid w:val="00484351"/>
    <w:rsid w:val="004905EC"/>
    <w:rsid w:val="00492826"/>
    <w:rsid w:val="004A1A8F"/>
    <w:rsid w:val="004A4090"/>
    <w:rsid w:val="004A519E"/>
    <w:rsid w:val="004A5559"/>
    <w:rsid w:val="004B0F53"/>
    <w:rsid w:val="004B103F"/>
    <w:rsid w:val="004B2C5C"/>
    <w:rsid w:val="004C2C94"/>
    <w:rsid w:val="004C3A93"/>
    <w:rsid w:val="004C439E"/>
    <w:rsid w:val="004D42AA"/>
    <w:rsid w:val="004D48B0"/>
    <w:rsid w:val="004D514F"/>
    <w:rsid w:val="004E0709"/>
    <w:rsid w:val="004E0A19"/>
    <w:rsid w:val="004F0FE4"/>
    <w:rsid w:val="004F3660"/>
    <w:rsid w:val="004F3E15"/>
    <w:rsid w:val="004F4A7F"/>
    <w:rsid w:val="0050277E"/>
    <w:rsid w:val="005056C7"/>
    <w:rsid w:val="00505F23"/>
    <w:rsid w:val="00511AAD"/>
    <w:rsid w:val="00522D47"/>
    <w:rsid w:val="0053204F"/>
    <w:rsid w:val="0053250E"/>
    <w:rsid w:val="00533C5F"/>
    <w:rsid w:val="005368B6"/>
    <w:rsid w:val="00536EED"/>
    <w:rsid w:val="005403AD"/>
    <w:rsid w:val="0054357E"/>
    <w:rsid w:val="005472C6"/>
    <w:rsid w:val="00550662"/>
    <w:rsid w:val="00550C2B"/>
    <w:rsid w:val="00551D3B"/>
    <w:rsid w:val="0055203F"/>
    <w:rsid w:val="00552680"/>
    <w:rsid w:val="00552A5A"/>
    <w:rsid w:val="00553AE0"/>
    <w:rsid w:val="00554AE6"/>
    <w:rsid w:val="00555892"/>
    <w:rsid w:val="00556107"/>
    <w:rsid w:val="00563678"/>
    <w:rsid w:val="005647C9"/>
    <w:rsid w:val="00570220"/>
    <w:rsid w:val="005714C4"/>
    <w:rsid w:val="00575D3C"/>
    <w:rsid w:val="0058657E"/>
    <w:rsid w:val="00586BB5"/>
    <w:rsid w:val="00587215"/>
    <w:rsid w:val="00596E31"/>
    <w:rsid w:val="005A1AE1"/>
    <w:rsid w:val="005A4AB7"/>
    <w:rsid w:val="005A73F0"/>
    <w:rsid w:val="005B0208"/>
    <w:rsid w:val="005C1F37"/>
    <w:rsid w:val="005C2DE2"/>
    <w:rsid w:val="005C5546"/>
    <w:rsid w:val="005C621E"/>
    <w:rsid w:val="005C7107"/>
    <w:rsid w:val="005D3428"/>
    <w:rsid w:val="005D573B"/>
    <w:rsid w:val="005D68BE"/>
    <w:rsid w:val="005D6C61"/>
    <w:rsid w:val="005D7068"/>
    <w:rsid w:val="005E0016"/>
    <w:rsid w:val="005E02DD"/>
    <w:rsid w:val="005E5207"/>
    <w:rsid w:val="005F378F"/>
    <w:rsid w:val="005F392C"/>
    <w:rsid w:val="005F45E9"/>
    <w:rsid w:val="005F4B5E"/>
    <w:rsid w:val="005F51DA"/>
    <w:rsid w:val="006011F7"/>
    <w:rsid w:val="006022B8"/>
    <w:rsid w:val="00603070"/>
    <w:rsid w:val="006030B3"/>
    <w:rsid w:val="00607FF4"/>
    <w:rsid w:val="006105E9"/>
    <w:rsid w:val="00612291"/>
    <w:rsid w:val="006128C1"/>
    <w:rsid w:val="00613DCD"/>
    <w:rsid w:val="006141FF"/>
    <w:rsid w:val="00621BAF"/>
    <w:rsid w:val="00624122"/>
    <w:rsid w:val="00626A62"/>
    <w:rsid w:val="006301C1"/>
    <w:rsid w:val="006322B8"/>
    <w:rsid w:val="006345BE"/>
    <w:rsid w:val="00640BC1"/>
    <w:rsid w:val="00641E6B"/>
    <w:rsid w:val="006436BC"/>
    <w:rsid w:val="0064418E"/>
    <w:rsid w:val="00646F53"/>
    <w:rsid w:val="006511C1"/>
    <w:rsid w:val="00651A24"/>
    <w:rsid w:val="00652C21"/>
    <w:rsid w:val="006568AA"/>
    <w:rsid w:val="0066257A"/>
    <w:rsid w:val="00665CE5"/>
    <w:rsid w:val="006702E7"/>
    <w:rsid w:val="0067427A"/>
    <w:rsid w:val="0068102D"/>
    <w:rsid w:val="00686A67"/>
    <w:rsid w:val="0068703A"/>
    <w:rsid w:val="006921EF"/>
    <w:rsid w:val="00695B8B"/>
    <w:rsid w:val="00696062"/>
    <w:rsid w:val="006A0AF0"/>
    <w:rsid w:val="006A665B"/>
    <w:rsid w:val="006B06A8"/>
    <w:rsid w:val="006B0F67"/>
    <w:rsid w:val="006B266F"/>
    <w:rsid w:val="006B3FF3"/>
    <w:rsid w:val="006B6E8B"/>
    <w:rsid w:val="006C0BDF"/>
    <w:rsid w:val="006C36F8"/>
    <w:rsid w:val="006C6245"/>
    <w:rsid w:val="006C64F5"/>
    <w:rsid w:val="006D0E09"/>
    <w:rsid w:val="006D1AA2"/>
    <w:rsid w:val="006D2F32"/>
    <w:rsid w:val="006D784C"/>
    <w:rsid w:val="006D791A"/>
    <w:rsid w:val="006E039A"/>
    <w:rsid w:val="006F0343"/>
    <w:rsid w:val="006F15F8"/>
    <w:rsid w:val="006F3B45"/>
    <w:rsid w:val="006F4FCC"/>
    <w:rsid w:val="006F5938"/>
    <w:rsid w:val="006F6477"/>
    <w:rsid w:val="0070532B"/>
    <w:rsid w:val="00705374"/>
    <w:rsid w:val="00706B6C"/>
    <w:rsid w:val="00707B32"/>
    <w:rsid w:val="0071146B"/>
    <w:rsid w:val="00716CB8"/>
    <w:rsid w:val="00716F36"/>
    <w:rsid w:val="00726EAD"/>
    <w:rsid w:val="00730FB4"/>
    <w:rsid w:val="00732731"/>
    <w:rsid w:val="007330E3"/>
    <w:rsid w:val="007356AE"/>
    <w:rsid w:val="00740002"/>
    <w:rsid w:val="00742735"/>
    <w:rsid w:val="00742E62"/>
    <w:rsid w:val="00746EE4"/>
    <w:rsid w:val="00752700"/>
    <w:rsid w:val="00752A15"/>
    <w:rsid w:val="00757A6F"/>
    <w:rsid w:val="00763D2B"/>
    <w:rsid w:val="00766873"/>
    <w:rsid w:val="0076720A"/>
    <w:rsid w:val="00767480"/>
    <w:rsid w:val="0076766F"/>
    <w:rsid w:val="007718DB"/>
    <w:rsid w:val="007720EB"/>
    <w:rsid w:val="00782D3A"/>
    <w:rsid w:val="007857FA"/>
    <w:rsid w:val="00785995"/>
    <w:rsid w:val="00787AFF"/>
    <w:rsid w:val="0079513F"/>
    <w:rsid w:val="00796FAB"/>
    <w:rsid w:val="007A5164"/>
    <w:rsid w:val="007A6214"/>
    <w:rsid w:val="007A79C3"/>
    <w:rsid w:val="007B05EF"/>
    <w:rsid w:val="007B085D"/>
    <w:rsid w:val="007B0CE0"/>
    <w:rsid w:val="007B1E22"/>
    <w:rsid w:val="007B3442"/>
    <w:rsid w:val="007B41EB"/>
    <w:rsid w:val="007B45C5"/>
    <w:rsid w:val="007B6E27"/>
    <w:rsid w:val="007C1441"/>
    <w:rsid w:val="007C4243"/>
    <w:rsid w:val="007C53CF"/>
    <w:rsid w:val="007C7A6B"/>
    <w:rsid w:val="007C7B3B"/>
    <w:rsid w:val="007D2E88"/>
    <w:rsid w:val="007E34CE"/>
    <w:rsid w:val="007E46A1"/>
    <w:rsid w:val="007F02C8"/>
    <w:rsid w:val="007F4511"/>
    <w:rsid w:val="007F5540"/>
    <w:rsid w:val="008034D9"/>
    <w:rsid w:val="00805D5A"/>
    <w:rsid w:val="008075F4"/>
    <w:rsid w:val="00812755"/>
    <w:rsid w:val="00816434"/>
    <w:rsid w:val="008177B2"/>
    <w:rsid w:val="00820490"/>
    <w:rsid w:val="0082265D"/>
    <w:rsid w:val="00833F30"/>
    <w:rsid w:val="00834992"/>
    <w:rsid w:val="00835370"/>
    <w:rsid w:val="008357DD"/>
    <w:rsid w:val="00840175"/>
    <w:rsid w:val="00842D71"/>
    <w:rsid w:val="00844C4C"/>
    <w:rsid w:val="00854BBC"/>
    <w:rsid w:val="0085561E"/>
    <w:rsid w:val="00855B6C"/>
    <w:rsid w:val="00856A2B"/>
    <w:rsid w:val="008611A5"/>
    <w:rsid w:val="0086159F"/>
    <w:rsid w:val="00863011"/>
    <w:rsid w:val="00871E43"/>
    <w:rsid w:val="00872BAB"/>
    <w:rsid w:val="008737EC"/>
    <w:rsid w:val="00876BE5"/>
    <w:rsid w:val="00884EA6"/>
    <w:rsid w:val="008867AB"/>
    <w:rsid w:val="00887420"/>
    <w:rsid w:val="00887BCA"/>
    <w:rsid w:val="0089145D"/>
    <w:rsid w:val="0089695A"/>
    <w:rsid w:val="008B23B4"/>
    <w:rsid w:val="008B3DB2"/>
    <w:rsid w:val="008C3542"/>
    <w:rsid w:val="008C6E31"/>
    <w:rsid w:val="008C7659"/>
    <w:rsid w:val="008C7B28"/>
    <w:rsid w:val="008D0AE9"/>
    <w:rsid w:val="008D27B7"/>
    <w:rsid w:val="008D311A"/>
    <w:rsid w:val="008D388C"/>
    <w:rsid w:val="008E0581"/>
    <w:rsid w:val="008E1D9C"/>
    <w:rsid w:val="008E509E"/>
    <w:rsid w:val="008E5C6F"/>
    <w:rsid w:val="008E624C"/>
    <w:rsid w:val="008F19CE"/>
    <w:rsid w:val="009019A2"/>
    <w:rsid w:val="00916C77"/>
    <w:rsid w:val="00916EF2"/>
    <w:rsid w:val="00917E42"/>
    <w:rsid w:val="00917FD6"/>
    <w:rsid w:val="00920349"/>
    <w:rsid w:val="00921047"/>
    <w:rsid w:val="009237CF"/>
    <w:rsid w:val="00924207"/>
    <w:rsid w:val="00926391"/>
    <w:rsid w:val="00932A31"/>
    <w:rsid w:val="00934BA0"/>
    <w:rsid w:val="00940A37"/>
    <w:rsid w:val="00941A6F"/>
    <w:rsid w:val="0095415F"/>
    <w:rsid w:val="00954EB1"/>
    <w:rsid w:val="00954EBF"/>
    <w:rsid w:val="009651CF"/>
    <w:rsid w:val="00965FC7"/>
    <w:rsid w:val="0096682B"/>
    <w:rsid w:val="009728E2"/>
    <w:rsid w:val="00975200"/>
    <w:rsid w:val="0099180E"/>
    <w:rsid w:val="00996C73"/>
    <w:rsid w:val="009A3DA1"/>
    <w:rsid w:val="009B0A69"/>
    <w:rsid w:val="009B342B"/>
    <w:rsid w:val="009C10DD"/>
    <w:rsid w:val="009C132A"/>
    <w:rsid w:val="009C2956"/>
    <w:rsid w:val="009D007F"/>
    <w:rsid w:val="009D7B7B"/>
    <w:rsid w:val="009E10D3"/>
    <w:rsid w:val="009E2F15"/>
    <w:rsid w:val="009F0062"/>
    <w:rsid w:val="009F2800"/>
    <w:rsid w:val="009F427D"/>
    <w:rsid w:val="009F64AD"/>
    <w:rsid w:val="00A005EC"/>
    <w:rsid w:val="00A0086F"/>
    <w:rsid w:val="00A012D9"/>
    <w:rsid w:val="00A0362A"/>
    <w:rsid w:val="00A03D36"/>
    <w:rsid w:val="00A10630"/>
    <w:rsid w:val="00A118F6"/>
    <w:rsid w:val="00A12D1A"/>
    <w:rsid w:val="00A16458"/>
    <w:rsid w:val="00A31739"/>
    <w:rsid w:val="00A32661"/>
    <w:rsid w:val="00A343F4"/>
    <w:rsid w:val="00A371B2"/>
    <w:rsid w:val="00A407EB"/>
    <w:rsid w:val="00A41318"/>
    <w:rsid w:val="00A421D1"/>
    <w:rsid w:val="00A521D0"/>
    <w:rsid w:val="00A53659"/>
    <w:rsid w:val="00A53904"/>
    <w:rsid w:val="00A54799"/>
    <w:rsid w:val="00A643A1"/>
    <w:rsid w:val="00A741D1"/>
    <w:rsid w:val="00A76644"/>
    <w:rsid w:val="00A76C9F"/>
    <w:rsid w:val="00A80D87"/>
    <w:rsid w:val="00A812FA"/>
    <w:rsid w:val="00A8395A"/>
    <w:rsid w:val="00A8466C"/>
    <w:rsid w:val="00A86DC9"/>
    <w:rsid w:val="00A8704A"/>
    <w:rsid w:val="00A929F2"/>
    <w:rsid w:val="00A92E65"/>
    <w:rsid w:val="00A94146"/>
    <w:rsid w:val="00A94959"/>
    <w:rsid w:val="00A94EFB"/>
    <w:rsid w:val="00A95468"/>
    <w:rsid w:val="00A95B99"/>
    <w:rsid w:val="00A97893"/>
    <w:rsid w:val="00A97A48"/>
    <w:rsid w:val="00AA7EE4"/>
    <w:rsid w:val="00AB2FE3"/>
    <w:rsid w:val="00AB4C7D"/>
    <w:rsid w:val="00AB4CEB"/>
    <w:rsid w:val="00AC17C3"/>
    <w:rsid w:val="00AC7ACF"/>
    <w:rsid w:val="00AD4017"/>
    <w:rsid w:val="00AD6C05"/>
    <w:rsid w:val="00AE1EE6"/>
    <w:rsid w:val="00AE6063"/>
    <w:rsid w:val="00AF2B94"/>
    <w:rsid w:val="00AF31C1"/>
    <w:rsid w:val="00AF4044"/>
    <w:rsid w:val="00AF474A"/>
    <w:rsid w:val="00AF481F"/>
    <w:rsid w:val="00AF7146"/>
    <w:rsid w:val="00AF7514"/>
    <w:rsid w:val="00B016D4"/>
    <w:rsid w:val="00B02CD2"/>
    <w:rsid w:val="00B02E4E"/>
    <w:rsid w:val="00B03D63"/>
    <w:rsid w:val="00B03F5D"/>
    <w:rsid w:val="00B04DB9"/>
    <w:rsid w:val="00B05A36"/>
    <w:rsid w:val="00B05B25"/>
    <w:rsid w:val="00B11E99"/>
    <w:rsid w:val="00B123A3"/>
    <w:rsid w:val="00B14E6B"/>
    <w:rsid w:val="00B161D6"/>
    <w:rsid w:val="00B16F0E"/>
    <w:rsid w:val="00B21BCA"/>
    <w:rsid w:val="00B235FB"/>
    <w:rsid w:val="00B2494F"/>
    <w:rsid w:val="00B2553B"/>
    <w:rsid w:val="00B2628B"/>
    <w:rsid w:val="00B303D7"/>
    <w:rsid w:val="00B33790"/>
    <w:rsid w:val="00B40088"/>
    <w:rsid w:val="00B40853"/>
    <w:rsid w:val="00B426E0"/>
    <w:rsid w:val="00B43FEA"/>
    <w:rsid w:val="00B45470"/>
    <w:rsid w:val="00B50167"/>
    <w:rsid w:val="00B5028A"/>
    <w:rsid w:val="00B54F7C"/>
    <w:rsid w:val="00B60901"/>
    <w:rsid w:val="00B61FC6"/>
    <w:rsid w:val="00B63419"/>
    <w:rsid w:val="00B66853"/>
    <w:rsid w:val="00B724F2"/>
    <w:rsid w:val="00B72FEE"/>
    <w:rsid w:val="00B73358"/>
    <w:rsid w:val="00B7406A"/>
    <w:rsid w:val="00B74A4A"/>
    <w:rsid w:val="00B76032"/>
    <w:rsid w:val="00B771C3"/>
    <w:rsid w:val="00B82D31"/>
    <w:rsid w:val="00B8390E"/>
    <w:rsid w:val="00B84D1F"/>
    <w:rsid w:val="00B8545A"/>
    <w:rsid w:val="00B9469B"/>
    <w:rsid w:val="00B94DF2"/>
    <w:rsid w:val="00B96D08"/>
    <w:rsid w:val="00BA3714"/>
    <w:rsid w:val="00BA4EF1"/>
    <w:rsid w:val="00BA51D7"/>
    <w:rsid w:val="00BA55B2"/>
    <w:rsid w:val="00BA5D27"/>
    <w:rsid w:val="00BA6E23"/>
    <w:rsid w:val="00BA7238"/>
    <w:rsid w:val="00BB1FAE"/>
    <w:rsid w:val="00BB6949"/>
    <w:rsid w:val="00BB6990"/>
    <w:rsid w:val="00BB7F13"/>
    <w:rsid w:val="00BC324D"/>
    <w:rsid w:val="00BC47F9"/>
    <w:rsid w:val="00BD535B"/>
    <w:rsid w:val="00BE1FC4"/>
    <w:rsid w:val="00BE21CC"/>
    <w:rsid w:val="00BE559F"/>
    <w:rsid w:val="00BE67D4"/>
    <w:rsid w:val="00BE6C3E"/>
    <w:rsid w:val="00BE7673"/>
    <w:rsid w:val="00BF0E2D"/>
    <w:rsid w:val="00BF1A32"/>
    <w:rsid w:val="00BF68BA"/>
    <w:rsid w:val="00BF73FC"/>
    <w:rsid w:val="00C001A3"/>
    <w:rsid w:val="00C028BD"/>
    <w:rsid w:val="00C05A57"/>
    <w:rsid w:val="00C05E68"/>
    <w:rsid w:val="00C10611"/>
    <w:rsid w:val="00C12923"/>
    <w:rsid w:val="00C13C3C"/>
    <w:rsid w:val="00C26940"/>
    <w:rsid w:val="00C3293F"/>
    <w:rsid w:val="00C32F6F"/>
    <w:rsid w:val="00C3332F"/>
    <w:rsid w:val="00C366E1"/>
    <w:rsid w:val="00C36C5C"/>
    <w:rsid w:val="00C41C0C"/>
    <w:rsid w:val="00C447B2"/>
    <w:rsid w:val="00C50487"/>
    <w:rsid w:val="00C523B2"/>
    <w:rsid w:val="00C52CD4"/>
    <w:rsid w:val="00C55FC0"/>
    <w:rsid w:val="00C560CF"/>
    <w:rsid w:val="00C60D4F"/>
    <w:rsid w:val="00C6359B"/>
    <w:rsid w:val="00C642A9"/>
    <w:rsid w:val="00C6561A"/>
    <w:rsid w:val="00C65D88"/>
    <w:rsid w:val="00C677F0"/>
    <w:rsid w:val="00C740B0"/>
    <w:rsid w:val="00C744F8"/>
    <w:rsid w:val="00C748B4"/>
    <w:rsid w:val="00C83BD7"/>
    <w:rsid w:val="00C848D8"/>
    <w:rsid w:val="00C85878"/>
    <w:rsid w:val="00C86351"/>
    <w:rsid w:val="00C86970"/>
    <w:rsid w:val="00C8793E"/>
    <w:rsid w:val="00C87EC4"/>
    <w:rsid w:val="00C94292"/>
    <w:rsid w:val="00C94907"/>
    <w:rsid w:val="00C953D9"/>
    <w:rsid w:val="00C97818"/>
    <w:rsid w:val="00CA2F8D"/>
    <w:rsid w:val="00CA3EE9"/>
    <w:rsid w:val="00CB006C"/>
    <w:rsid w:val="00CB1FA5"/>
    <w:rsid w:val="00CB301D"/>
    <w:rsid w:val="00CB40F2"/>
    <w:rsid w:val="00CB6896"/>
    <w:rsid w:val="00CC40F7"/>
    <w:rsid w:val="00CC4909"/>
    <w:rsid w:val="00CD32AD"/>
    <w:rsid w:val="00CD4E03"/>
    <w:rsid w:val="00CD539B"/>
    <w:rsid w:val="00CD63A4"/>
    <w:rsid w:val="00CE2FEA"/>
    <w:rsid w:val="00CE4519"/>
    <w:rsid w:val="00CE77F6"/>
    <w:rsid w:val="00CF2AD7"/>
    <w:rsid w:val="00CF4636"/>
    <w:rsid w:val="00CF6813"/>
    <w:rsid w:val="00CF6DAB"/>
    <w:rsid w:val="00D00A32"/>
    <w:rsid w:val="00D03523"/>
    <w:rsid w:val="00D04C28"/>
    <w:rsid w:val="00D05131"/>
    <w:rsid w:val="00D2284A"/>
    <w:rsid w:val="00D261BD"/>
    <w:rsid w:val="00D27E2E"/>
    <w:rsid w:val="00D31D45"/>
    <w:rsid w:val="00D35830"/>
    <w:rsid w:val="00D36270"/>
    <w:rsid w:val="00D375A5"/>
    <w:rsid w:val="00D40BDF"/>
    <w:rsid w:val="00D40D03"/>
    <w:rsid w:val="00D41BAE"/>
    <w:rsid w:val="00D44EB2"/>
    <w:rsid w:val="00D4643C"/>
    <w:rsid w:val="00D531D2"/>
    <w:rsid w:val="00D56EAD"/>
    <w:rsid w:val="00D6056E"/>
    <w:rsid w:val="00D6278A"/>
    <w:rsid w:val="00D66813"/>
    <w:rsid w:val="00D71C42"/>
    <w:rsid w:val="00D72D0E"/>
    <w:rsid w:val="00D73BDF"/>
    <w:rsid w:val="00D74C6E"/>
    <w:rsid w:val="00D7580A"/>
    <w:rsid w:val="00D75941"/>
    <w:rsid w:val="00D7681C"/>
    <w:rsid w:val="00D76901"/>
    <w:rsid w:val="00D77CC1"/>
    <w:rsid w:val="00D823C3"/>
    <w:rsid w:val="00D85999"/>
    <w:rsid w:val="00D87EC5"/>
    <w:rsid w:val="00D92EAC"/>
    <w:rsid w:val="00D931FF"/>
    <w:rsid w:val="00D94732"/>
    <w:rsid w:val="00D96631"/>
    <w:rsid w:val="00D97F36"/>
    <w:rsid w:val="00DA1D2B"/>
    <w:rsid w:val="00DA23C1"/>
    <w:rsid w:val="00DA2EDE"/>
    <w:rsid w:val="00DA6CB3"/>
    <w:rsid w:val="00DA6DB1"/>
    <w:rsid w:val="00DB0D9C"/>
    <w:rsid w:val="00DB12C3"/>
    <w:rsid w:val="00DB7E87"/>
    <w:rsid w:val="00DC2713"/>
    <w:rsid w:val="00DD5149"/>
    <w:rsid w:val="00DD5FC8"/>
    <w:rsid w:val="00DD6BF4"/>
    <w:rsid w:val="00DE5868"/>
    <w:rsid w:val="00DF0D06"/>
    <w:rsid w:val="00DF6C8E"/>
    <w:rsid w:val="00E141CD"/>
    <w:rsid w:val="00E1533C"/>
    <w:rsid w:val="00E15809"/>
    <w:rsid w:val="00E1610B"/>
    <w:rsid w:val="00E1621D"/>
    <w:rsid w:val="00E16B0C"/>
    <w:rsid w:val="00E17139"/>
    <w:rsid w:val="00E178EF"/>
    <w:rsid w:val="00E21323"/>
    <w:rsid w:val="00E23006"/>
    <w:rsid w:val="00E266FA"/>
    <w:rsid w:val="00E365FB"/>
    <w:rsid w:val="00E36B61"/>
    <w:rsid w:val="00E37449"/>
    <w:rsid w:val="00E400C7"/>
    <w:rsid w:val="00E508BF"/>
    <w:rsid w:val="00E5266D"/>
    <w:rsid w:val="00E56519"/>
    <w:rsid w:val="00E56AC1"/>
    <w:rsid w:val="00E60D14"/>
    <w:rsid w:val="00E61C51"/>
    <w:rsid w:val="00E624A9"/>
    <w:rsid w:val="00E6265D"/>
    <w:rsid w:val="00E717AE"/>
    <w:rsid w:val="00E71A4D"/>
    <w:rsid w:val="00E74CEB"/>
    <w:rsid w:val="00E8033F"/>
    <w:rsid w:val="00E82C71"/>
    <w:rsid w:val="00E83C87"/>
    <w:rsid w:val="00E853D0"/>
    <w:rsid w:val="00E863F5"/>
    <w:rsid w:val="00E8677F"/>
    <w:rsid w:val="00E87333"/>
    <w:rsid w:val="00E91C02"/>
    <w:rsid w:val="00E968D4"/>
    <w:rsid w:val="00E97030"/>
    <w:rsid w:val="00EA423B"/>
    <w:rsid w:val="00EA5248"/>
    <w:rsid w:val="00EB0C8A"/>
    <w:rsid w:val="00EC2048"/>
    <w:rsid w:val="00EC2E14"/>
    <w:rsid w:val="00EC4BE8"/>
    <w:rsid w:val="00EC59BF"/>
    <w:rsid w:val="00EC731E"/>
    <w:rsid w:val="00ED1C8A"/>
    <w:rsid w:val="00ED2FEC"/>
    <w:rsid w:val="00ED3050"/>
    <w:rsid w:val="00ED7EA5"/>
    <w:rsid w:val="00EE0B9F"/>
    <w:rsid w:val="00EE5845"/>
    <w:rsid w:val="00EE5BA4"/>
    <w:rsid w:val="00EE7AD2"/>
    <w:rsid w:val="00EF0971"/>
    <w:rsid w:val="00EF14B8"/>
    <w:rsid w:val="00EF3253"/>
    <w:rsid w:val="00EF474F"/>
    <w:rsid w:val="00F01142"/>
    <w:rsid w:val="00F01C15"/>
    <w:rsid w:val="00F01CC4"/>
    <w:rsid w:val="00F045CC"/>
    <w:rsid w:val="00F1017A"/>
    <w:rsid w:val="00F2158B"/>
    <w:rsid w:val="00F215B5"/>
    <w:rsid w:val="00F21795"/>
    <w:rsid w:val="00F21AAF"/>
    <w:rsid w:val="00F25182"/>
    <w:rsid w:val="00F27872"/>
    <w:rsid w:val="00F356AF"/>
    <w:rsid w:val="00F37A81"/>
    <w:rsid w:val="00F37EAD"/>
    <w:rsid w:val="00F420D5"/>
    <w:rsid w:val="00F42CDC"/>
    <w:rsid w:val="00F4451C"/>
    <w:rsid w:val="00F4519D"/>
    <w:rsid w:val="00F45292"/>
    <w:rsid w:val="00F51A14"/>
    <w:rsid w:val="00F53183"/>
    <w:rsid w:val="00F54D72"/>
    <w:rsid w:val="00F55471"/>
    <w:rsid w:val="00F5549D"/>
    <w:rsid w:val="00F63630"/>
    <w:rsid w:val="00F66BB3"/>
    <w:rsid w:val="00F73082"/>
    <w:rsid w:val="00F73A3C"/>
    <w:rsid w:val="00F74867"/>
    <w:rsid w:val="00F77083"/>
    <w:rsid w:val="00F8100E"/>
    <w:rsid w:val="00F872A8"/>
    <w:rsid w:val="00F93474"/>
    <w:rsid w:val="00F94D41"/>
    <w:rsid w:val="00F96DFC"/>
    <w:rsid w:val="00FA698D"/>
    <w:rsid w:val="00FA7711"/>
    <w:rsid w:val="00FB1396"/>
    <w:rsid w:val="00FB1BEC"/>
    <w:rsid w:val="00FB4932"/>
    <w:rsid w:val="00FB6182"/>
    <w:rsid w:val="00FB6CD1"/>
    <w:rsid w:val="00FC0EA0"/>
    <w:rsid w:val="00FC1D98"/>
    <w:rsid w:val="00FC3BD7"/>
    <w:rsid w:val="00FC48A4"/>
    <w:rsid w:val="00FC4F2B"/>
    <w:rsid w:val="00FC50FD"/>
    <w:rsid w:val="00FD1443"/>
    <w:rsid w:val="00FD4D3F"/>
    <w:rsid w:val="00FD6B8A"/>
    <w:rsid w:val="00FD7F97"/>
    <w:rsid w:val="00FE1AF4"/>
    <w:rsid w:val="00FE2315"/>
    <w:rsid w:val="00FE3458"/>
    <w:rsid w:val="00FE34C4"/>
    <w:rsid w:val="00FE3584"/>
    <w:rsid w:val="00FF0B67"/>
    <w:rsid w:val="00FF0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4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g">
    <w:name w:val="rg"/>
    <w:basedOn w:val="a"/>
    <w:rsid w:val="00074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76BE5"/>
    <w:pPr>
      <w:suppressAutoHyphens/>
      <w:autoSpaceDN w:val="0"/>
      <w:textAlignment w:val="baseline"/>
    </w:pPr>
    <w:rPr>
      <w:rFonts w:ascii="Calibri" w:eastAsia="Lucida Sans Unicode" w:hAnsi="Calibri" w:cs="F"/>
      <w:kern w:val="3"/>
      <w:lang w:val="ru-RU"/>
    </w:rPr>
  </w:style>
  <w:style w:type="character" w:styleId="a3">
    <w:name w:val="annotation reference"/>
    <w:basedOn w:val="a0"/>
    <w:uiPriority w:val="99"/>
    <w:semiHidden/>
    <w:unhideWhenUsed/>
    <w:rsid w:val="00876B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6BE5"/>
    <w:pPr>
      <w:widowControl w:val="0"/>
      <w:suppressAutoHyphens/>
      <w:autoSpaceDN w:val="0"/>
      <w:spacing w:after="200"/>
      <w:textAlignment w:val="baseline"/>
    </w:pPr>
    <w:rPr>
      <w:rFonts w:ascii="Calibri" w:eastAsia="Lucida Sans Unicode" w:hAnsi="Calibri" w:cs="F"/>
      <w:kern w:val="3"/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76BE5"/>
    <w:rPr>
      <w:rFonts w:ascii="Calibri" w:eastAsia="Lucida Sans Unicode" w:hAnsi="Calibri" w:cs="F"/>
      <w:kern w:val="3"/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76B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6BE5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6A665B"/>
    <w:rPr>
      <w:color w:val="0000FF"/>
      <w:u w:val="single"/>
    </w:rPr>
  </w:style>
  <w:style w:type="paragraph" w:customStyle="1" w:styleId="1">
    <w:name w:val="Абзац списка1"/>
    <w:basedOn w:val="a"/>
    <w:qFormat/>
    <w:rsid w:val="0082049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FontStyle59">
    <w:name w:val="Font Style59"/>
    <w:rsid w:val="0082049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4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g">
    <w:name w:val="rg"/>
    <w:basedOn w:val="a"/>
    <w:rsid w:val="00074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76BE5"/>
    <w:pPr>
      <w:suppressAutoHyphens/>
      <w:autoSpaceDN w:val="0"/>
      <w:textAlignment w:val="baseline"/>
    </w:pPr>
    <w:rPr>
      <w:rFonts w:ascii="Calibri" w:eastAsia="Lucida Sans Unicode" w:hAnsi="Calibri" w:cs="F"/>
      <w:kern w:val="3"/>
      <w:lang w:val="ru-RU"/>
    </w:rPr>
  </w:style>
  <w:style w:type="character" w:styleId="a3">
    <w:name w:val="annotation reference"/>
    <w:basedOn w:val="a0"/>
    <w:uiPriority w:val="99"/>
    <w:semiHidden/>
    <w:unhideWhenUsed/>
    <w:rsid w:val="00876B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6BE5"/>
    <w:pPr>
      <w:widowControl w:val="0"/>
      <w:suppressAutoHyphens/>
      <w:autoSpaceDN w:val="0"/>
      <w:spacing w:after="200"/>
      <w:textAlignment w:val="baseline"/>
    </w:pPr>
    <w:rPr>
      <w:rFonts w:ascii="Calibri" w:eastAsia="Lucida Sans Unicode" w:hAnsi="Calibri" w:cs="F"/>
      <w:kern w:val="3"/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76BE5"/>
    <w:rPr>
      <w:rFonts w:ascii="Calibri" w:eastAsia="Lucida Sans Unicode" w:hAnsi="Calibri" w:cs="F"/>
      <w:kern w:val="3"/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76B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6BE5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6A66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Pruteanu Galina</dc:creator>
  <cp:lastModifiedBy>Diana</cp:lastModifiedBy>
  <cp:revision>31</cp:revision>
  <cp:lastPrinted>2020-12-18T11:00:00Z</cp:lastPrinted>
  <dcterms:created xsi:type="dcterms:W3CDTF">2020-12-18T09:37:00Z</dcterms:created>
  <dcterms:modified xsi:type="dcterms:W3CDTF">2021-06-24T13:22:00Z</dcterms:modified>
</cp:coreProperties>
</file>