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07" w:rsidRPr="00A46E01" w:rsidRDefault="004F7907" w:rsidP="008A5DF0">
      <w:pPr>
        <w:pStyle w:val="Frspaiere"/>
        <w:jc w:val="center"/>
        <w:rPr>
          <w:b/>
          <w:sz w:val="28"/>
          <w:szCs w:val="28"/>
          <w:lang w:val="ro-RO"/>
        </w:rPr>
      </w:pPr>
      <w:r w:rsidRPr="00A46E01">
        <w:rPr>
          <w:b/>
          <w:sz w:val="28"/>
          <w:szCs w:val="28"/>
          <w:lang w:val="ro-RO"/>
        </w:rPr>
        <w:t>Notă informativă</w:t>
      </w:r>
    </w:p>
    <w:p w:rsidR="004F7907" w:rsidRPr="00A46E01" w:rsidRDefault="004F7907" w:rsidP="008A5DF0">
      <w:pPr>
        <w:pStyle w:val="Frspaiere"/>
        <w:jc w:val="center"/>
        <w:rPr>
          <w:b/>
          <w:sz w:val="28"/>
          <w:szCs w:val="28"/>
          <w:lang w:val="ro-RO"/>
        </w:rPr>
      </w:pPr>
      <w:r w:rsidRPr="00A46E01">
        <w:rPr>
          <w:b/>
          <w:sz w:val="28"/>
          <w:szCs w:val="28"/>
          <w:lang w:val="ro-RO"/>
        </w:rPr>
        <w:t>la proiectul hotărîrii Guvernului</w:t>
      </w:r>
    </w:p>
    <w:p w:rsidR="004F7907" w:rsidRPr="00A46E01" w:rsidRDefault="004F7907" w:rsidP="008A5DF0">
      <w:pPr>
        <w:pStyle w:val="Frspaiere"/>
        <w:jc w:val="center"/>
        <w:rPr>
          <w:sz w:val="28"/>
          <w:szCs w:val="28"/>
          <w:lang w:val="ro-RO"/>
        </w:rPr>
      </w:pPr>
      <w:r w:rsidRPr="00A46E01">
        <w:rPr>
          <w:sz w:val="28"/>
          <w:szCs w:val="28"/>
          <w:lang w:val="ro-RO"/>
        </w:rPr>
        <w:t xml:space="preserve">,,Cu privire la transmiterea unor </w:t>
      </w:r>
      <w:r w:rsidR="008104A0" w:rsidRPr="00A46E01">
        <w:rPr>
          <w:sz w:val="28"/>
          <w:szCs w:val="28"/>
          <w:lang w:val="ro-RO"/>
        </w:rPr>
        <w:t>bunuri materiale</w:t>
      </w:r>
      <w:r w:rsidRPr="00A46E01">
        <w:rPr>
          <w:sz w:val="28"/>
          <w:szCs w:val="28"/>
          <w:lang w:val="ro-RO"/>
        </w:rPr>
        <w:t>”</w:t>
      </w:r>
    </w:p>
    <w:p w:rsidR="004F7907" w:rsidRPr="00A46E01" w:rsidRDefault="004F7907" w:rsidP="008A5DF0">
      <w:pPr>
        <w:pStyle w:val="Frspaiere"/>
        <w:jc w:val="center"/>
        <w:rPr>
          <w:w w:val="105"/>
          <w:sz w:val="28"/>
          <w:szCs w:val="28"/>
          <w:lang w:val="ro-RO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3"/>
      </w:tblGrid>
      <w:tr w:rsidR="004F7907" w:rsidRPr="00A46E01" w:rsidTr="00B61103">
        <w:tc>
          <w:tcPr>
            <w:tcW w:w="5000" w:type="pct"/>
          </w:tcPr>
          <w:p w:rsidR="00211284" w:rsidRPr="00A46E01" w:rsidRDefault="004F7907" w:rsidP="008A5DF0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4F7907" w:rsidRPr="00A46E01" w:rsidTr="00B61103">
        <w:tc>
          <w:tcPr>
            <w:tcW w:w="5000" w:type="pct"/>
          </w:tcPr>
          <w:p w:rsidR="00211284" w:rsidRPr="00A46E01" w:rsidRDefault="004F7907" w:rsidP="008A5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sz w:val="28"/>
                <w:szCs w:val="28"/>
              </w:rPr>
              <w:t xml:space="preserve">Proiectul de hotărîre a Guvernului ,,Cu privire la transmiterea </w:t>
            </w:r>
            <w:r w:rsidR="00813009" w:rsidRPr="00A46E01">
              <w:rPr>
                <w:rFonts w:ascii="Times New Roman" w:hAnsi="Times New Roman" w:cs="Times New Roman"/>
                <w:sz w:val="28"/>
                <w:szCs w:val="28"/>
              </w:rPr>
              <w:t>unor bunuri materiale</w:t>
            </w:r>
            <w:r w:rsidRPr="00A46E0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04560" w:rsidRPr="00A46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E01">
              <w:rPr>
                <w:rFonts w:ascii="Times New Roman" w:hAnsi="Times New Roman" w:cs="Times New Roman"/>
                <w:sz w:val="28"/>
                <w:szCs w:val="28"/>
              </w:rPr>
              <w:t>(în continuare – proiect) este elaborat de Ministerul Sănătății, Muncii și Protecției Sociale.</w:t>
            </w:r>
          </w:p>
        </w:tc>
      </w:tr>
      <w:tr w:rsidR="004F7907" w:rsidRPr="00A46E01" w:rsidTr="00B61103">
        <w:trPr>
          <w:trHeight w:val="773"/>
        </w:trPr>
        <w:tc>
          <w:tcPr>
            <w:tcW w:w="5000" w:type="pct"/>
          </w:tcPr>
          <w:p w:rsidR="004F7907" w:rsidRPr="00A46E01" w:rsidRDefault="004F7907" w:rsidP="008A5D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2. Condiţiile ce au impus elaborarea proiectului de act normativ şi finalităţile urmărite</w:t>
            </w:r>
            <w:r w:rsidR="00504560"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F7907" w:rsidRPr="00A46E01" w:rsidTr="00B61103">
        <w:tc>
          <w:tcPr>
            <w:tcW w:w="5000" w:type="pct"/>
          </w:tcPr>
          <w:p w:rsidR="001042CD" w:rsidRPr="00411CCB" w:rsidRDefault="00364A8D" w:rsidP="008A5DF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Proiectul de act normativ </w:t>
            </w:r>
            <w:r w:rsidRPr="00411CCB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prenotat</w:t>
            </w:r>
            <w:r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E2D"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este elaborat </w:t>
            </w:r>
            <w:r w:rsidR="001042CD" w:rsidRPr="00411CCB">
              <w:rPr>
                <w:rFonts w:ascii="Times New Roman" w:hAnsi="Times New Roman" w:cs="Times New Roman"/>
                <w:sz w:val="28"/>
                <w:szCs w:val="28"/>
              </w:rPr>
              <w:t>în baza prevederilor</w:t>
            </w:r>
            <w:r w:rsidR="00315598" w:rsidRPr="00411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5598"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art. 8 alin. (1) şi alin. (2) din Legea nr. 523/1999 cu privire la proprietatea publică a unităţilor administrativ-teritoriale </w:t>
            </w:r>
            <w:r w:rsidR="00315598" w:rsidRPr="00411CCB">
              <w:rPr>
                <w:sz w:val="28"/>
                <w:szCs w:val="28"/>
              </w:rPr>
              <w:t>(</w:t>
            </w:r>
            <w:r w:rsidR="00315598" w:rsidRPr="00411CCB">
              <w:rPr>
                <w:rFonts w:ascii="Times New Roman" w:hAnsi="Times New Roman" w:cs="Times New Roman"/>
                <w:sz w:val="28"/>
                <w:szCs w:val="28"/>
              </w:rPr>
              <w:t>Monitorul Oficial al Republicii Moldova, 1999, nr.</w:t>
            </w:r>
            <w:r w:rsidR="00315598" w:rsidRPr="00411C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124-125, art. 611</w:t>
            </w:r>
            <w:r w:rsidR="00315598" w:rsidRPr="00411CCB">
              <w:rPr>
                <w:rFonts w:ascii="Times New Roman" w:hAnsi="Times New Roman" w:cs="Times New Roman"/>
                <w:sz w:val="28"/>
                <w:szCs w:val="28"/>
              </w:rPr>
              <w:t>) şi art. 6 alin. (1) lit. a),</w:t>
            </w:r>
            <w:r w:rsidR="00315598" w:rsidRPr="00411CCB">
              <w:rPr>
                <w:sz w:val="28"/>
                <w:szCs w:val="28"/>
              </w:rPr>
              <w:t xml:space="preserve"> </w:t>
            </w:r>
            <w:r w:rsidR="00315598" w:rsidRPr="00411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art. 14, alin. (1) </w:t>
            </w:r>
            <w:r w:rsidR="00315598" w:rsidRPr="00411C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lit. b) </w:t>
            </w:r>
            <w:r w:rsidR="00315598" w:rsidRPr="00411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din Legea nr. 121/2007 privind administrarea şi deetatizarea proprietăţii publice” </w:t>
            </w:r>
            <w:r w:rsidR="00315598" w:rsidRPr="00411CCB">
              <w:rPr>
                <w:sz w:val="28"/>
                <w:szCs w:val="28"/>
              </w:rPr>
              <w:t>(</w:t>
            </w:r>
            <w:r w:rsidR="00315598"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Monitorul Oficial al Republicii Moldova, 2007, </w:t>
            </w:r>
            <w:r w:rsidR="00315598" w:rsidRPr="00411C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nr. 90-93, art. 401</w:t>
            </w:r>
            <w:r w:rsidR="001042CD" w:rsidRPr="00411C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76E2D" w:rsidRPr="00411CCB" w:rsidRDefault="00D963B2" w:rsidP="008A5DF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</w:pPr>
            <w:r w:rsidRPr="00411CCB">
              <w:rPr>
                <w:rFonts w:ascii="Times New Roman" w:hAnsi="Times New Roman" w:cs="Times New Roman"/>
                <w:sz w:val="28"/>
                <w:szCs w:val="28"/>
              </w:rPr>
              <w:t>Proiectul de act normativ stabileşte transmiterea</w:t>
            </w:r>
            <w:r w:rsidRPr="00411CCB">
              <w:rPr>
                <w:sz w:val="28"/>
                <w:szCs w:val="28"/>
              </w:rPr>
              <w:t xml:space="preserve"> </w:t>
            </w:r>
            <w:r w:rsidR="00F76E2D" w:rsidRPr="00411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 acordul Consiliului raional Nisporeni, din proprietatea statului, administrarea Ministerului Sănătății, Muncii și Protecției Sociale, (gestiunea Centrul Național de Transfuzie a Sîngelui), </w:t>
            </w:r>
            <w:r w:rsidR="00F76E2D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>în proprietatea raionului Nisporeni</w:t>
            </w:r>
            <w:r w:rsidR="002F416C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 xml:space="preserve"> (gestiunea IMSP Spitalul Raional Nisporeni)</w:t>
            </w:r>
            <w:r w:rsidR="00F76E2D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 xml:space="preserve">, </w:t>
            </w:r>
            <w:r w:rsidR="002F6BAE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 xml:space="preserve">a următoarelor </w:t>
            </w:r>
            <w:r w:rsidR="000E5BB9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>bunuri materiale</w:t>
            </w:r>
            <w:r w:rsidR="002F6BAE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>.</w:t>
            </w:r>
          </w:p>
          <w:tbl>
            <w:tblPr>
              <w:tblStyle w:val="GrilTabel"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2715"/>
              <w:gridCol w:w="1141"/>
              <w:gridCol w:w="709"/>
              <w:gridCol w:w="1065"/>
              <w:gridCol w:w="986"/>
              <w:gridCol w:w="1147"/>
              <w:gridCol w:w="1158"/>
            </w:tblGrid>
            <w:tr w:rsidR="002F6BAE" w:rsidRPr="00411CCB" w:rsidTr="003A6280">
              <w:trPr>
                <w:trHeight w:val="422"/>
              </w:trPr>
              <w:tc>
                <w:tcPr>
                  <w:tcW w:w="426" w:type="dxa"/>
                  <w:vMerge w:val="restart"/>
                </w:tcPr>
                <w:p w:rsidR="002F6BAE" w:rsidRPr="00411CCB" w:rsidRDefault="002F6BAE" w:rsidP="003A628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Nr</w:t>
                  </w:r>
                </w:p>
                <w:p w:rsidR="002F6BAE" w:rsidRPr="00411CCB" w:rsidRDefault="002F6BAE" w:rsidP="003A6280">
                  <w:pPr>
                    <w:ind w:right="-174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d/o</w:t>
                  </w:r>
                </w:p>
              </w:tc>
              <w:tc>
                <w:tcPr>
                  <w:tcW w:w="2715" w:type="dxa"/>
                  <w:vMerge w:val="restart"/>
                </w:tcPr>
                <w:p w:rsidR="002F6BAE" w:rsidRPr="00411CCB" w:rsidRDefault="002F6BAE" w:rsidP="003A6280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Denumire</w:t>
                  </w:r>
                </w:p>
              </w:tc>
              <w:tc>
                <w:tcPr>
                  <w:tcW w:w="1141" w:type="dxa"/>
                  <w:vMerge w:val="restart"/>
                </w:tcPr>
                <w:p w:rsidR="003A6280" w:rsidRPr="00411CCB" w:rsidRDefault="002F6BAE" w:rsidP="003A628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 xml:space="preserve">Număr de </w:t>
                  </w:r>
                </w:p>
                <w:p w:rsidR="002F6BAE" w:rsidRPr="00411CCB" w:rsidRDefault="002F6BAE" w:rsidP="003A628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inventar</w:t>
                  </w:r>
                </w:p>
                <w:p w:rsidR="002F6BAE" w:rsidRPr="00411CCB" w:rsidRDefault="002F6BAE" w:rsidP="003A628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Codul VIN</w:t>
                  </w:r>
                </w:p>
              </w:tc>
              <w:tc>
                <w:tcPr>
                  <w:tcW w:w="709" w:type="dxa"/>
                  <w:vMerge w:val="restart"/>
                </w:tcPr>
                <w:p w:rsidR="002F6BAE" w:rsidRPr="00411CCB" w:rsidRDefault="002F6BAE" w:rsidP="003A628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u/m</w:t>
                  </w:r>
                </w:p>
              </w:tc>
              <w:tc>
                <w:tcPr>
                  <w:tcW w:w="3198" w:type="dxa"/>
                  <w:gridSpan w:val="3"/>
                </w:tcPr>
                <w:p w:rsidR="002F6BAE" w:rsidRPr="00411CCB" w:rsidRDefault="002F6BAE" w:rsidP="003A628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Valoarea (lei)</w:t>
                  </w:r>
                </w:p>
              </w:tc>
              <w:tc>
                <w:tcPr>
                  <w:tcW w:w="1158" w:type="dxa"/>
                  <w:vMerge w:val="restart"/>
                </w:tcPr>
                <w:p w:rsidR="002F6BAE" w:rsidRPr="00411CCB" w:rsidRDefault="002F6BAE" w:rsidP="003A628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Mențiuni</w:t>
                  </w:r>
                </w:p>
              </w:tc>
            </w:tr>
            <w:tr w:rsidR="002F6BAE" w:rsidRPr="00411CCB" w:rsidTr="003A6280">
              <w:tc>
                <w:tcPr>
                  <w:tcW w:w="426" w:type="dxa"/>
                  <w:vMerge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715" w:type="dxa"/>
                  <w:vMerge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41" w:type="dxa"/>
                  <w:vMerge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65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De bilanț</w:t>
                  </w:r>
                </w:p>
              </w:tc>
              <w:tc>
                <w:tcPr>
                  <w:tcW w:w="986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 xml:space="preserve">Uzurii 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acumulate</w:t>
                  </w:r>
                </w:p>
              </w:tc>
              <w:tc>
                <w:tcPr>
                  <w:tcW w:w="1147" w:type="dxa"/>
                </w:tcPr>
                <w:p w:rsidR="002F6BAE" w:rsidRPr="00411CCB" w:rsidRDefault="003A6280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R</w:t>
                  </w:r>
                  <w:r w:rsidR="002F6BAE"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ămasă</w:t>
                  </w:r>
                </w:p>
              </w:tc>
              <w:tc>
                <w:tcPr>
                  <w:tcW w:w="1158" w:type="dxa"/>
                  <w:vMerge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2F6BAE" w:rsidRPr="00411CCB" w:rsidTr="003A6280">
              <w:tc>
                <w:tcPr>
                  <w:tcW w:w="426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1</w:t>
                  </w:r>
                </w:p>
              </w:tc>
              <w:tc>
                <w:tcPr>
                  <w:tcW w:w="2715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Scaun pentru donație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staționar MD 3500</w:t>
                  </w:r>
                </w:p>
              </w:tc>
              <w:tc>
                <w:tcPr>
                  <w:tcW w:w="1141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31635296</w:t>
                  </w:r>
                </w:p>
              </w:tc>
              <w:tc>
                <w:tcPr>
                  <w:tcW w:w="709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buc.</w:t>
                  </w:r>
                </w:p>
              </w:tc>
              <w:tc>
                <w:tcPr>
                  <w:tcW w:w="1065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23319,46</w:t>
                  </w:r>
                </w:p>
              </w:tc>
              <w:tc>
                <w:tcPr>
                  <w:tcW w:w="986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6995,85</w:t>
                  </w:r>
                </w:p>
              </w:tc>
              <w:tc>
                <w:tcPr>
                  <w:tcW w:w="1147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16323,61</w:t>
                  </w:r>
                </w:p>
              </w:tc>
              <w:tc>
                <w:tcPr>
                  <w:tcW w:w="1158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funcțional</w:t>
                  </w:r>
                </w:p>
              </w:tc>
            </w:tr>
            <w:tr w:rsidR="002F6BAE" w:rsidRPr="00411CCB" w:rsidTr="003A6280">
              <w:tc>
                <w:tcPr>
                  <w:tcW w:w="426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2</w:t>
                  </w:r>
                </w:p>
              </w:tc>
              <w:tc>
                <w:tcPr>
                  <w:tcW w:w="2715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 xml:space="preserve">Scaun pentru donație 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staționar MD 3500</w:t>
                  </w:r>
                </w:p>
              </w:tc>
              <w:tc>
                <w:tcPr>
                  <w:tcW w:w="1141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31635297</w:t>
                  </w:r>
                </w:p>
              </w:tc>
              <w:tc>
                <w:tcPr>
                  <w:tcW w:w="709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buc.</w:t>
                  </w:r>
                </w:p>
              </w:tc>
              <w:tc>
                <w:tcPr>
                  <w:tcW w:w="1065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23319,46</w:t>
                  </w:r>
                </w:p>
              </w:tc>
              <w:tc>
                <w:tcPr>
                  <w:tcW w:w="986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6995,85</w:t>
                  </w:r>
                </w:p>
              </w:tc>
              <w:tc>
                <w:tcPr>
                  <w:tcW w:w="1147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16323,61</w:t>
                  </w:r>
                </w:p>
              </w:tc>
              <w:tc>
                <w:tcPr>
                  <w:tcW w:w="1158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funcțional</w:t>
                  </w:r>
                </w:p>
              </w:tc>
            </w:tr>
            <w:tr w:rsidR="002F6BAE" w:rsidRPr="00411CCB" w:rsidTr="003A6280">
              <w:tc>
                <w:tcPr>
                  <w:tcW w:w="426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</w:t>
                  </w:r>
                </w:p>
              </w:tc>
              <w:tc>
                <w:tcPr>
                  <w:tcW w:w="2715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Șkoda Octavia, autoturism 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Republica Cehă, CLP 899</w:t>
                  </w:r>
                </w:p>
              </w:tc>
              <w:tc>
                <w:tcPr>
                  <w:tcW w:w="1141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 w:eastAsia="en-US"/>
                    </w:rPr>
                  </w:pPr>
                  <w:r w:rsidRPr="00411CC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 w:eastAsia="en-US"/>
                    </w:rPr>
                    <w:t>TMBKD41Z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 w:eastAsia="en-US"/>
                    </w:rPr>
                    <w:t>578020340</w:t>
                  </w:r>
                </w:p>
              </w:tc>
              <w:tc>
                <w:tcPr>
                  <w:tcW w:w="709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Buc.</w:t>
                  </w:r>
                </w:p>
              </w:tc>
              <w:tc>
                <w:tcPr>
                  <w:tcW w:w="1065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348721,0</w:t>
                  </w:r>
                </w:p>
              </w:tc>
              <w:tc>
                <w:tcPr>
                  <w:tcW w:w="986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348721,0</w:t>
                  </w:r>
                </w:p>
              </w:tc>
              <w:tc>
                <w:tcPr>
                  <w:tcW w:w="1147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 xml:space="preserve">        x</w:t>
                  </w:r>
                </w:p>
              </w:tc>
              <w:tc>
                <w:tcPr>
                  <w:tcW w:w="1158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funcțional</w:t>
                  </w:r>
                </w:p>
              </w:tc>
            </w:tr>
            <w:tr w:rsidR="002F6BAE" w:rsidRPr="00411CCB" w:rsidTr="003A6280">
              <w:tc>
                <w:tcPr>
                  <w:tcW w:w="426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4</w:t>
                  </w:r>
                </w:p>
              </w:tc>
              <w:tc>
                <w:tcPr>
                  <w:tcW w:w="2715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Șkoda Octavia, autoturism 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Republica Cehă, IRH 502</w:t>
                  </w:r>
                </w:p>
              </w:tc>
              <w:tc>
                <w:tcPr>
                  <w:tcW w:w="1141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 w:eastAsia="en-US"/>
                    </w:rPr>
                  </w:pPr>
                  <w:r w:rsidRPr="00411CC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 w:eastAsia="en-US"/>
                    </w:rPr>
                    <w:t>TMBKD41Z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 w:eastAsia="en-US"/>
                    </w:rPr>
                    <w:t>378021793</w:t>
                  </w:r>
                </w:p>
              </w:tc>
              <w:tc>
                <w:tcPr>
                  <w:tcW w:w="709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Buc.</w:t>
                  </w:r>
                </w:p>
              </w:tc>
              <w:tc>
                <w:tcPr>
                  <w:tcW w:w="1065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342395,0</w:t>
                  </w:r>
                </w:p>
              </w:tc>
              <w:tc>
                <w:tcPr>
                  <w:tcW w:w="986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342395,0</w:t>
                  </w:r>
                </w:p>
              </w:tc>
              <w:tc>
                <w:tcPr>
                  <w:tcW w:w="1147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 xml:space="preserve">        x</w:t>
                  </w:r>
                </w:p>
              </w:tc>
              <w:tc>
                <w:tcPr>
                  <w:tcW w:w="1158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funcțional</w:t>
                  </w:r>
                </w:p>
              </w:tc>
            </w:tr>
            <w:tr w:rsidR="002F6BAE" w:rsidRPr="00411CCB" w:rsidTr="003A6280">
              <w:tc>
                <w:tcPr>
                  <w:tcW w:w="426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5</w:t>
                  </w:r>
                </w:p>
              </w:tc>
              <w:tc>
                <w:tcPr>
                  <w:tcW w:w="2715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 xml:space="preserve">Congelator Freezer for 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 xml:space="preserve">plasma ACE 401, seria </w:t>
                  </w:r>
                </w:p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65217</w:t>
                  </w:r>
                </w:p>
              </w:tc>
              <w:tc>
                <w:tcPr>
                  <w:tcW w:w="1141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31410923</w:t>
                  </w:r>
                </w:p>
              </w:tc>
              <w:tc>
                <w:tcPr>
                  <w:tcW w:w="709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Buc.</w:t>
                  </w:r>
                </w:p>
              </w:tc>
              <w:tc>
                <w:tcPr>
                  <w:tcW w:w="1065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56554,95</w:t>
                  </w:r>
                </w:p>
              </w:tc>
              <w:tc>
                <w:tcPr>
                  <w:tcW w:w="986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56423,07</w:t>
                  </w:r>
                </w:p>
              </w:tc>
              <w:tc>
                <w:tcPr>
                  <w:tcW w:w="1147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131,88</w:t>
                  </w:r>
                </w:p>
              </w:tc>
              <w:tc>
                <w:tcPr>
                  <w:tcW w:w="1158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funcțional</w:t>
                  </w:r>
                </w:p>
              </w:tc>
            </w:tr>
            <w:tr w:rsidR="002F6BAE" w:rsidRPr="00411CCB" w:rsidTr="003A6280">
              <w:tc>
                <w:tcPr>
                  <w:tcW w:w="426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715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Total:</w:t>
                  </w:r>
                </w:p>
              </w:tc>
              <w:tc>
                <w:tcPr>
                  <w:tcW w:w="1141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709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065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794309,87</w:t>
                  </w:r>
                </w:p>
              </w:tc>
              <w:tc>
                <w:tcPr>
                  <w:tcW w:w="986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794177,99</w:t>
                  </w:r>
                </w:p>
              </w:tc>
              <w:tc>
                <w:tcPr>
                  <w:tcW w:w="1147" w:type="dxa"/>
                </w:tcPr>
                <w:p w:rsidR="002F6BAE" w:rsidRPr="00411CCB" w:rsidRDefault="002F6BAE" w:rsidP="003A6280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411CC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32779,10</w:t>
                  </w:r>
                </w:p>
              </w:tc>
              <w:tc>
                <w:tcPr>
                  <w:tcW w:w="1158" w:type="dxa"/>
                </w:tcPr>
                <w:p w:rsidR="002F6BAE" w:rsidRPr="00411CCB" w:rsidRDefault="002F6BAE" w:rsidP="008A5DF0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:rsidR="002407DA" w:rsidRPr="00411CCB" w:rsidRDefault="001042CD" w:rsidP="008A5DF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CCB">
              <w:rPr>
                <w:rFonts w:ascii="Times New Roman" w:hAnsi="Times New Roman" w:cs="Times New Roman"/>
                <w:sz w:val="28"/>
                <w:szCs w:val="28"/>
              </w:rPr>
              <w:t>Menționăm</w:t>
            </w:r>
            <w:r w:rsidR="00E73C45" w:rsidRPr="00411C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 că î</w:t>
            </w:r>
            <w:r w:rsidR="002407DA" w:rsidRPr="00411CCB">
              <w:rPr>
                <w:rFonts w:ascii="Times New Roman" w:hAnsi="Times New Roman" w:cs="Times New Roman"/>
                <w:sz w:val="28"/>
                <w:szCs w:val="28"/>
              </w:rPr>
              <w:t>n urma renovării parcului auto a</w:t>
            </w:r>
            <w:r w:rsidR="004D598D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bookmarkStart w:id="0" w:name="_GoBack"/>
            <w:bookmarkEnd w:id="0"/>
            <w:r w:rsidR="002407DA"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7DA" w:rsidRPr="00411CCB">
              <w:rPr>
                <w:rFonts w:ascii="Times New Roman" w:eastAsia="Times New Roman" w:hAnsi="Times New Roman" w:cs="Times New Roman"/>
                <w:sz w:val="28"/>
                <w:szCs w:val="28"/>
              </w:rPr>
              <w:t>Centrului Național de Transfuzie a Sângelui</w:t>
            </w:r>
            <w:r w:rsidR="002407DA"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 au fost identificate </w:t>
            </w:r>
            <w:r w:rsidR="00245E97" w:rsidRPr="00411C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07DA"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 unități de transport, care pot fi utilizate în continuare de către instituții din asistența medicală din sectorul rural. </w:t>
            </w:r>
          </w:p>
          <w:p w:rsidR="001B5CFF" w:rsidRPr="00411CCB" w:rsidRDefault="00E46FC5" w:rsidP="008A5DF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Luînd în considerație, </w:t>
            </w:r>
            <w:r w:rsidR="004235D1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că secția de transfuzie </w:t>
            </w:r>
            <w:r w:rsidR="00811C1A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 sîngelui </w:t>
            </w:r>
            <w:r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din </w:t>
            </w:r>
            <w:r w:rsidR="00F6608C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r w:rsidR="00811C1A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="00F6608C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drul</w:t>
            </w:r>
            <w:r w:rsidR="00811C1A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IMSP Spitalul Raional Nisporeni</w:t>
            </w:r>
            <w:r w:rsidR="00F6608C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65AAF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pe parcursul a mai multor ani îndeplinește contractul cu </w:t>
            </w:r>
            <w:r w:rsidR="004235D1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Centrul </w:t>
            </w:r>
            <w:r w:rsidR="00C743E2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Național </w:t>
            </w:r>
            <w:r w:rsidR="004235D1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de Transfuzie a Sîngelui </w:t>
            </w:r>
            <w:r w:rsidR="00C743E2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în ceea ce privește numărul de donatori cu 106-107%</w:t>
            </w:r>
            <w:r w:rsidR="00BD7218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, iar lipsa de transport</w:t>
            </w:r>
            <w:r w:rsidR="009F4272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3759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tergiversează</w:t>
            </w:r>
            <w:r w:rsidR="00433F91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activitatea i</w:t>
            </w:r>
            <w:r w:rsidR="0023759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nstituției</w:t>
            </w:r>
            <w:r w:rsidR="00126044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3759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îndeosebi </w:t>
            </w:r>
            <w:r w:rsidR="00126044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î</w:t>
            </w:r>
            <w:r w:rsidR="00433F91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timpul pandemiei cu Covid 19. </w:t>
            </w:r>
            <w:r w:rsidR="006A6818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Bunurile materiale din cadrul secției (scaun</w:t>
            </w:r>
            <w:r w:rsidR="0023759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A6818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pentru donație, congelator)</w:t>
            </w:r>
            <w:r w:rsidR="001B5CFF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sunt</w:t>
            </w:r>
            <w:r w:rsidR="0023759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 o exploatare într-un termen mai mare de 10 ani</w:t>
            </w:r>
            <w:r w:rsidR="003A628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, iar autoturizmele</w:t>
            </w:r>
            <w:r w:rsidR="0023759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A628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în</w:t>
            </w:r>
            <w:r w:rsidR="0023759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evaluare cu 100% grad de uzură.</w:t>
            </w:r>
            <w:r w:rsidR="001B5CFF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Procurarea lor la moment practic este imposibilă</w:t>
            </w:r>
            <w:r w:rsidR="00126044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7541E" w:rsidRPr="00411CCB" w:rsidRDefault="001B5CFF" w:rsidP="001665A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În acest context</w:t>
            </w:r>
            <w:r w:rsidR="007A0637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3759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0637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Centrul Național de Transfuzie a Sîngelui a venit cu propunerea de a transmite cu titlu gratuit</w:t>
            </w:r>
            <w:r w:rsidR="001459F1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două autoturisme Scoda</w:t>
            </w:r>
            <w:r w:rsidR="003A628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Octavia</w:t>
            </w:r>
            <w:r w:rsidR="001459F1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două </w:t>
            </w:r>
            <w:r w:rsidR="003A6280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lastRenderedPageBreak/>
              <w:t>scaune pentru donație staționare și un congelator pentru păstrearea componentelor sanguine</w:t>
            </w:r>
            <w:r w:rsidR="00B60CBF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pentru </w:t>
            </w:r>
            <w:r w:rsidR="006B6ADE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desfășurarea</w:t>
            </w:r>
            <w:r w:rsidR="00B60CBF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bună a activității </w:t>
            </w:r>
            <w:r w:rsidR="006B6ADE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sectei</w:t>
            </w:r>
            <w:r w:rsidR="00B60CBF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transfuzie a sîngelui</w:t>
            </w:r>
            <w:r w:rsidR="000D74E7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din cadrul IMSP SR Nisporeni. Dotarea secției cu </w:t>
            </w:r>
            <w:r w:rsidR="006B6ADE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transport</w:t>
            </w:r>
            <w:r w:rsidR="000D74E7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va asigura cu succes în continuare colectarea de sînge la organizarea zilelor periodice în localitățile rurale ale raionului </w:t>
            </w:r>
            <w:r w:rsidR="006B6ADE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Nisporeni</w:t>
            </w:r>
            <w:r w:rsidR="00B60CBF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F7907" w:rsidRPr="00A46E01" w:rsidTr="00B61103">
        <w:tc>
          <w:tcPr>
            <w:tcW w:w="5000" w:type="pct"/>
          </w:tcPr>
          <w:p w:rsidR="004F7907" w:rsidRPr="00411CCB" w:rsidRDefault="004F7907" w:rsidP="008A5D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C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Descrierea gradului de compatibilitate pentru proiectele care au ca scop armonizarea legislaţiei naţionale cu legislaţia Uniunii Europene</w:t>
            </w:r>
            <w:r w:rsidR="00EC2E6F" w:rsidRPr="00411C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61103" w:rsidRPr="00411CCB" w:rsidRDefault="00EC2E6F" w:rsidP="001665A2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CCB">
              <w:rPr>
                <w:rFonts w:ascii="Times New Roman" w:hAnsi="Times New Roman" w:cs="Times New Roman"/>
                <w:sz w:val="28"/>
                <w:szCs w:val="28"/>
              </w:rPr>
              <w:t>Nu se aplică</w:t>
            </w:r>
          </w:p>
        </w:tc>
      </w:tr>
      <w:tr w:rsidR="004F7907" w:rsidRPr="00A46E01" w:rsidTr="00B61103">
        <w:tc>
          <w:tcPr>
            <w:tcW w:w="5000" w:type="pct"/>
          </w:tcPr>
          <w:p w:rsidR="004F7907" w:rsidRPr="00411CCB" w:rsidRDefault="004F7907" w:rsidP="008A5D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CCB">
              <w:rPr>
                <w:rFonts w:ascii="Times New Roman" w:hAnsi="Times New Roman" w:cs="Times New Roman"/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4F7907" w:rsidRPr="00A46E01" w:rsidTr="00B61103">
        <w:tc>
          <w:tcPr>
            <w:tcW w:w="5000" w:type="pct"/>
          </w:tcPr>
          <w:p w:rsidR="007217DC" w:rsidRPr="00411CCB" w:rsidRDefault="001F04BC" w:rsidP="008A5DF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</w:pPr>
            <w:r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Prezenta hotărâre de Guvern are ca scop transmiterea cu titlu gratuit</w:t>
            </w:r>
            <w:r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 din administrarea Ministerului Sănătății, Muncii și Protecției Sociale, </w:t>
            </w:r>
            <w:r w:rsidR="007217DC" w:rsidRPr="00411C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(gestiunea Centrul Național de Transfuzie a Sîngelui), </w:t>
            </w:r>
            <w:r w:rsidR="007217DC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>în proprietatea raionului Nisporeni (gestiunea IMSP Spitalul Raional Nisporeni), a următoarelor bunuri materiale</w:t>
            </w:r>
            <w:r w:rsidR="00832589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 xml:space="preserve"> </w:t>
            </w:r>
            <w:r w:rsidR="000D6ECB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 xml:space="preserve">- 2 </w:t>
            </w:r>
            <w:r w:rsidR="003A6280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>scaune pentru donație staționare</w:t>
            </w:r>
            <w:r w:rsidR="002F260A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 xml:space="preserve">, un congelator și două </w:t>
            </w:r>
            <w:r w:rsidR="00154BA0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>autoturisme Șkoda</w:t>
            </w:r>
            <w:r w:rsidR="003A6280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 xml:space="preserve"> Octavia</w:t>
            </w:r>
            <w:r w:rsidR="00154BA0" w:rsidRPr="00411CCB">
              <w:rPr>
                <w:rFonts w:ascii="Times New Roman" w:hAnsi="Times New Roman" w:cs="Times New Roman"/>
                <w:color w:val="000000"/>
                <w:sz w:val="28"/>
                <w:szCs w:val="28"/>
                <w:lang w:bidi="ro-RO"/>
              </w:rPr>
              <w:t>.</w:t>
            </w:r>
          </w:p>
          <w:p w:rsidR="00B61103" w:rsidRPr="00411CCB" w:rsidRDefault="004F7907" w:rsidP="008A5DF0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411CCB">
              <w:rPr>
                <w:rFonts w:ascii="Times New Roman" w:hAnsi="Times New Roman" w:cs="Times New Roman"/>
                <w:sz w:val="28"/>
                <w:szCs w:val="28"/>
              </w:rPr>
              <w:t xml:space="preserve">Aprobarea proiectului de act normativ va asigura </w:t>
            </w:r>
            <w:r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crearea condițiilor </w:t>
            </w:r>
            <w:r w:rsidR="00414ED4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mai bune</w:t>
            </w:r>
            <w:r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pentru </w:t>
            </w:r>
            <w:r w:rsidR="008255ED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activitatea sectei de transfuzie a sîngelui din cadrul IMSP SR Nisporeni. Dotarea secției cu transport va asigura cu succes în continuare </w:t>
            </w:r>
            <w:r w:rsidR="00195057" w:rsidRPr="00411CCB">
              <w:rPr>
                <w:rFonts w:ascii="Times New Roman" w:hAnsi="Times New Roman" w:cs="Times New Roman"/>
                <w:sz w:val="28"/>
                <w:szCs w:val="28"/>
              </w:rPr>
              <w:t>la deplasarea medicilor în subdiviziunile sale pentru</w:t>
            </w:r>
            <w:r w:rsidR="00195057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255ED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colectarea de sînge la organizarea zilelor </w:t>
            </w:r>
            <w:r w:rsidR="003A6280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de donare </w:t>
            </w:r>
            <w:r w:rsidR="008255ED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>periodice în localitățile rurale ale raionului Nisporeni.</w:t>
            </w:r>
            <w:r w:rsidR="00017A33" w:rsidRPr="00411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8D0" w:rsidRPr="00A46E01" w:rsidTr="00B61103">
        <w:trPr>
          <w:trHeight w:val="287"/>
        </w:trPr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5. Fundamentarea economico - financiară</w:t>
            </w:r>
          </w:p>
        </w:tc>
      </w:tr>
      <w:tr w:rsidR="006768D0" w:rsidRPr="00A46E01" w:rsidTr="00B61103">
        <w:trPr>
          <w:trHeight w:val="278"/>
        </w:trPr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A46E01">
              <w:rPr>
                <w:rFonts w:ascii="Times New Roman" w:hAnsi="Times New Roman" w:cs="Times New Roman"/>
                <w:sz w:val="28"/>
                <w:szCs w:val="28"/>
              </w:rPr>
              <w:t>Implementarea prezentului proiect de hotărîre de Guvern nu implică cheltuieli financiare suplimentare din bugetul de stat.</w:t>
            </w:r>
          </w:p>
        </w:tc>
      </w:tr>
      <w:tr w:rsidR="006768D0" w:rsidRPr="00A46E01" w:rsidTr="00B61103"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6768D0" w:rsidRPr="00A46E01" w:rsidTr="00B61103"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A46E01">
              <w:rPr>
                <w:rFonts w:ascii="Times New Roman" w:hAnsi="Times New Roman" w:cs="Times New Roman"/>
                <w:sz w:val="28"/>
                <w:szCs w:val="28"/>
              </w:rPr>
              <w:t>Aprobarea proiectului nu va genera modificări  în textul altor acte normative.</w:t>
            </w:r>
          </w:p>
        </w:tc>
      </w:tr>
      <w:tr w:rsidR="006768D0" w:rsidRPr="00A46E01" w:rsidTr="00B61103"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7. Avizarea şi consultarea publică a proiectului</w:t>
            </w:r>
          </w:p>
        </w:tc>
      </w:tr>
      <w:tr w:rsidR="006768D0" w:rsidRPr="00A46E01" w:rsidTr="006768D0">
        <w:trPr>
          <w:trHeight w:val="710"/>
        </w:trPr>
        <w:tc>
          <w:tcPr>
            <w:tcW w:w="5000" w:type="pct"/>
          </w:tcPr>
          <w:p w:rsidR="004E3F6C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E3F6C" w:rsidRPr="00A46E01">
              <w:rPr>
                <w:rFonts w:ascii="Times New Roman" w:hAnsi="Times New Roman" w:cs="Times New Roman"/>
                <w:sz w:val="28"/>
                <w:szCs w:val="28"/>
              </w:rPr>
              <w:t xml:space="preserve">În scopul respectării prevederilor Legii nr. 239/2008 privind transparența în procesul decizional, proiectul și nota informativă au fost plasate pe portalul guvernamental </w:t>
            </w:r>
            <w:hyperlink r:id="rId7" w:history="1">
              <w:r w:rsidR="004E3F6C" w:rsidRPr="00A46E0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www.particip.gov.md</w:t>
              </w:r>
            </w:hyperlink>
            <w:r w:rsidR="004E3F6C" w:rsidRPr="00A46E01">
              <w:rPr>
                <w:rFonts w:ascii="Times New Roman" w:hAnsi="Times New Roman" w:cs="Times New Roman"/>
                <w:sz w:val="28"/>
                <w:szCs w:val="28"/>
              </w:rPr>
              <w:t xml:space="preserve">, precum și pe pagina – web oficială a Ministerului Sănătății, Muncii și Protecției Sociale </w:t>
            </w:r>
            <w:hyperlink r:id="rId8" w:history="1">
              <w:r w:rsidR="004E3F6C" w:rsidRPr="00A46E0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www.msmps.gov.md</w:t>
              </w:r>
            </w:hyperlink>
            <w:r w:rsidR="004E3F6C" w:rsidRPr="00A46E01">
              <w:rPr>
                <w:rFonts w:ascii="Times New Roman" w:hAnsi="Times New Roman" w:cs="Times New Roman"/>
                <w:sz w:val="28"/>
                <w:szCs w:val="28"/>
              </w:rPr>
              <w:t xml:space="preserve"> la compartimentul „Transparență” secțiunea Proiecte supuse consultărilor publice </w:t>
            </w:r>
            <w:r w:rsidRPr="00A46E01">
              <w:rPr>
                <w:rFonts w:ascii="Times New Roman" w:hAnsi="Times New Roman" w:cs="Times New Roman"/>
                <w:sz w:val="28"/>
                <w:szCs w:val="28"/>
              </w:rPr>
              <w:t xml:space="preserve">și a fost transmis spre consultare autorităților publice responsabile, conform procedurii stabilite de legislația în vigoare. </w:t>
            </w:r>
          </w:p>
        </w:tc>
      </w:tr>
      <w:tr w:rsidR="006768D0" w:rsidRPr="00A46E01" w:rsidTr="00B61103"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8. Constatările expertizei anticorupție</w:t>
            </w:r>
          </w:p>
        </w:tc>
      </w:tr>
      <w:tr w:rsidR="006768D0" w:rsidRPr="00A46E01" w:rsidTr="00B61103"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9. Constatările expertizei de compatibilitate</w:t>
            </w:r>
          </w:p>
        </w:tc>
      </w:tr>
      <w:tr w:rsidR="006768D0" w:rsidRPr="00A46E01" w:rsidTr="00B61103"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10. Constatările expertizei juridice</w:t>
            </w:r>
          </w:p>
        </w:tc>
      </w:tr>
      <w:tr w:rsidR="006768D0" w:rsidRPr="00A46E01" w:rsidTr="00B61103">
        <w:tc>
          <w:tcPr>
            <w:tcW w:w="5000" w:type="pct"/>
          </w:tcPr>
          <w:p w:rsidR="006768D0" w:rsidRPr="00A46E01" w:rsidRDefault="006768D0" w:rsidP="008A5DF0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E01">
              <w:rPr>
                <w:rFonts w:ascii="Times New Roman" w:hAnsi="Times New Roman" w:cs="Times New Roman"/>
                <w:b/>
                <w:sz w:val="28"/>
                <w:szCs w:val="28"/>
              </w:rPr>
              <w:t>11. Constatările altor expertize</w:t>
            </w:r>
          </w:p>
        </w:tc>
      </w:tr>
    </w:tbl>
    <w:p w:rsidR="009E5CE6" w:rsidRPr="00A46E01" w:rsidRDefault="009E5CE6" w:rsidP="008A5D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75" w:rsidRPr="00A46E01" w:rsidRDefault="007833C8" w:rsidP="008A5DF0">
      <w:pPr>
        <w:widowControl w:val="0"/>
        <w:tabs>
          <w:tab w:val="left" w:pos="0"/>
        </w:tabs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  <w:r w:rsidRPr="00A46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="00AE3B2D" w:rsidRPr="00A46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>SECRETAR DE STAT</w:t>
      </w:r>
      <w:r w:rsidRPr="00A46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Pr="00A46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Pr="00A46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Pr="00A46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Pr="00A46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="00AE3B2D" w:rsidRPr="00A46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>Igor CUROV</w:t>
      </w:r>
    </w:p>
    <w:p w:rsidR="007F7A75" w:rsidRPr="009719AF" w:rsidRDefault="007F7A75" w:rsidP="004F7907">
      <w:pPr>
        <w:pStyle w:val="Frspaiere"/>
        <w:rPr>
          <w:sz w:val="16"/>
          <w:szCs w:val="16"/>
          <w:lang w:val="ro-RO"/>
        </w:rPr>
      </w:pPr>
    </w:p>
    <w:sectPr w:rsidR="007F7A75" w:rsidRPr="009719AF" w:rsidSect="00414ED4">
      <w:pgSz w:w="11906" w:h="16838"/>
      <w:pgMar w:top="864" w:right="850" w:bottom="709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07"/>
    <w:rsid w:val="00017A33"/>
    <w:rsid w:val="000306C8"/>
    <w:rsid w:val="00030C28"/>
    <w:rsid w:val="00036F63"/>
    <w:rsid w:val="00073DD7"/>
    <w:rsid w:val="000C67FE"/>
    <w:rsid w:val="000D5629"/>
    <w:rsid w:val="000D6ECB"/>
    <w:rsid w:val="000D74E7"/>
    <w:rsid w:val="000E5BB9"/>
    <w:rsid w:val="001042CD"/>
    <w:rsid w:val="0010604D"/>
    <w:rsid w:val="0011697B"/>
    <w:rsid w:val="00123D6D"/>
    <w:rsid w:val="00126044"/>
    <w:rsid w:val="00134035"/>
    <w:rsid w:val="001459F1"/>
    <w:rsid w:val="00154BA0"/>
    <w:rsid w:val="001665A2"/>
    <w:rsid w:val="001772F0"/>
    <w:rsid w:val="00195057"/>
    <w:rsid w:val="001B5CFF"/>
    <w:rsid w:val="001D3487"/>
    <w:rsid w:val="001E6274"/>
    <w:rsid w:val="001F04BC"/>
    <w:rsid w:val="00211284"/>
    <w:rsid w:val="00224278"/>
    <w:rsid w:val="00237590"/>
    <w:rsid w:val="002407DA"/>
    <w:rsid w:val="00245E97"/>
    <w:rsid w:val="0026365C"/>
    <w:rsid w:val="002F260A"/>
    <w:rsid w:val="002F416C"/>
    <w:rsid w:val="002F6BAE"/>
    <w:rsid w:val="00315598"/>
    <w:rsid w:val="00364A8D"/>
    <w:rsid w:val="003A6280"/>
    <w:rsid w:val="003B67B3"/>
    <w:rsid w:val="00411CCB"/>
    <w:rsid w:val="00414ED4"/>
    <w:rsid w:val="004235D1"/>
    <w:rsid w:val="00433F91"/>
    <w:rsid w:val="00465AAF"/>
    <w:rsid w:val="004759C4"/>
    <w:rsid w:val="004B307B"/>
    <w:rsid w:val="004D20BB"/>
    <w:rsid w:val="004D598D"/>
    <w:rsid w:val="004E3F6C"/>
    <w:rsid w:val="004F7907"/>
    <w:rsid w:val="00504560"/>
    <w:rsid w:val="00612B14"/>
    <w:rsid w:val="00620E5F"/>
    <w:rsid w:val="0066494B"/>
    <w:rsid w:val="006768D0"/>
    <w:rsid w:val="006A6818"/>
    <w:rsid w:val="006B6ADE"/>
    <w:rsid w:val="007217DC"/>
    <w:rsid w:val="00725D9E"/>
    <w:rsid w:val="007833C8"/>
    <w:rsid w:val="007A0637"/>
    <w:rsid w:val="007F6D6E"/>
    <w:rsid w:val="007F7A75"/>
    <w:rsid w:val="00801265"/>
    <w:rsid w:val="008104A0"/>
    <w:rsid w:val="00811C1A"/>
    <w:rsid w:val="00813009"/>
    <w:rsid w:val="008255ED"/>
    <w:rsid w:val="00832589"/>
    <w:rsid w:val="00837C75"/>
    <w:rsid w:val="00843DE8"/>
    <w:rsid w:val="00874D6E"/>
    <w:rsid w:val="008A5DF0"/>
    <w:rsid w:val="008D1A05"/>
    <w:rsid w:val="008E753A"/>
    <w:rsid w:val="008F134F"/>
    <w:rsid w:val="00972810"/>
    <w:rsid w:val="00972EFA"/>
    <w:rsid w:val="009B10AC"/>
    <w:rsid w:val="009B425F"/>
    <w:rsid w:val="009D601A"/>
    <w:rsid w:val="009E5CE6"/>
    <w:rsid w:val="009F4272"/>
    <w:rsid w:val="00A06973"/>
    <w:rsid w:val="00A46E01"/>
    <w:rsid w:val="00A87C6B"/>
    <w:rsid w:val="00AE3B2D"/>
    <w:rsid w:val="00AE3F43"/>
    <w:rsid w:val="00B03A3D"/>
    <w:rsid w:val="00B2465D"/>
    <w:rsid w:val="00B57B6D"/>
    <w:rsid w:val="00B60CBF"/>
    <w:rsid w:val="00B61103"/>
    <w:rsid w:val="00B8090D"/>
    <w:rsid w:val="00BA760B"/>
    <w:rsid w:val="00BC7C4D"/>
    <w:rsid w:val="00BD7218"/>
    <w:rsid w:val="00C15189"/>
    <w:rsid w:val="00C3270C"/>
    <w:rsid w:val="00C40D73"/>
    <w:rsid w:val="00C743E2"/>
    <w:rsid w:val="00C7541E"/>
    <w:rsid w:val="00CC7D06"/>
    <w:rsid w:val="00D120ED"/>
    <w:rsid w:val="00D159FA"/>
    <w:rsid w:val="00D210F8"/>
    <w:rsid w:val="00D34F81"/>
    <w:rsid w:val="00D60570"/>
    <w:rsid w:val="00D963B2"/>
    <w:rsid w:val="00DD5725"/>
    <w:rsid w:val="00DE35CA"/>
    <w:rsid w:val="00DF2BDE"/>
    <w:rsid w:val="00E00C1E"/>
    <w:rsid w:val="00E14697"/>
    <w:rsid w:val="00E46FC5"/>
    <w:rsid w:val="00E66491"/>
    <w:rsid w:val="00E73C45"/>
    <w:rsid w:val="00EB46CC"/>
    <w:rsid w:val="00EC2E6F"/>
    <w:rsid w:val="00EE693E"/>
    <w:rsid w:val="00F026D7"/>
    <w:rsid w:val="00F06803"/>
    <w:rsid w:val="00F47E56"/>
    <w:rsid w:val="00F6608C"/>
    <w:rsid w:val="00F76E2D"/>
    <w:rsid w:val="00F8144B"/>
    <w:rsid w:val="00F86715"/>
    <w:rsid w:val="00F93874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07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4F7907"/>
    <w:rPr>
      <w:color w:val="0000FF"/>
      <w:u w:val="single"/>
    </w:rPr>
  </w:style>
  <w:style w:type="paragraph" w:styleId="Frspaiere">
    <w:name w:val="No Spacing"/>
    <w:uiPriority w:val="1"/>
    <w:qFormat/>
    <w:rsid w:val="004F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centuat">
    <w:name w:val="Emphasis"/>
    <w:basedOn w:val="Fontdeparagrafimplicit"/>
    <w:uiPriority w:val="20"/>
    <w:qFormat/>
    <w:rsid w:val="004F7907"/>
    <w:rPr>
      <w:i/>
      <w:iCs/>
    </w:rPr>
  </w:style>
  <w:style w:type="paragraph" w:styleId="Listparagraf">
    <w:name w:val="List Paragraph"/>
    <w:basedOn w:val="Normal"/>
    <w:uiPriority w:val="34"/>
    <w:qFormat/>
    <w:rsid w:val="001772F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1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4697"/>
    <w:rPr>
      <w:rFonts w:ascii="Tahoma" w:eastAsiaTheme="minorEastAsia" w:hAnsi="Tahoma" w:cs="Tahoma"/>
      <w:sz w:val="16"/>
      <w:szCs w:val="16"/>
      <w:lang w:eastAsia="ro-RO"/>
    </w:rPr>
  </w:style>
  <w:style w:type="table" w:styleId="GrilTabel">
    <w:name w:val="Table Grid"/>
    <w:basedOn w:val="TabelNormal"/>
    <w:uiPriority w:val="59"/>
    <w:rsid w:val="002F6B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07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4F7907"/>
    <w:rPr>
      <w:color w:val="0000FF"/>
      <w:u w:val="single"/>
    </w:rPr>
  </w:style>
  <w:style w:type="paragraph" w:styleId="Frspaiere">
    <w:name w:val="No Spacing"/>
    <w:uiPriority w:val="1"/>
    <w:qFormat/>
    <w:rsid w:val="004F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centuat">
    <w:name w:val="Emphasis"/>
    <w:basedOn w:val="Fontdeparagrafimplicit"/>
    <w:uiPriority w:val="20"/>
    <w:qFormat/>
    <w:rsid w:val="004F7907"/>
    <w:rPr>
      <w:i/>
      <w:iCs/>
    </w:rPr>
  </w:style>
  <w:style w:type="paragraph" w:styleId="Listparagraf">
    <w:name w:val="List Paragraph"/>
    <w:basedOn w:val="Normal"/>
    <w:uiPriority w:val="34"/>
    <w:qFormat/>
    <w:rsid w:val="001772F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1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4697"/>
    <w:rPr>
      <w:rFonts w:ascii="Tahoma" w:eastAsiaTheme="minorEastAsia" w:hAnsi="Tahoma" w:cs="Tahoma"/>
      <w:sz w:val="16"/>
      <w:szCs w:val="16"/>
      <w:lang w:eastAsia="ro-RO"/>
    </w:rPr>
  </w:style>
  <w:style w:type="table" w:styleId="GrilTabel">
    <w:name w:val="Table Grid"/>
    <w:basedOn w:val="TabelNormal"/>
    <w:uiPriority w:val="59"/>
    <w:rsid w:val="002F6B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ps.gov.m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2F67-5841-4A5B-95B3-07532222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4699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Carp Vladimir</cp:lastModifiedBy>
  <cp:revision>3</cp:revision>
  <cp:lastPrinted>2021-03-26T08:48:00Z</cp:lastPrinted>
  <dcterms:created xsi:type="dcterms:W3CDTF">2021-04-15T12:12:00Z</dcterms:created>
  <dcterms:modified xsi:type="dcterms:W3CDTF">2021-04-19T07:06:00Z</dcterms:modified>
</cp:coreProperties>
</file>