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19" w:type="pct"/>
        <w:jc w:val="center"/>
        <w:tblCellMar>
          <w:top w:w="15" w:type="dxa"/>
          <w:left w:w="15" w:type="dxa"/>
          <w:bottom w:w="15" w:type="dxa"/>
          <w:right w:w="15" w:type="dxa"/>
        </w:tblCellMar>
        <w:tblLook w:val="04A0" w:firstRow="1" w:lastRow="0" w:firstColumn="1" w:lastColumn="0" w:noHBand="0" w:noVBand="1"/>
      </w:tblPr>
      <w:tblGrid>
        <w:gridCol w:w="4720"/>
        <w:gridCol w:w="5731"/>
      </w:tblGrid>
      <w:tr w:rsidR="003303EC" w:rsidRPr="00D171DB" w14:paraId="3ED2CA54" w14:textId="77777777" w:rsidTr="00766270">
        <w:trPr>
          <w:jc w:val="center"/>
        </w:trPr>
        <w:tc>
          <w:tcPr>
            <w:tcW w:w="22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38651E" w14:textId="77777777" w:rsidR="003303EC" w:rsidRPr="00A163A8" w:rsidRDefault="007E491E" w:rsidP="007019CD">
            <w:pPr>
              <w:rPr>
                <w:rFonts w:eastAsia="Times New Roman"/>
                <w:sz w:val="20"/>
                <w:szCs w:val="20"/>
                <w:lang w:val="ro-RO"/>
              </w:rPr>
            </w:pPr>
            <w:r w:rsidRPr="00A163A8">
              <w:rPr>
                <w:rFonts w:eastAsia="Times New Roman"/>
                <w:b/>
                <w:bCs/>
                <w:sz w:val="20"/>
                <w:szCs w:val="20"/>
                <w:lang w:val="ro-RO"/>
              </w:rPr>
              <w:t xml:space="preserve">Titlul analizei impactului </w:t>
            </w:r>
          </w:p>
          <w:p w14:paraId="638C1EF1" w14:textId="77777777" w:rsidR="003303EC" w:rsidRPr="00A163A8" w:rsidRDefault="007E491E" w:rsidP="007019CD">
            <w:pPr>
              <w:pStyle w:val="lf"/>
              <w:rPr>
                <w:sz w:val="20"/>
                <w:szCs w:val="20"/>
                <w:lang w:val="ro-RO"/>
              </w:rPr>
            </w:pPr>
            <w:r w:rsidRPr="00A163A8">
              <w:rPr>
                <w:sz w:val="20"/>
                <w:szCs w:val="20"/>
                <w:lang w:val="ro-RO"/>
              </w:rPr>
              <w:t>(poate conţine titlul propunerii de act normativ):</w:t>
            </w:r>
          </w:p>
        </w:tc>
        <w:tc>
          <w:tcPr>
            <w:tcW w:w="2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8BE4BC" w14:textId="1B17A10D" w:rsidR="003303EC" w:rsidRPr="00D76618" w:rsidRDefault="00D45474" w:rsidP="00D76618">
            <w:pPr>
              <w:jc w:val="center"/>
              <w:rPr>
                <w:lang w:val="ro-RO"/>
              </w:rPr>
            </w:pPr>
            <w:r w:rsidRPr="00D76618">
              <w:rPr>
                <w:lang w:val="ro-RO"/>
              </w:rPr>
              <w:t>Analiza de I</w:t>
            </w:r>
            <w:r w:rsidR="007019CD" w:rsidRPr="00D76618">
              <w:rPr>
                <w:lang w:val="ro-RO"/>
              </w:rPr>
              <w:t>mpact la p</w:t>
            </w:r>
            <w:r w:rsidRPr="00D76618">
              <w:rPr>
                <w:lang w:val="ro-RO"/>
              </w:rPr>
              <w:t>roiectul de L</w:t>
            </w:r>
            <w:r w:rsidR="008C6862" w:rsidRPr="00D76618">
              <w:rPr>
                <w:lang w:val="ro-RO"/>
              </w:rPr>
              <w:t>ege cu privire la Avocatul A</w:t>
            </w:r>
            <w:r w:rsidRPr="00D76618">
              <w:rPr>
                <w:lang w:val="ro-RO"/>
              </w:rPr>
              <w:t>ntreprenorilor (</w:t>
            </w:r>
            <w:r w:rsidRPr="00D76618">
              <w:rPr>
                <w:i/>
                <w:lang w:val="ro-RO"/>
              </w:rPr>
              <w:t>O</w:t>
            </w:r>
            <w:r w:rsidR="007019CD" w:rsidRPr="00D76618">
              <w:rPr>
                <w:i/>
                <w:lang w:val="ro-RO"/>
              </w:rPr>
              <w:t>mbudsman</w:t>
            </w:r>
            <w:r w:rsidR="007019CD" w:rsidRPr="00D76618">
              <w:rPr>
                <w:lang w:val="ro-RO"/>
              </w:rPr>
              <w:t>)</w:t>
            </w:r>
          </w:p>
        </w:tc>
      </w:tr>
      <w:tr w:rsidR="003303EC" w:rsidRPr="00A163A8" w14:paraId="01A9BB81" w14:textId="77777777" w:rsidTr="00766270">
        <w:trPr>
          <w:jc w:val="center"/>
        </w:trPr>
        <w:tc>
          <w:tcPr>
            <w:tcW w:w="22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A8BDAD" w14:textId="77777777" w:rsidR="003303EC" w:rsidRPr="00A163A8" w:rsidRDefault="007E491E" w:rsidP="007019CD">
            <w:pPr>
              <w:rPr>
                <w:rFonts w:eastAsia="Times New Roman"/>
                <w:sz w:val="20"/>
                <w:szCs w:val="20"/>
                <w:lang w:val="ro-RO"/>
              </w:rPr>
            </w:pPr>
            <w:r w:rsidRPr="00A163A8">
              <w:rPr>
                <w:rFonts w:eastAsia="Times New Roman"/>
                <w:b/>
                <w:bCs/>
                <w:sz w:val="20"/>
                <w:szCs w:val="20"/>
                <w:lang w:val="ro-RO"/>
              </w:rPr>
              <w:t>Data:</w:t>
            </w:r>
          </w:p>
        </w:tc>
        <w:tc>
          <w:tcPr>
            <w:tcW w:w="2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81626C" w14:textId="6896F2D2" w:rsidR="003303EC" w:rsidRPr="00A163A8" w:rsidRDefault="005C1E5E" w:rsidP="007019CD">
            <w:pPr>
              <w:rPr>
                <w:rFonts w:eastAsia="Times New Roman"/>
                <w:lang w:val="ro-RO"/>
              </w:rPr>
            </w:pPr>
            <w:r>
              <w:rPr>
                <w:rFonts w:eastAsia="Times New Roman"/>
                <w:lang w:val="ro-RO"/>
              </w:rPr>
              <w:t>M</w:t>
            </w:r>
            <w:r w:rsidR="007019CD" w:rsidRPr="00A163A8">
              <w:rPr>
                <w:rFonts w:eastAsia="Times New Roman"/>
                <w:lang w:val="ro-RO"/>
              </w:rPr>
              <w:t>ar</w:t>
            </w:r>
            <w:r w:rsidR="00E33F1A">
              <w:rPr>
                <w:rFonts w:eastAsia="Times New Roman"/>
                <w:lang w:val="ro-RO"/>
              </w:rPr>
              <w:t>tie</w:t>
            </w:r>
            <w:r w:rsidR="007019CD" w:rsidRPr="00A163A8">
              <w:rPr>
                <w:rFonts w:eastAsia="Times New Roman"/>
                <w:lang w:val="ro-RO"/>
              </w:rPr>
              <w:t xml:space="preserve"> 2020</w:t>
            </w:r>
          </w:p>
        </w:tc>
      </w:tr>
      <w:tr w:rsidR="003303EC" w:rsidRPr="00A163A8" w14:paraId="65BB7089" w14:textId="77777777" w:rsidTr="00766270">
        <w:trPr>
          <w:jc w:val="center"/>
        </w:trPr>
        <w:tc>
          <w:tcPr>
            <w:tcW w:w="22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8AF769" w14:textId="1AF3B669" w:rsidR="003303EC" w:rsidRPr="00A163A8" w:rsidRDefault="007E491E" w:rsidP="007019CD">
            <w:pPr>
              <w:rPr>
                <w:rFonts w:eastAsia="Times New Roman"/>
                <w:sz w:val="20"/>
                <w:szCs w:val="20"/>
                <w:lang w:val="ro-RO"/>
              </w:rPr>
            </w:pPr>
            <w:r w:rsidRPr="00A163A8">
              <w:rPr>
                <w:rFonts w:eastAsia="Times New Roman"/>
                <w:b/>
                <w:bCs/>
                <w:sz w:val="20"/>
                <w:szCs w:val="20"/>
                <w:lang w:val="ro-RO"/>
              </w:rPr>
              <w:t xml:space="preserve">Autoritatea </w:t>
            </w:r>
            <w:r w:rsidR="00D76618" w:rsidRPr="00A163A8">
              <w:rPr>
                <w:rFonts w:eastAsia="Times New Roman"/>
                <w:b/>
                <w:bCs/>
                <w:sz w:val="20"/>
                <w:szCs w:val="20"/>
                <w:lang w:val="ro-RO"/>
              </w:rPr>
              <w:t>administrației</w:t>
            </w:r>
            <w:r w:rsidRPr="00A163A8">
              <w:rPr>
                <w:rFonts w:eastAsia="Times New Roman"/>
                <w:b/>
                <w:bCs/>
                <w:sz w:val="20"/>
                <w:szCs w:val="20"/>
                <w:lang w:val="ro-RO"/>
              </w:rPr>
              <w:t xml:space="preserve"> publice (autor):</w:t>
            </w:r>
          </w:p>
        </w:tc>
        <w:tc>
          <w:tcPr>
            <w:tcW w:w="2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427626" w14:textId="21F39259" w:rsidR="003303EC" w:rsidRPr="00A163A8" w:rsidRDefault="00E33F1A" w:rsidP="007019CD">
            <w:pPr>
              <w:rPr>
                <w:rFonts w:eastAsia="Times New Roman"/>
                <w:lang w:val="ro-RO"/>
              </w:rPr>
            </w:pPr>
            <w:r>
              <w:rPr>
                <w:rFonts w:eastAsia="Times New Roman"/>
                <w:lang w:val="ro-RO"/>
              </w:rPr>
              <w:t>Ministerul Economiei şi Infrastructurii</w:t>
            </w:r>
          </w:p>
        </w:tc>
      </w:tr>
      <w:tr w:rsidR="003303EC" w:rsidRPr="00A163A8" w14:paraId="3BCB067A" w14:textId="77777777" w:rsidTr="00766270">
        <w:trPr>
          <w:jc w:val="center"/>
        </w:trPr>
        <w:tc>
          <w:tcPr>
            <w:tcW w:w="22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D924B7" w14:textId="77777777" w:rsidR="003303EC" w:rsidRPr="00A163A8" w:rsidRDefault="007E491E" w:rsidP="007019CD">
            <w:pPr>
              <w:rPr>
                <w:rFonts w:eastAsia="Times New Roman"/>
                <w:sz w:val="20"/>
                <w:szCs w:val="20"/>
                <w:lang w:val="ro-RO"/>
              </w:rPr>
            </w:pPr>
            <w:r w:rsidRPr="00A163A8">
              <w:rPr>
                <w:rFonts w:eastAsia="Times New Roman"/>
                <w:b/>
                <w:bCs/>
                <w:sz w:val="20"/>
                <w:szCs w:val="20"/>
                <w:lang w:val="ro-RO"/>
              </w:rPr>
              <w:t>Subdiviziunea:</w:t>
            </w:r>
          </w:p>
        </w:tc>
        <w:tc>
          <w:tcPr>
            <w:tcW w:w="2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625E5E" w14:textId="0CF8DDD0" w:rsidR="003303EC" w:rsidRPr="00A163A8" w:rsidRDefault="00E33F1A" w:rsidP="007019CD">
            <w:pPr>
              <w:rPr>
                <w:rFonts w:eastAsia="Times New Roman"/>
                <w:lang w:val="ro-RO"/>
              </w:rPr>
            </w:pPr>
            <w:r>
              <w:rPr>
                <w:rFonts w:eastAsia="Times New Roman"/>
                <w:lang w:val="ro-RO"/>
              </w:rPr>
              <w:t xml:space="preserve">Direcţia politici economice şi mediul de afaceri, Secţia reglementarea mediului d afaceri şi IMM </w:t>
            </w:r>
          </w:p>
        </w:tc>
      </w:tr>
      <w:tr w:rsidR="003303EC" w:rsidRPr="00D171DB" w14:paraId="7B2477B7" w14:textId="77777777" w:rsidTr="00766270">
        <w:trPr>
          <w:jc w:val="center"/>
        </w:trPr>
        <w:tc>
          <w:tcPr>
            <w:tcW w:w="22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C45759" w14:textId="77777777" w:rsidR="003303EC" w:rsidRPr="00A163A8" w:rsidRDefault="007E491E" w:rsidP="007019CD">
            <w:pPr>
              <w:rPr>
                <w:rFonts w:eastAsia="Times New Roman"/>
                <w:sz w:val="20"/>
                <w:szCs w:val="20"/>
                <w:lang w:val="ro-RO"/>
              </w:rPr>
            </w:pPr>
            <w:r w:rsidRPr="00A163A8">
              <w:rPr>
                <w:rFonts w:eastAsia="Times New Roman"/>
                <w:b/>
                <w:bCs/>
                <w:sz w:val="20"/>
                <w:szCs w:val="20"/>
                <w:lang w:val="ro-RO"/>
              </w:rPr>
              <w:t>Persoana responsabilă şi datele de contact:</w:t>
            </w:r>
          </w:p>
        </w:tc>
        <w:tc>
          <w:tcPr>
            <w:tcW w:w="2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57FA26" w14:textId="62248C34" w:rsidR="003303EC" w:rsidRPr="00A163A8" w:rsidRDefault="00E33F1A" w:rsidP="007019CD">
            <w:pPr>
              <w:rPr>
                <w:rFonts w:eastAsia="Times New Roman"/>
                <w:lang w:val="ro-RO"/>
              </w:rPr>
            </w:pPr>
            <w:r>
              <w:rPr>
                <w:rFonts w:eastAsia="Times New Roman"/>
                <w:lang w:val="ro-RO"/>
              </w:rPr>
              <w:t xml:space="preserve">Chiper Valentina, Şef Secţie </w:t>
            </w:r>
          </w:p>
        </w:tc>
      </w:tr>
      <w:tr w:rsidR="003303EC" w:rsidRPr="00D171DB" w14:paraId="5D57D686" w14:textId="77777777" w:rsidTr="00766270">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11A79C" w14:textId="77777777" w:rsidR="003303EC" w:rsidRPr="00A163A8" w:rsidRDefault="007E491E" w:rsidP="007019CD">
            <w:pPr>
              <w:rPr>
                <w:rFonts w:eastAsia="Times New Roman"/>
                <w:sz w:val="20"/>
                <w:szCs w:val="20"/>
                <w:lang w:val="ro-RO"/>
              </w:rPr>
            </w:pPr>
            <w:r w:rsidRPr="00A163A8">
              <w:rPr>
                <w:rFonts w:eastAsia="Times New Roman"/>
                <w:sz w:val="20"/>
                <w:szCs w:val="20"/>
                <w:lang w:val="ro-RO"/>
              </w:rPr>
              <w:t> </w:t>
            </w:r>
          </w:p>
        </w:tc>
      </w:tr>
    </w:tbl>
    <w:p w14:paraId="0DCDBE21" w14:textId="77777777" w:rsidR="003303EC" w:rsidRPr="00A163A8" w:rsidRDefault="003303EC" w:rsidP="007019CD">
      <w:pPr>
        <w:jc w:val="center"/>
        <w:rPr>
          <w:rFonts w:eastAsia="Times New Roman"/>
          <w:vanish/>
          <w:lang w:val="ro-RO"/>
        </w:rPr>
      </w:pPr>
    </w:p>
    <w:tbl>
      <w:tblPr>
        <w:tblW w:w="5232" w:type="pct"/>
        <w:jc w:val="center"/>
        <w:tblCellMar>
          <w:top w:w="15" w:type="dxa"/>
          <w:left w:w="15" w:type="dxa"/>
          <w:bottom w:w="15" w:type="dxa"/>
          <w:right w:w="15" w:type="dxa"/>
        </w:tblCellMar>
        <w:tblLook w:val="04A0" w:firstRow="1" w:lastRow="0" w:firstColumn="1" w:lastColumn="0" w:noHBand="0" w:noVBand="1"/>
      </w:tblPr>
      <w:tblGrid>
        <w:gridCol w:w="10318"/>
        <w:gridCol w:w="159"/>
      </w:tblGrid>
      <w:tr w:rsidR="003303EC" w:rsidRPr="00A163A8" w14:paraId="0F8D669C" w14:textId="77777777" w:rsidTr="007019CD">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2903BD99" w14:textId="77777777" w:rsidR="003303EC" w:rsidRPr="00A163A8" w:rsidRDefault="007E491E" w:rsidP="007019CD">
            <w:pPr>
              <w:pStyle w:val="cn"/>
              <w:rPr>
                <w:sz w:val="20"/>
                <w:szCs w:val="20"/>
                <w:lang w:val="ro-RO"/>
              </w:rPr>
            </w:pPr>
            <w:r w:rsidRPr="00A163A8">
              <w:rPr>
                <w:b/>
                <w:bCs/>
                <w:sz w:val="20"/>
                <w:szCs w:val="20"/>
                <w:lang w:val="ro-RO"/>
              </w:rPr>
              <w:t>Compartimentele analizei impactului</w:t>
            </w:r>
          </w:p>
        </w:tc>
      </w:tr>
      <w:tr w:rsidR="003303EC" w:rsidRPr="00A163A8" w14:paraId="066D5DFF" w14:textId="77777777" w:rsidTr="007019CD">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A621D9" w14:textId="77777777" w:rsidR="003303EC" w:rsidRPr="00A163A8" w:rsidRDefault="007E491E" w:rsidP="007019CD">
            <w:pPr>
              <w:rPr>
                <w:rFonts w:eastAsia="Times New Roman"/>
                <w:sz w:val="20"/>
                <w:szCs w:val="20"/>
                <w:lang w:val="ro-RO"/>
              </w:rPr>
            </w:pPr>
            <w:r w:rsidRPr="00A163A8">
              <w:rPr>
                <w:rFonts w:eastAsia="Times New Roman"/>
                <w:b/>
                <w:bCs/>
                <w:sz w:val="20"/>
                <w:szCs w:val="20"/>
                <w:lang w:val="ro-RO"/>
              </w:rPr>
              <w:t>1. Definirea problemei</w:t>
            </w:r>
          </w:p>
        </w:tc>
      </w:tr>
      <w:tr w:rsidR="003303EC" w:rsidRPr="00A163A8" w14:paraId="6AF01C3E" w14:textId="77777777" w:rsidTr="007019CD">
        <w:trPr>
          <w:jc w:val="center"/>
        </w:trPr>
        <w:tc>
          <w:tcPr>
            <w:tcW w:w="492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BBC326" w14:textId="77777777" w:rsidR="003303EC" w:rsidRPr="00D45474" w:rsidRDefault="007E491E" w:rsidP="007019CD">
            <w:pPr>
              <w:rPr>
                <w:rFonts w:eastAsia="Times New Roman"/>
                <w:i/>
                <w:sz w:val="20"/>
                <w:szCs w:val="20"/>
                <w:lang w:val="ro-RO"/>
              </w:rPr>
            </w:pPr>
            <w:r w:rsidRPr="00D45474">
              <w:rPr>
                <w:rFonts w:eastAsia="Times New Roman"/>
                <w:i/>
                <w:sz w:val="20"/>
                <w:szCs w:val="20"/>
                <w:lang w:val="ro-RO"/>
              </w:rPr>
              <w:t>a) Determinaţi clar şi concis problema şi/sau problemele care urmează să fie soluţionate</w:t>
            </w:r>
          </w:p>
        </w:tc>
        <w:tc>
          <w:tcPr>
            <w:tcW w:w="76"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3A3A5588" w14:textId="77777777" w:rsidR="003303EC" w:rsidRPr="00A163A8" w:rsidRDefault="003303EC" w:rsidP="007019CD">
            <w:pPr>
              <w:rPr>
                <w:rFonts w:eastAsia="Times New Roman"/>
                <w:sz w:val="20"/>
                <w:szCs w:val="20"/>
                <w:lang w:val="ro-RO"/>
              </w:rPr>
            </w:pPr>
          </w:p>
        </w:tc>
      </w:tr>
      <w:tr w:rsidR="003303EC" w:rsidRPr="00D171DB" w14:paraId="5F363D7D" w14:textId="77777777" w:rsidTr="007019CD">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0A92ACD2" w14:textId="3BE4690C" w:rsidR="00A93794" w:rsidRPr="00A163A8" w:rsidRDefault="00A93794" w:rsidP="00A0099C">
            <w:pPr>
              <w:pStyle w:val="NormalWeb"/>
              <w:ind w:firstLine="373"/>
              <w:rPr>
                <w:lang w:val="ro-RO"/>
              </w:rPr>
            </w:pPr>
            <w:r w:rsidRPr="00A163A8">
              <w:rPr>
                <w:lang w:val="ro-RO"/>
              </w:rPr>
              <w:t>Problema fundamentală examinată în cadrul analizei de impact rezidă în costuri înalte pentru întreprinzător la inițierea și desfășurarea afacerilor din cauza</w:t>
            </w:r>
            <w:r w:rsidR="00A0099C" w:rsidRPr="00A163A8">
              <w:rPr>
                <w:lang w:val="ro-RO"/>
              </w:rPr>
              <w:t xml:space="preserve"> lacunelor în eficiența și eficacitatea</w:t>
            </w:r>
            <w:r w:rsidRPr="00A163A8">
              <w:rPr>
                <w:lang w:val="ro-RO"/>
              </w:rPr>
              <w:t xml:space="preserve"> autorităților publice, abuzurilor și aplicării incorecte a cadrului normativ</w:t>
            </w:r>
            <w:r w:rsidR="00A0099C" w:rsidRPr="00A163A8">
              <w:rPr>
                <w:lang w:val="ro-RO"/>
              </w:rPr>
              <w:t xml:space="preserve"> de către aceste autorități și instituții</w:t>
            </w:r>
            <w:r w:rsidRPr="00A163A8">
              <w:rPr>
                <w:lang w:val="ro-RO"/>
              </w:rPr>
              <w:t xml:space="preserve">, în detrimentul </w:t>
            </w:r>
            <w:r w:rsidR="00DE1588">
              <w:rPr>
                <w:lang w:val="ro-RO"/>
              </w:rPr>
              <w:t xml:space="preserve">drepturilor și intereselor </w:t>
            </w:r>
            <w:r w:rsidRPr="00A163A8">
              <w:rPr>
                <w:lang w:val="ro-RO"/>
              </w:rPr>
              <w:t>întreprinzătorilor. Acești factori cauzează prejudicii/cheltuieli nejustificate ce nu doar diminuează competitivitatea și productivitatea agenților economici dar și influențează formarea prețurilor și structura pieței, prejudiciind în final</w:t>
            </w:r>
            <w:r w:rsidR="00396C54" w:rsidRPr="00A163A8">
              <w:rPr>
                <w:lang w:val="ro-RO"/>
              </w:rPr>
              <w:t xml:space="preserve"> și</w:t>
            </w:r>
            <w:r w:rsidRPr="00A163A8">
              <w:rPr>
                <w:lang w:val="ro-RO"/>
              </w:rPr>
              <w:t xml:space="preserve"> interesul consumatorilor.  </w:t>
            </w:r>
          </w:p>
          <w:p w14:paraId="18786E90" w14:textId="77777777" w:rsidR="00430AD5" w:rsidRPr="00A163A8" w:rsidRDefault="00430AD5" w:rsidP="00A0099C">
            <w:pPr>
              <w:pStyle w:val="NormalWeb"/>
              <w:ind w:firstLine="373"/>
              <w:rPr>
                <w:lang w:val="ro-RO"/>
              </w:rPr>
            </w:pPr>
          </w:p>
        </w:tc>
      </w:tr>
      <w:tr w:rsidR="003303EC" w:rsidRPr="00D171DB" w14:paraId="6ACEFFBB" w14:textId="77777777" w:rsidTr="007019CD">
        <w:trPr>
          <w:jc w:val="center"/>
        </w:trPr>
        <w:tc>
          <w:tcPr>
            <w:tcW w:w="492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E1C093" w14:textId="77777777" w:rsidR="003303EC" w:rsidRPr="00D45474" w:rsidRDefault="007E491E" w:rsidP="007019CD">
            <w:pPr>
              <w:rPr>
                <w:rFonts w:eastAsia="Times New Roman"/>
                <w:i/>
                <w:sz w:val="20"/>
                <w:szCs w:val="20"/>
                <w:lang w:val="ro-RO"/>
              </w:rPr>
            </w:pPr>
            <w:r w:rsidRPr="00D45474">
              <w:rPr>
                <w:rFonts w:eastAsia="Times New Roman"/>
                <w:i/>
                <w:sz w:val="20"/>
                <w:szCs w:val="20"/>
                <w:lang w:val="ro-RO"/>
              </w:rPr>
              <w:t>b) Descrieţi problema, persoanele/entităţile afectate şi cele care contribuie la apariţia problemei, cu justificarea necesităţii schimbării situaţiei curente şi viitoare, în baza dovezilor şi datelor colectate şi examinate</w:t>
            </w:r>
          </w:p>
        </w:tc>
        <w:tc>
          <w:tcPr>
            <w:tcW w:w="76"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75A58AE9" w14:textId="77777777" w:rsidR="003303EC" w:rsidRPr="00A163A8" w:rsidRDefault="003303EC" w:rsidP="007019CD">
            <w:pPr>
              <w:rPr>
                <w:rFonts w:eastAsia="Times New Roman"/>
                <w:sz w:val="20"/>
                <w:szCs w:val="20"/>
                <w:lang w:val="ro-RO"/>
              </w:rPr>
            </w:pPr>
          </w:p>
        </w:tc>
      </w:tr>
      <w:tr w:rsidR="003303EC" w:rsidRPr="00D171DB" w14:paraId="5B144E82" w14:textId="77777777" w:rsidTr="007019CD">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7FA67575" w14:textId="682AA157" w:rsidR="00160DB7" w:rsidRPr="00A163A8" w:rsidRDefault="00C86CA3" w:rsidP="00106FDD">
            <w:pPr>
              <w:pStyle w:val="NormalWeb"/>
              <w:ind w:firstLine="373"/>
              <w:rPr>
                <w:lang w:val="ro-RO"/>
              </w:rPr>
            </w:pPr>
            <w:r w:rsidRPr="00A163A8">
              <w:rPr>
                <w:lang w:val="ro-RO"/>
              </w:rPr>
              <w:t xml:space="preserve">Conform datelor prezentate de Biroul </w:t>
            </w:r>
            <w:r w:rsidR="00DE1588">
              <w:rPr>
                <w:lang w:val="ro-RO"/>
              </w:rPr>
              <w:t xml:space="preserve">Național </w:t>
            </w:r>
            <w:r w:rsidRPr="00A163A8">
              <w:rPr>
                <w:lang w:val="ro-RO"/>
              </w:rPr>
              <w:t xml:space="preserve">de Statistică în Moldova </w:t>
            </w:r>
            <w:r w:rsidR="00160DB7" w:rsidRPr="00A163A8">
              <w:rPr>
                <w:lang w:val="ro-RO"/>
              </w:rPr>
              <w:t>în</w:t>
            </w:r>
            <w:r w:rsidR="00383C83" w:rsidRPr="00A163A8">
              <w:rPr>
                <w:lang w:val="ro-RO"/>
              </w:rPr>
              <w:t xml:space="preserve"> 2018</w:t>
            </w:r>
            <w:r w:rsidR="00160DB7" w:rsidRPr="00A163A8">
              <w:rPr>
                <w:lang w:val="ro-RO"/>
              </w:rPr>
              <w:t xml:space="preserve"> </w:t>
            </w:r>
            <w:r w:rsidR="00383C83" w:rsidRPr="00A163A8">
              <w:rPr>
                <w:lang w:val="ro-RO"/>
              </w:rPr>
              <w:t>se atestau</w:t>
            </w:r>
            <w:r w:rsidR="00160DB7" w:rsidRPr="00A163A8">
              <w:rPr>
                <w:lang w:val="ro-RO"/>
              </w:rPr>
              <w:t xml:space="preserve"> circa 56,5</w:t>
            </w:r>
            <w:r w:rsidRPr="00A163A8">
              <w:rPr>
                <w:lang w:val="ro-RO"/>
              </w:rPr>
              <w:t xml:space="preserve"> mii de întreprinderi</w:t>
            </w:r>
            <w:r w:rsidR="00383C83" w:rsidRPr="00A163A8">
              <w:rPr>
                <w:lang w:val="ro-RO"/>
              </w:rPr>
              <w:t xml:space="preserve"> active</w:t>
            </w:r>
            <w:r w:rsidRPr="00A163A8">
              <w:rPr>
                <w:lang w:val="ro-RO"/>
              </w:rPr>
              <w:t xml:space="preserve">, dintre care 98% se încadrează în categoria întreprinderilor mici și mijlocii. </w:t>
            </w:r>
            <w:r w:rsidR="00160DB7" w:rsidRPr="00A163A8">
              <w:rPr>
                <w:lang w:val="ro-RO"/>
              </w:rPr>
              <w:t xml:space="preserve">Acestea </w:t>
            </w:r>
            <w:r w:rsidR="00EA5421">
              <w:rPr>
                <w:lang w:val="ro-RO"/>
              </w:rPr>
              <w:t>au raportat în anul 2018 o cifră</w:t>
            </w:r>
            <w:r w:rsidR="00160DB7" w:rsidRPr="00A163A8">
              <w:rPr>
                <w:lang w:val="ro-RO"/>
              </w:rPr>
              <w:t xml:space="preserve"> din </w:t>
            </w:r>
            <w:proofErr w:type="spellStart"/>
            <w:r w:rsidR="00160DB7" w:rsidRPr="00A163A8">
              <w:rPr>
                <w:lang w:val="ro-RO"/>
              </w:rPr>
              <w:t>vînzări</w:t>
            </w:r>
            <w:proofErr w:type="spellEnd"/>
            <w:r w:rsidR="00160DB7" w:rsidRPr="00A163A8">
              <w:rPr>
                <w:lang w:val="ro-RO"/>
              </w:rPr>
              <w:t xml:space="preserve"> de circa 356,7 </w:t>
            </w:r>
            <w:proofErr w:type="spellStart"/>
            <w:r w:rsidR="00160DB7" w:rsidRPr="00A163A8">
              <w:rPr>
                <w:lang w:val="ro-RO"/>
              </w:rPr>
              <w:t>mlrd</w:t>
            </w:r>
            <w:proofErr w:type="spellEnd"/>
            <w:r w:rsidR="006044FB" w:rsidRPr="00A163A8">
              <w:rPr>
                <w:lang w:val="ro-RO"/>
              </w:rPr>
              <w:t>.</w:t>
            </w:r>
            <w:r w:rsidR="00160DB7" w:rsidRPr="00A163A8">
              <w:rPr>
                <w:lang w:val="ro-RO"/>
              </w:rPr>
              <w:t xml:space="preserve"> lei. Activitatea acestora reprezintă fundamentul exi</w:t>
            </w:r>
            <w:r w:rsidR="00383C83" w:rsidRPr="00A163A8">
              <w:rPr>
                <w:lang w:val="ro-RO"/>
              </w:rPr>
              <w:t xml:space="preserve">stenței economice a statului, </w:t>
            </w:r>
            <w:r w:rsidR="00160DB7" w:rsidRPr="00A163A8">
              <w:rPr>
                <w:lang w:val="ro-RO"/>
              </w:rPr>
              <w:t xml:space="preserve">a stabilității și dezvoltării sociale. </w:t>
            </w:r>
            <w:r w:rsidR="00383C83" w:rsidRPr="00A163A8">
              <w:rPr>
                <w:lang w:val="ro-RO"/>
              </w:rPr>
              <w:t xml:space="preserve">Unul din scopurile primordiale a administrației publice centrale, pentru a asigura dezvoltarea economică durabilă, este de a spori cifra de </w:t>
            </w:r>
            <w:proofErr w:type="spellStart"/>
            <w:r w:rsidR="00383C83" w:rsidRPr="00A163A8">
              <w:rPr>
                <w:lang w:val="ro-RO"/>
              </w:rPr>
              <w:t>vînzări</w:t>
            </w:r>
            <w:proofErr w:type="spellEnd"/>
            <w:r w:rsidR="00D1794F" w:rsidRPr="00A163A8">
              <w:rPr>
                <w:lang w:val="ro-RO"/>
              </w:rPr>
              <w:t xml:space="preserve"> a întreprinderilor, fără a prejudicia</w:t>
            </w:r>
            <w:r w:rsidR="00383C83" w:rsidRPr="00A163A8">
              <w:rPr>
                <w:lang w:val="ro-RO"/>
              </w:rPr>
              <w:t xml:space="preserve"> </w:t>
            </w:r>
            <w:r w:rsidR="00D1794F" w:rsidRPr="00A163A8">
              <w:rPr>
                <w:lang w:val="ro-RO"/>
              </w:rPr>
              <w:t>interesul consumatorului. Acest obiectiv poate fi realizat prin explorarea și analiza factorilor care duc la eșecul pieței și mărirea costurilor tranzacționale pentru mediul de afaceri. Prin eliminarea acestora pot fi scăzute cheltuielile nejustificate ale mediului de afaceri, fiind astfel mărite cifra de venituri, ceea ce presupune inclusiv mărirea competitivității produselor și colectarea resurselor suplimentare la bugetul de stat.</w:t>
            </w:r>
          </w:p>
          <w:p w14:paraId="2FF5103A" w14:textId="6734D61D" w:rsidR="00106FDD" w:rsidRPr="00A163A8" w:rsidRDefault="006C407D" w:rsidP="00106FDD">
            <w:pPr>
              <w:pStyle w:val="NormalWeb"/>
              <w:ind w:firstLine="373"/>
              <w:rPr>
                <w:lang w:val="ro-RO"/>
              </w:rPr>
            </w:pPr>
            <w:r w:rsidRPr="00A163A8">
              <w:rPr>
                <w:lang w:val="ro-RO"/>
              </w:rPr>
              <w:t>Principalii factori</w:t>
            </w:r>
            <w:r w:rsidR="00D1794F" w:rsidRPr="00A163A8">
              <w:rPr>
                <w:lang w:val="ro-RO"/>
              </w:rPr>
              <w:t xml:space="preserve"> în prezent</w:t>
            </w:r>
            <w:r w:rsidRPr="00A163A8">
              <w:rPr>
                <w:lang w:val="ro-RO"/>
              </w:rPr>
              <w:t xml:space="preserve"> care duc la cheltuieli nejustificate și povară suplimentară pentru mediul de afaceri</w:t>
            </w:r>
            <w:r w:rsidR="00D1794F" w:rsidRPr="00A163A8">
              <w:rPr>
                <w:lang w:val="ro-RO"/>
              </w:rPr>
              <w:t xml:space="preserve"> din partea autorităților publice,</w:t>
            </w:r>
            <w:r w:rsidRPr="00A163A8">
              <w:rPr>
                <w:lang w:val="ro-RO"/>
              </w:rPr>
              <w:t xml:space="preserve"> țin de: </w:t>
            </w:r>
          </w:p>
          <w:p w14:paraId="677C4B52" w14:textId="77777777" w:rsidR="006C407D" w:rsidRPr="00A163A8" w:rsidRDefault="006C407D" w:rsidP="00106FDD">
            <w:pPr>
              <w:pStyle w:val="NormalWeb"/>
              <w:ind w:firstLine="0"/>
              <w:rPr>
                <w:lang w:val="ro-RO"/>
              </w:rPr>
            </w:pPr>
            <w:r w:rsidRPr="00A163A8">
              <w:rPr>
                <w:lang w:val="ro-RO"/>
              </w:rPr>
              <w:t xml:space="preserve">a) calitatea reglementării activității de întreprinzător; </w:t>
            </w:r>
          </w:p>
          <w:p w14:paraId="26628938" w14:textId="7EC9E832" w:rsidR="006C407D" w:rsidRPr="00A163A8" w:rsidRDefault="006C407D" w:rsidP="007019CD">
            <w:pPr>
              <w:pStyle w:val="NormalWeb"/>
              <w:ind w:firstLine="0"/>
              <w:rPr>
                <w:lang w:val="ro-RO"/>
              </w:rPr>
            </w:pPr>
            <w:r w:rsidRPr="00A163A8">
              <w:rPr>
                <w:lang w:val="ro-RO"/>
              </w:rPr>
              <w:t xml:space="preserve">b) </w:t>
            </w:r>
            <w:r w:rsidR="002913D3">
              <w:rPr>
                <w:lang w:val="ro-RO"/>
              </w:rPr>
              <w:t xml:space="preserve">carențele </w:t>
            </w:r>
            <w:r w:rsidRPr="00A163A8">
              <w:rPr>
                <w:lang w:val="ro-RO"/>
              </w:rPr>
              <w:t>sistemul</w:t>
            </w:r>
            <w:r w:rsidR="002913D3">
              <w:rPr>
                <w:lang w:val="ro-RO"/>
              </w:rPr>
              <w:t>ui</w:t>
            </w:r>
            <w:r w:rsidRPr="00A163A8">
              <w:rPr>
                <w:lang w:val="ro-RO"/>
              </w:rPr>
              <w:t xml:space="preserve"> de control de stat a activității de întreprinzător; </w:t>
            </w:r>
          </w:p>
          <w:p w14:paraId="2D36E98F" w14:textId="77777777" w:rsidR="006C407D" w:rsidRPr="00A163A8" w:rsidRDefault="006C407D" w:rsidP="007019CD">
            <w:pPr>
              <w:pStyle w:val="NormalWeb"/>
              <w:ind w:firstLine="0"/>
              <w:rPr>
                <w:lang w:val="ro-RO"/>
              </w:rPr>
            </w:pPr>
            <w:r w:rsidRPr="00A163A8">
              <w:rPr>
                <w:lang w:val="ro-RO"/>
              </w:rPr>
              <w:t xml:space="preserve">c) nivelul de calitate și eficiență în prestarea serviciilor publice impuse de lege, în special deficiențe în procesul de emitere a actelor permisive, efectuarea înregistrărilor obligatorii, expertizărilor ș.a.; </w:t>
            </w:r>
          </w:p>
          <w:p w14:paraId="2EAADFFA" w14:textId="77777777" w:rsidR="00013685" w:rsidRPr="00A163A8" w:rsidRDefault="006C407D" w:rsidP="007019CD">
            <w:pPr>
              <w:pStyle w:val="NormalWeb"/>
              <w:ind w:firstLine="0"/>
              <w:rPr>
                <w:lang w:val="ro-RO"/>
              </w:rPr>
            </w:pPr>
            <w:r w:rsidRPr="00A163A8">
              <w:rPr>
                <w:lang w:val="ro-RO"/>
              </w:rPr>
              <w:t>d) calitatea sistemului judecătoresc și eficacitatea funcționării procesului de urmărire penală.</w:t>
            </w:r>
          </w:p>
          <w:p w14:paraId="6C5F492B" w14:textId="22DDC1B9" w:rsidR="00AD39C7" w:rsidRPr="00A163A8" w:rsidRDefault="007F081E" w:rsidP="00106FDD">
            <w:pPr>
              <w:pStyle w:val="NormalWeb"/>
              <w:ind w:firstLine="373"/>
              <w:rPr>
                <w:lang w:val="ro-RO"/>
              </w:rPr>
            </w:pPr>
            <w:r w:rsidRPr="00A163A8">
              <w:rPr>
                <w:lang w:val="ro-RO"/>
              </w:rPr>
              <w:t xml:space="preserve">Carențele fundamentale în privința calității actelor emise de </w:t>
            </w:r>
            <w:r w:rsidR="002913D3">
              <w:rPr>
                <w:lang w:val="ro-RO"/>
              </w:rPr>
              <w:t>autoritățile publice</w:t>
            </w:r>
            <w:r w:rsidRPr="00A163A8">
              <w:rPr>
                <w:lang w:val="ro-RO"/>
              </w:rPr>
              <w:t>, precum și modul de efectuare a controlului de stat, de prestare a serviciilor publice obligatorii și de reglementare a conduitei agenților economici sunt vizibile în statistica colectată de Ministerul Justiției, cu privire la contestările înaintate în instanța de contencios administrativ:</w:t>
            </w:r>
          </w:p>
          <w:p w14:paraId="1E86DE2D" w14:textId="77777777" w:rsidR="00AD39C7" w:rsidRPr="00A163A8" w:rsidRDefault="00AD39C7" w:rsidP="00106FDD">
            <w:pPr>
              <w:pStyle w:val="NormalWeb"/>
              <w:ind w:firstLine="373"/>
              <w:rPr>
                <w:lang w:val="ro-RO"/>
              </w:rPr>
            </w:pPr>
          </w:p>
          <w:tbl>
            <w:tblPr>
              <w:tblStyle w:val="TableGrid"/>
              <w:tblW w:w="0" w:type="auto"/>
              <w:tblInd w:w="226" w:type="dxa"/>
              <w:tblLook w:val="04A0" w:firstRow="1" w:lastRow="0" w:firstColumn="1" w:lastColumn="0" w:noHBand="0" w:noVBand="1"/>
            </w:tblPr>
            <w:tblGrid>
              <w:gridCol w:w="5953"/>
              <w:gridCol w:w="851"/>
              <w:gridCol w:w="850"/>
              <w:gridCol w:w="851"/>
              <w:gridCol w:w="1276"/>
            </w:tblGrid>
            <w:tr w:rsidR="00AD39C7" w:rsidRPr="00A163A8" w14:paraId="7FFAC940" w14:textId="77777777" w:rsidTr="007F081E">
              <w:tc>
                <w:tcPr>
                  <w:tcW w:w="9781" w:type="dxa"/>
                  <w:gridSpan w:val="5"/>
                </w:tcPr>
                <w:p w14:paraId="37061906" w14:textId="77777777" w:rsidR="00AD39C7" w:rsidRPr="00A163A8" w:rsidRDefault="00AD39C7" w:rsidP="00AD39C7">
                  <w:pPr>
                    <w:rPr>
                      <w:rFonts w:ascii="Times New Roman" w:hAnsi="Times New Roman" w:cs="Times New Roman"/>
                      <w:lang w:val="ro-RO"/>
                    </w:rPr>
                  </w:pPr>
                  <w:r w:rsidRPr="00A163A8">
                    <w:rPr>
                      <w:rFonts w:ascii="Times New Roman" w:hAnsi="Times New Roman" w:cs="Times New Roman"/>
                      <w:lang w:val="ro-RO"/>
                    </w:rPr>
                    <w:t>Acțiuni privind controlul legalității actelor administrative ale ministerelor și organelor administrației centrale de specialitate</w:t>
                  </w:r>
                </w:p>
              </w:tc>
            </w:tr>
            <w:tr w:rsidR="00AD39C7" w:rsidRPr="00A163A8" w14:paraId="2AE5E4DB" w14:textId="77777777" w:rsidTr="007F081E">
              <w:tc>
                <w:tcPr>
                  <w:tcW w:w="5953" w:type="dxa"/>
                  <w:shd w:val="clear" w:color="auto" w:fill="BDD6EE" w:themeFill="accent1" w:themeFillTint="66"/>
                </w:tcPr>
                <w:p w14:paraId="5307A6CB" w14:textId="77777777" w:rsidR="00AD39C7" w:rsidRPr="00A163A8" w:rsidRDefault="00AD39C7" w:rsidP="00AD39C7">
                  <w:pPr>
                    <w:rPr>
                      <w:rFonts w:ascii="Times New Roman" w:hAnsi="Times New Roman" w:cs="Times New Roman"/>
                      <w:sz w:val="20"/>
                      <w:szCs w:val="20"/>
                      <w:lang w:val="ro-RO"/>
                    </w:rPr>
                  </w:pPr>
                </w:p>
              </w:tc>
              <w:tc>
                <w:tcPr>
                  <w:tcW w:w="851" w:type="dxa"/>
                  <w:shd w:val="clear" w:color="auto" w:fill="BDD6EE" w:themeFill="accent1" w:themeFillTint="66"/>
                </w:tcPr>
                <w:p w14:paraId="67968E0A" w14:textId="77777777" w:rsidR="00AD39C7" w:rsidRPr="00A163A8" w:rsidRDefault="00AD39C7" w:rsidP="00AD39C7">
                  <w:pPr>
                    <w:jc w:val="center"/>
                    <w:rPr>
                      <w:rFonts w:ascii="Times New Roman" w:hAnsi="Times New Roman" w:cs="Times New Roman"/>
                      <w:i/>
                      <w:sz w:val="20"/>
                      <w:szCs w:val="20"/>
                      <w:lang w:val="ro-RO"/>
                    </w:rPr>
                  </w:pPr>
                  <w:r w:rsidRPr="00A163A8">
                    <w:rPr>
                      <w:rFonts w:ascii="Times New Roman" w:hAnsi="Times New Roman" w:cs="Times New Roman"/>
                      <w:i/>
                      <w:sz w:val="20"/>
                      <w:szCs w:val="20"/>
                      <w:lang w:val="ro-RO"/>
                    </w:rPr>
                    <w:t>2016</w:t>
                  </w:r>
                </w:p>
              </w:tc>
              <w:tc>
                <w:tcPr>
                  <w:tcW w:w="850" w:type="dxa"/>
                  <w:shd w:val="clear" w:color="auto" w:fill="BDD6EE" w:themeFill="accent1" w:themeFillTint="66"/>
                </w:tcPr>
                <w:p w14:paraId="15D3FCBD" w14:textId="77777777" w:rsidR="00AD39C7" w:rsidRPr="00A163A8" w:rsidRDefault="00AD39C7" w:rsidP="00AD39C7">
                  <w:pPr>
                    <w:jc w:val="center"/>
                    <w:rPr>
                      <w:rFonts w:ascii="Times New Roman" w:hAnsi="Times New Roman" w:cs="Times New Roman"/>
                      <w:i/>
                      <w:sz w:val="20"/>
                      <w:szCs w:val="20"/>
                      <w:lang w:val="ro-RO"/>
                    </w:rPr>
                  </w:pPr>
                  <w:r w:rsidRPr="00A163A8">
                    <w:rPr>
                      <w:rFonts w:ascii="Times New Roman" w:hAnsi="Times New Roman" w:cs="Times New Roman"/>
                      <w:i/>
                      <w:sz w:val="20"/>
                      <w:szCs w:val="20"/>
                      <w:lang w:val="ro-RO"/>
                    </w:rPr>
                    <w:t>2017</w:t>
                  </w:r>
                </w:p>
              </w:tc>
              <w:tc>
                <w:tcPr>
                  <w:tcW w:w="851" w:type="dxa"/>
                  <w:shd w:val="clear" w:color="auto" w:fill="BDD6EE" w:themeFill="accent1" w:themeFillTint="66"/>
                </w:tcPr>
                <w:p w14:paraId="00938FBE" w14:textId="77777777" w:rsidR="00AD39C7" w:rsidRPr="00A163A8" w:rsidRDefault="00AD39C7" w:rsidP="00AD39C7">
                  <w:pPr>
                    <w:jc w:val="center"/>
                    <w:rPr>
                      <w:rFonts w:ascii="Times New Roman" w:hAnsi="Times New Roman" w:cs="Times New Roman"/>
                      <w:i/>
                      <w:sz w:val="20"/>
                      <w:szCs w:val="20"/>
                      <w:lang w:val="ro-RO"/>
                    </w:rPr>
                  </w:pPr>
                  <w:r w:rsidRPr="00A163A8">
                    <w:rPr>
                      <w:rFonts w:ascii="Times New Roman" w:hAnsi="Times New Roman" w:cs="Times New Roman"/>
                      <w:i/>
                      <w:sz w:val="20"/>
                      <w:szCs w:val="20"/>
                      <w:lang w:val="ro-RO"/>
                    </w:rPr>
                    <w:t>2018</w:t>
                  </w:r>
                </w:p>
              </w:tc>
              <w:tc>
                <w:tcPr>
                  <w:tcW w:w="1276" w:type="dxa"/>
                  <w:shd w:val="clear" w:color="auto" w:fill="BDD6EE" w:themeFill="accent1" w:themeFillTint="66"/>
                </w:tcPr>
                <w:p w14:paraId="37FE1E87" w14:textId="77777777" w:rsidR="00AD39C7" w:rsidRPr="00A163A8" w:rsidRDefault="00AD39C7" w:rsidP="00AD39C7">
                  <w:pPr>
                    <w:jc w:val="center"/>
                    <w:rPr>
                      <w:rFonts w:ascii="Times New Roman" w:hAnsi="Times New Roman" w:cs="Times New Roman"/>
                      <w:i/>
                      <w:sz w:val="20"/>
                      <w:szCs w:val="20"/>
                      <w:lang w:val="ro-RO"/>
                    </w:rPr>
                  </w:pPr>
                  <w:r w:rsidRPr="00A163A8">
                    <w:rPr>
                      <w:rFonts w:ascii="Times New Roman" w:hAnsi="Times New Roman" w:cs="Times New Roman"/>
                      <w:i/>
                      <w:sz w:val="20"/>
                      <w:szCs w:val="20"/>
                      <w:lang w:val="ro-RO"/>
                    </w:rPr>
                    <w:t>2019 (9 luni)</w:t>
                  </w:r>
                </w:p>
              </w:tc>
            </w:tr>
            <w:tr w:rsidR="00AD39C7" w:rsidRPr="00D171DB" w14:paraId="2FB0B48A" w14:textId="77777777" w:rsidTr="007F081E">
              <w:tc>
                <w:tcPr>
                  <w:tcW w:w="5953" w:type="dxa"/>
                </w:tcPr>
                <w:p w14:paraId="50897342" w14:textId="77777777" w:rsidR="00AD39C7" w:rsidRPr="00A163A8" w:rsidRDefault="00AD39C7" w:rsidP="00AD39C7">
                  <w:pPr>
                    <w:rPr>
                      <w:rFonts w:ascii="Times New Roman" w:hAnsi="Times New Roman" w:cs="Times New Roman"/>
                      <w:sz w:val="20"/>
                      <w:szCs w:val="20"/>
                      <w:lang w:val="ro-RO"/>
                    </w:rPr>
                  </w:pPr>
                  <w:r w:rsidRPr="00A163A8">
                    <w:rPr>
                      <w:rFonts w:ascii="Times New Roman" w:hAnsi="Times New Roman" w:cs="Times New Roman"/>
                      <w:sz w:val="20"/>
                      <w:szCs w:val="20"/>
                      <w:lang w:val="ro-RO"/>
                    </w:rPr>
                    <w:t xml:space="preserve">Numărul de acţiuni parvenite în instanța de fond conform Legii contenciosului administrativ nr.793/2000 </w:t>
                  </w:r>
                </w:p>
              </w:tc>
              <w:tc>
                <w:tcPr>
                  <w:tcW w:w="851" w:type="dxa"/>
                </w:tcPr>
                <w:p w14:paraId="441792AD" w14:textId="77777777" w:rsidR="00AD39C7" w:rsidRPr="00A163A8" w:rsidRDefault="00AD39C7" w:rsidP="00AD39C7">
                  <w:pPr>
                    <w:jc w:val="center"/>
                    <w:rPr>
                      <w:rFonts w:ascii="Times New Roman" w:hAnsi="Times New Roman" w:cs="Times New Roman"/>
                      <w:b/>
                      <w:sz w:val="20"/>
                      <w:szCs w:val="20"/>
                      <w:lang w:val="ro-RO"/>
                    </w:rPr>
                  </w:pPr>
                </w:p>
                <w:p w14:paraId="5762DFAC" w14:textId="77777777" w:rsidR="00AD39C7" w:rsidRPr="00A163A8" w:rsidRDefault="00AD39C7" w:rsidP="00AD39C7">
                  <w:pPr>
                    <w:jc w:val="center"/>
                    <w:rPr>
                      <w:rFonts w:ascii="Times New Roman" w:hAnsi="Times New Roman" w:cs="Times New Roman"/>
                      <w:b/>
                      <w:sz w:val="20"/>
                      <w:szCs w:val="20"/>
                      <w:lang w:val="ro-RO"/>
                    </w:rPr>
                  </w:pPr>
                  <w:r w:rsidRPr="00A163A8">
                    <w:rPr>
                      <w:rFonts w:ascii="Times New Roman" w:hAnsi="Times New Roman" w:cs="Times New Roman"/>
                      <w:b/>
                      <w:sz w:val="20"/>
                      <w:szCs w:val="20"/>
                      <w:lang w:val="ro-RO"/>
                    </w:rPr>
                    <w:t>552</w:t>
                  </w:r>
                </w:p>
              </w:tc>
              <w:tc>
                <w:tcPr>
                  <w:tcW w:w="850" w:type="dxa"/>
                </w:tcPr>
                <w:p w14:paraId="072BA7BF" w14:textId="77777777" w:rsidR="00AD39C7" w:rsidRPr="00A163A8" w:rsidRDefault="00AD39C7" w:rsidP="00AD39C7">
                  <w:pPr>
                    <w:jc w:val="center"/>
                    <w:rPr>
                      <w:rFonts w:ascii="Times New Roman" w:hAnsi="Times New Roman" w:cs="Times New Roman"/>
                      <w:b/>
                      <w:sz w:val="20"/>
                      <w:szCs w:val="20"/>
                      <w:lang w:val="ro-RO"/>
                    </w:rPr>
                  </w:pPr>
                </w:p>
                <w:p w14:paraId="30CF1132" w14:textId="77777777" w:rsidR="00AD39C7" w:rsidRPr="00A163A8" w:rsidRDefault="00AD39C7" w:rsidP="00AD39C7">
                  <w:pPr>
                    <w:jc w:val="center"/>
                    <w:rPr>
                      <w:rFonts w:ascii="Times New Roman" w:hAnsi="Times New Roman" w:cs="Times New Roman"/>
                      <w:b/>
                      <w:sz w:val="20"/>
                      <w:szCs w:val="20"/>
                      <w:lang w:val="ro-RO"/>
                    </w:rPr>
                  </w:pPr>
                  <w:r w:rsidRPr="00A163A8">
                    <w:rPr>
                      <w:rFonts w:ascii="Times New Roman" w:hAnsi="Times New Roman" w:cs="Times New Roman"/>
                      <w:b/>
                      <w:sz w:val="20"/>
                      <w:szCs w:val="20"/>
                      <w:lang w:val="ro-RO"/>
                    </w:rPr>
                    <w:t>593</w:t>
                  </w:r>
                </w:p>
              </w:tc>
              <w:tc>
                <w:tcPr>
                  <w:tcW w:w="851" w:type="dxa"/>
                </w:tcPr>
                <w:p w14:paraId="12D37798" w14:textId="77777777" w:rsidR="00AD39C7" w:rsidRPr="00A163A8" w:rsidRDefault="00AD39C7" w:rsidP="00AD39C7">
                  <w:pPr>
                    <w:jc w:val="center"/>
                    <w:rPr>
                      <w:rFonts w:ascii="Times New Roman" w:hAnsi="Times New Roman" w:cs="Times New Roman"/>
                      <w:b/>
                      <w:sz w:val="20"/>
                      <w:szCs w:val="20"/>
                      <w:lang w:val="ro-RO"/>
                    </w:rPr>
                  </w:pPr>
                </w:p>
                <w:p w14:paraId="559FC02F" w14:textId="77777777" w:rsidR="00AD39C7" w:rsidRPr="00A163A8" w:rsidRDefault="00AD39C7" w:rsidP="00AD39C7">
                  <w:pPr>
                    <w:jc w:val="center"/>
                    <w:rPr>
                      <w:rFonts w:ascii="Times New Roman" w:hAnsi="Times New Roman" w:cs="Times New Roman"/>
                      <w:b/>
                      <w:sz w:val="20"/>
                      <w:szCs w:val="20"/>
                      <w:lang w:val="ro-RO"/>
                    </w:rPr>
                  </w:pPr>
                  <w:r w:rsidRPr="00A163A8">
                    <w:rPr>
                      <w:rFonts w:ascii="Times New Roman" w:hAnsi="Times New Roman" w:cs="Times New Roman"/>
                      <w:b/>
                      <w:sz w:val="20"/>
                      <w:szCs w:val="20"/>
                      <w:lang w:val="ro-RO"/>
                    </w:rPr>
                    <w:t>699</w:t>
                  </w:r>
                </w:p>
              </w:tc>
              <w:tc>
                <w:tcPr>
                  <w:tcW w:w="1276" w:type="dxa"/>
                </w:tcPr>
                <w:p w14:paraId="6C9CAD3A" w14:textId="77777777" w:rsidR="00AD39C7" w:rsidRPr="00A163A8" w:rsidRDefault="00AD39C7" w:rsidP="00AD39C7">
                  <w:pPr>
                    <w:jc w:val="center"/>
                    <w:rPr>
                      <w:rFonts w:ascii="Times New Roman" w:hAnsi="Times New Roman" w:cs="Times New Roman"/>
                      <w:b/>
                      <w:sz w:val="20"/>
                      <w:szCs w:val="20"/>
                      <w:lang w:val="ro-RO"/>
                    </w:rPr>
                  </w:pPr>
                </w:p>
                <w:p w14:paraId="51AE8853" w14:textId="77777777" w:rsidR="00AD39C7" w:rsidRPr="00A163A8" w:rsidRDefault="00AD39C7" w:rsidP="00AD39C7">
                  <w:pPr>
                    <w:jc w:val="center"/>
                    <w:rPr>
                      <w:rFonts w:ascii="Times New Roman" w:hAnsi="Times New Roman" w:cs="Times New Roman"/>
                      <w:b/>
                      <w:sz w:val="20"/>
                      <w:szCs w:val="20"/>
                      <w:lang w:val="ro-RO"/>
                    </w:rPr>
                  </w:pPr>
                  <w:r w:rsidRPr="00A163A8">
                    <w:rPr>
                      <w:rFonts w:ascii="Times New Roman" w:hAnsi="Times New Roman" w:cs="Times New Roman"/>
                      <w:b/>
                      <w:sz w:val="20"/>
                      <w:szCs w:val="20"/>
                      <w:lang w:val="ro-RO"/>
                    </w:rPr>
                    <w:t>1637</w:t>
                  </w:r>
                </w:p>
              </w:tc>
            </w:tr>
            <w:tr w:rsidR="00AD39C7" w:rsidRPr="00D171DB" w14:paraId="61FD8A4A" w14:textId="77777777" w:rsidTr="007F081E">
              <w:tc>
                <w:tcPr>
                  <w:tcW w:w="9781" w:type="dxa"/>
                  <w:gridSpan w:val="5"/>
                </w:tcPr>
                <w:p w14:paraId="6F7120A0" w14:textId="77777777" w:rsidR="00AD39C7" w:rsidRPr="00A163A8" w:rsidRDefault="00AD39C7" w:rsidP="00AD39C7">
                  <w:pPr>
                    <w:jc w:val="right"/>
                    <w:rPr>
                      <w:rFonts w:ascii="Times New Roman" w:hAnsi="Times New Roman" w:cs="Times New Roman"/>
                      <w:b/>
                      <w:sz w:val="20"/>
                      <w:szCs w:val="20"/>
                      <w:lang w:val="ro-RO"/>
                    </w:rPr>
                  </w:pPr>
                  <w:r w:rsidRPr="00A163A8">
                    <w:rPr>
                      <w:rFonts w:ascii="Times New Roman" w:hAnsi="Times New Roman" w:cs="Times New Roman"/>
                      <w:i/>
                      <w:sz w:val="20"/>
                      <w:szCs w:val="20"/>
                      <w:lang w:val="ro-RO"/>
                    </w:rPr>
                    <w:t xml:space="preserve">sursa: </w:t>
                  </w:r>
                  <w:proofErr w:type="spellStart"/>
                  <w:r w:rsidRPr="00A163A8">
                    <w:rPr>
                      <w:rFonts w:ascii="Times New Roman" w:hAnsi="Times New Roman" w:cs="Times New Roman"/>
                      <w:i/>
                      <w:sz w:val="20"/>
                      <w:szCs w:val="20"/>
                      <w:lang w:val="ro-RO"/>
                    </w:rPr>
                    <w:t>justice.gov.md</w:t>
                  </w:r>
                  <w:proofErr w:type="spellEnd"/>
                </w:p>
              </w:tc>
            </w:tr>
          </w:tbl>
          <w:p w14:paraId="56AF35F0" w14:textId="77777777" w:rsidR="00AD39C7" w:rsidRPr="00A163A8" w:rsidRDefault="00AD39C7" w:rsidP="00106FDD">
            <w:pPr>
              <w:pStyle w:val="NormalWeb"/>
              <w:ind w:firstLine="373"/>
              <w:rPr>
                <w:lang w:val="ro-RO"/>
              </w:rPr>
            </w:pPr>
          </w:p>
          <w:p w14:paraId="1AB51819" w14:textId="50C088C1" w:rsidR="00AD39C7" w:rsidRPr="00A163A8" w:rsidRDefault="007F081E" w:rsidP="00106FDD">
            <w:pPr>
              <w:pStyle w:val="NormalWeb"/>
              <w:ind w:firstLine="373"/>
              <w:rPr>
                <w:lang w:val="ro-RO"/>
              </w:rPr>
            </w:pPr>
            <w:r w:rsidRPr="00A163A8">
              <w:rPr>
                <w:lang w:val="ro-RO"/>
              </w:rPr>
              <w:lastRenderedPageBreak/>
              <w:t xml:space="preserve">Este evidentă creșterea continuă a numărului de contestații, în special în ultimii doi ani se atestă creșterea cu mai mult de </w:t>
            </w:r>
            <w:r w:rsidRPr="00A163A8">
              <w:rPr>
                <w:i/>
                <w:u w:val="single"/>
                <w:lang w:val="ro-RO"/>
              </w:rPr>
              <w:t>230%</w:t>
            </w:r>
            <w:r w:rsidRPr="00A163A8">
              <w:rPr>
                <w:lang w:val="ro-RO"/>
              </w:rPr>
              <w:t xml:space="preserve"> a numărului de contestări în cadrul procesului de contencios administrativ împotriva actelor ministerelor și altor organe ale administrației publice centrale (inclusiv organe de control de stat). </w:t>
            </w:r>
          </w:p>
          <w:p w14:paraId="65EDCEEB" w14:textId="4786B136" w:rsidR="00DF5F12" w:rsidRDefault="006257A7" w:rsidP="00106FDD">
            <w:pPr>
              <w:pStyle w:val="NormalWeb"/>
              <w:ind w:firstLine="373"/>
              <w:rPr>
                <w:lang w:val="ro-RO"/>
              </w:rPr>
            </w:pPr>
            <w:r w:rsidRPr="00A163A8">
              <w:rPr>
                <w:lang w:val="ro-RO"/>
              </w:rPr>
              <w:t>Creșterea vertiginoasă a numărului de adresări în instanță este</w:t>
            </w:r>
            <w:r w:rsidR="00770EF4" w:rsidRPr="00A163A8">
              <w:rPr>
                <w:lang w:val="ro-RO"/>
              </w:rPr>
              <w:t xml:space="preserve"> și mai</w:t>
            </w:r>
            <w:r w:rsidRPr="00A163A8">
              <w:rPr>
                <w:lang w:val="ro-RO"/>
              </w:rPr>
              <w:t xml:space="preserve"> </w:t>
            </w:r>
            <w:r w:rsidR="00770EF4" w:rsidRPr="00A163A8">
              <w:rPr>
                <w:lang w:val="ro-RO"/>
              </w:rPr>
              <w:t>surprinzător dacă luăm în calcul că</w:t>
            </w:r>
            <w:r w:rsidRPr="00A163A8">
              <w:rPr>
                <w:lang w:val="ro-RO"/>
              </w:rPr>
              <w:t xml:space="preserve"> procesul judiciar nu este mai ieftin, eficient sau rapid </w:t>
            </w:r>
            <w:r w:rsidR="00D45474" w:rsidRPr="00A163A8">
              <w:rPr>
                <w:lang w:val="ro-RO"/>
              </w:rPr>
              <w:t>decât</w:t>
            </w:r>
            <w:r w:rsidRPr="00A163A8">
              <w:rPr>
                <w:lang w:val="ro-RO"/>
              </w:rPr>
              <w:t xml:space="preserve"> soluționarea pe căi extrajudiciare. În acest sens, conform sondajului reflectat în raportul Băncii Mondiale „</w:t>
            </w:r>
            <w:r w:rsidR="00770EF4" w:rsidRPr="00A163A8">
              <w:rPr>
                <w:lang w:val="ro-RO"/>
              </w:rPr>
              <w:t>Costul Reglementării de Stat a Activității de Întreprinzător</w:t>
            </w:r>
            <w:r w:rsidRPr="00A163A8">
              <w:rPr>
                <w:lang w:val="ro-RO"/>
              </w:rPr>
              <w:t>”</w:t>
            </w:r>
            <w:r w:rsidRPr="00A163A8">
              <w:rPr>
                <w:rStyle w:val="FootnoteReference"/>
                <w:lang w:val="ro-RO"/>
              </w:rPr>
              <w:footnoteReference w:id="1"/>
            </w:r>
            <w:r w:rsidRPr="00A163A8">
              <w:rPr>
                <w:lang w:val="ro-RO"/>
              </w:rPr>
              <w:t xml:space="preserve"> peste 46% din agenții economici nici nu apelează la instanța de judecată în special din cauza perioadei prea îndelungate pentru soluționarea cauzei și luarea deciziilor. </w:t>
            </w:r>
            <w:r w:rsidR="00770EF4" w:rsidRPr="00A163A8">
              <w:rPr>
                <w:lang w:val="ro-RO"/>
              </w:rPr>
              <w:t>Ceea ce indirect, demonstrează în plus, că soluționarea sau evitarea disputelor în afara sistemului judiciar se dovedește în timp mai anevoioasă și mai costisitoare.</w:t>
            </w:r>
          </w:p>
          <w:p w14:paraId="306A3DBE" w14:textId="2E19E652" w:rsidR="006257A7" w:rsidRPr="00A163A8" w:rsidRDefault="00770EF4" w:rsidP="00DF5F12">
            <w:pPr>
              <w:pStyle w:val="NormalWeb"/>
              <w:ind w:firstLine="373"/>
              <w:rPr>
                <w:lang w:val="ro-RO"/>
              </w:rPr>
            </w:pPr>
            <w:r w:rsidRPr="00A163A8">
              <w:rPr>
                <w:lang w:val="ro-RO"/>
              </w:rPr>
              <w:t xml:space="preserve"> </w:t>
            </w:r>
          </w:p>
          <w:p w14:paraId="4DACFC60" w14:textId="4E1F8E6C" w:rsidR="00106FDD" w:rsidRPr="00A163A8" w:rsidRDefault="00106FDD" w:rsidP="00106FDD">
            <w:pPr>
              <w:pStyle w:val="NormalWeb"/>
              <w:ind w:firstLine="373"/>
              <w:rPr>
                <w:lang w:val="ro-RO"/>
              </w:rPr>
            </w:pPr>
            <w:r w:rsidRPr="00A163A8">
              <w:rPr>
                <w:lang w:val="ro-RO"/>
              </w:rPr>
              <w:t xml:space="preserve">a) </w:t>
            </w:r>
            <w:r w:rsidRPr="00A163A8">
              <w:rPr>
                <w:i/>
                <w:u w:val="single"/>
                <w:lang w:val="ro-RO"/>
              </w:rPr>
              <w:t>Calitatea reglementării activității de întreprinzător</w:t>
            </w:r>
          </w:p>
          <w:p w14:paraId="36F426D1" w14:textId="18CAC547" w:rsidR="008C6862" w:rsidRPr="00A163A8" w:rsidRDefault="008C6862" w:rsidP="008C6862">
            <w:pPr>
              <w:pStyle w:val="NormalWeb"/>
              <w:ind w:firstLine="373"/>
              <w:rPr>
                <w:lang w:val="ro-RO"/>
              </w:rPr>
            </w:pPr>
            <w:r w:rsidRPr="00A163A8">
              <w:rPr>
                <w:lang w:val="ro-RO"/>
              </w:rPr>
              <w:t xml:space="preserve">În ultimii zece ani Guvernul a elaborat și implementat mai multe documente de politici și legi care au avut menirea impunerii și realizării reformei cadrului de reglementare a mediului de afaceri și a cuprins un număr imens de amendamente a cadrului normativ şi instituţional care vizau crearea unui mediu de afaceri mai bun. Cu toate acestea, impactul aşteptat al reformelor nu a fost pe deplin materializat. Provocarea de bază a politicii în cauză constă în valorificarea deplină a realizărilor de </w:t>
            </w:r>
            <w:proofErr w:type="spellStart"/>
            <w:r w:rsidRPr="00A163A8">
              <w:rPr>
                <w:lang w:val="ro-RO"/>
              </w:rPr>
              <w:t>pînă</w:t>
            </w:r>
            <w:proofErr w:type="spellEnd"/>
            <w:r w:rsidRPr="00A163A8">
              <w:rPr>
                <w:lang w:val="ro-RO"/>
              </w:rPr>
              <w:t xml:space="preserve"> acum şi crearea unui mediu de afaceri favorabil, care să încurajeze noi investiţii şi să sprijine competitivitatea întreprinderilor autohtone </w:t>
            </w:r>
            <w:proofErr w:type="spellStart"/>
            <w:r w:rsidRPr="00A163A8">
              <w:rPr>
                <w:lang w:val="ro-RO"/>
              </w:rPr>
              <w:t>atît</w:t>
            </w:r>
            <w:proofErr w:type="spellEnd"/>
            <w:r w:rsidRPr="00A163A8">
              <w:rPr>
                <w:lang w:val="ro-RO"/>
              </w:rPr>
              <w:t xml:space="preserve"> pe piaţa internă, </w:t>
            </w:r>
            <w:proofErr w:type="spellStart"/>
            <w:r w:rsidRPr="00A163A8">
              <w:rPr>
                <w:lang w:val="ro-RO"/>
              </w:rPr>
              <w:t>cît</w:t>
            </w:r>
            <w:proofErr w:type="spellEnd"/>
            <w:r w:rsidRPr="00A163A8">
              <w:rPr>
                <w:lang w:val="ro-RO"/>
              </w:rPr>
              <w:t xml:space="preserve"> şi pe pieţele internaţionale. Calitatea reglementărilor lasă de dorit și derivă din faptul că la moment: </w:t>
            </w:r>
            <w:r w:rsidR="006371DA" w:rsidRPr="00A163A8">
              <w:rPr>
                <w:lang w:val="ro-RO"/>
              </w:rPr>
              <w:t>s</w:t>
            </w:r>
            <w:r w:rsidRPr="00A163A8">
              <w:rPr>
                <w:lang w:val="ro-RO"/>
              </w:rPr>
              <w:t xml:space="preserve">e promovează multe legi şi reglementări de autoritățile administrației publice care continuă să fie costisitoare, ineficiente şi neconforme cu principiile de piaţă şi realităţile de afaceri; nu există predictibilitate şi consecvenţă în elaborarea de reglementări; implementarea nu este prognozată; există conflictele de interese în cadrul autorităţilor administraţiei publice din cauza comasării funcţiilor de elaborare de politici, de reglementare, de control şi inspecţie şi de prestări servicii contra plată; etc. </w:t>
            </w:r>
          </w:p>
          <w:p w14:paraId="77782B89" w14:textId="38720437" w:rsidR="008C6862" w:rsidRPr="00A163A8" w:rsidRDefault="008C6862" w:rsidP="008C6862">
            <w:pPr>
              <w:pStyle w:val="NormalWeb"/>
              <w:ind w:firstLine="373"/>
              <w:rPr>
                <w:lang w:val="ro-RO"/>
              </w:rPr>
            </w:pPr>
            <w:r w:rsidRPr="00A163A8">
              <w:rPr>
                <w:lang w:val="ro-RO"/>
              </w:rPr>
              <w:t xml:space="preserve">Calitatea reglementărilor care afectează mediul de afaceri este efectuată potrivit Legii nr.100/2017 </w:t>
            </w:r>
            <w:r w:rsidR="00EA5421">
              <w:rPr>
                <w:lang w:val="ro-RO"/>
              </w:rPr>
              <w:t xml:space="preserve">și </w:t>
            </w:r>
            <w:r w:rsidRPr="00A163A8">
              <w:rPr>
                <w:lang w:val="ro-RO"/>
              </w:rPr>
              <w:t xml:space="preserve">de către Grupul de Lucru pentru reglementarea activității de întreprinzător cu suportul </w:t>
            </w:r>
            <w:r w:rsidR="002F4A77" w:rsidRPr="00A163A8">
              <w:rPr>
                <w:lang w:val="ro-RO"/>
              </w:rPr>
              <w:t>Secretariatului Evaluării Impactului de Reglementare (SEIR)</w:t>
            </w:r>
            <w:r w:rsidRPr="00A163A8">
              <w:rPr>
                <w:lang w:val="ro-RO"/>
              </w:rPr>
              <w:t xml:space="preserve">. Analiza Impactului de Reglementare și Proiectele de acte normative cu impact asupra mediului de afaceri se analizează prin prisma corespunderii cu principiile de reglementare a activității de întreprinzător stabilite prin Legea nr.235/2006. Iar o problema care afectează calitatea reglementărilor ține de faptul că nu toate actele normative cu impact asupra mediului de afaceri sunt expertizate cu AIR de către Grupul de Lucru. În 2019 Cancelaria de Stat cu suportul </w:t>
            </w:r>
            <w:r w:rsidR="002F4A77" w:rsidRPr="00A163A8">
              <w:rPr>
                <w:lang w:val="ro-RO"/>
              </w:rPr>
              <w:t>SEIR</w:t>
            </w:r>
            <w:r w:rsidRPr="00A163A8">
              <w:rPr>
                <w:lang w:val="ro-RO"/>
              </w:rPr>
              <w:t xml:space="preserve"> a monitorizat procesul de realizare al AIR și a acordat suport autorităților în ceea ce ține de elaborarea și avizarea AIR și a proiectelor de acte normative de către Grupul de Lucru al Comisiei de Stat pentru reglementarea activității de întreprinzător. Astfel, numărul de acte normative care reglementează activitatea de întreprinzător aprobate/adoptate de Guvern și Parlament (inclusiv și actele normative aprobate de autoritățile publice centrale sau autoritățile publice care nu se subordonează Guvernului) și publicate în Monitorul Oficial în 2019 au constituit 89 de acte normative. Din acest număr pentru 67 (75%) s-a elaborat Analiza Impactului de Reglementare, precum și au fost analizate și avizate de către Grupul de Lucru pentru reglementarea activității de întreprinzător. Iar pentru 22 (25%) de acte normative nu s-a elaborat AIR și nu s</w:t>
            </w:r>
            <w:r w:rsidR="002F4A77" w:rsidRPr="00A163A8">
              <w:rPr>
                <w:lang w:val="ro-RO"/>
              </w:rPr>
              <w:t>-a</w:t>
            </w:r>
            <w:r w:rsidRPr="00A163A8">
              <w:rPr>
                <w:lang w:val="ro-RO"/>
              </w:rPr>
              <w:t>u avizat de Grupul de Lucru. Din 22 de acte 17 reprezintă ordine departamentale ale APC și inițiative legislative a deputaților.</w:t>
            </w:r>
          </w:p>
          <w:p w14:paraId="16A264E9" w14:textId="28A941AA" w:rsidR="00A80F6F" w:rsidRPr="00A163A8" w:rsidRDefault="008C6862" w:rsidP="003A0155">
            <w:pPr>
              <w:pStyle w:val="NormalWeb"/>
              <w:ind w:firstLine="373"/>
              <w:rPr>
                <w:lang w:val="ro-RO"/>
              </w:rPr>
            </w:pPr>
            <w:r w:rsidRPr="00A163A8">
              <w:rPr>
                <w:lang w:val="ro-RO"/>
              </w:rPr>
              <w:t xml:space="preserve">Astfel una din problemele în procesul de reglementare constă </w:t>
            </w:r>
            <w:r w:rsidR="002913D3">
              <w:rPr>
                <w:lang w:val="ro-RO"/>
              </w:rPr>
              <w:t>în faptul că</w:t>
            </w:r>
            <w:r w:rsidRPr="00A163A8">
              <w:rPr>
                <w:lang w:val="ro-RO"/>
              </w:rPr>
              <w:t xml:space="preserve"> autoritățil</w:t>
            </w:r>
            <w:r w:rsidR="002913D3">
              <w:rPr>
                <w:lang w:val="ro-RO"/>
              </w:rPr>
              <w:t>e</w:t>
            </w:r>
            <w:r w:rsidRPr="00A163A8">
              <w:rPr>
                <w:lang w:val="ro-RO"/>
              </w:rPr>
              <w:t xml:space="preserve"> publice centrale (în special cu funcții de control), contrar atribuțiilor stabilite de lege, continuă să aprobe acte normative și să le impună, fie să aprobe acte normative în temeiul legii, dar care substanțial depășesc limitele stabilite de legiuitor. </w:t>
            </w:r>
          </w:p>
          <w:p w14:paraId="09E16773" w14:textId="6E17FF04" w:rsidR="00A80F6F" w:rsidRDefault="008C6862" w:rsidP="008C6862">
            <w:pPr>
              <w:pStyle w:val="NormalWeb"/>
              <w:ind w:firstLine="373"/>
              <w:rPr>
                <w:lang w:val="ro-RO"/>
              </w:rPr>
            </w:pPr>
            <w:r w:rsidRPr="00A163A8">
              <w:rPr>
                <w:lang w:val="ro-RO"/>
              </w:rPr>
              <w:t>Pentru a diminua sau chiar anihila efectul acestor acte ilegale</w:t>
            </w:r>
            <w:r w:rsidR="002913D3">
              <w:rPr>
                <w:lang w:val="ro-RO"/>
              </w:rPr>
              <w:t>, în viziunea noastră,</w:t>
            </w:r>
            <w:r w:rsidRPr="00A163A8">
              <w:rPr>
                <w:lang w:val="ro-RO"/>
              </w:rPr>
              <w:t xml:space="preserve"> este necesar un efort considerabil din partea mediului de afaceri, aceasta necesită ca în baza contenciosului administrativ, în </w:t>
            </w:r>
            <w:r w:rsidRPr="00A163A8">
              <w:rPr>
                <w:lang w:val="ro-RO"/>
              </w:rPr>
              <w:lastRenderedPageBreak/>
              <w:t xml:space="preserve">instanța de judecată, să fie solicitată excepția de ilegalitate, sau pentru </w:t>
            </w:r>
            <w:proofErr w:type="spellStart"/>
            <w:r w:rsidRPr="00A163A8">
              <w:rPr>
                <w:lang w:val="ro-RO"/>
              </w:rPr>
              <w:t>Hotărîrile</w:t>
            </w:r>
            <w:proofErr w:type="spellEnd"/>
            <w:r w:rsidRPr="00A163A8">
              <w:rPr>
                <w:lang w:val="ro-RO"/>
              </w:rPr>
              <w:t xml:space="preserve"> de Guvern este necesară chiar excepția de constituționalitate. Aceste proceduri sunt destul de anevoioase, costisitoare și necesită mult timp pentru obținerea unei decizii favorabile definitive și irevocabile.</w:t>
            </w:r>
            <w:r w:rsidR="001062A7" w:rsidRPr="00A163A8">
              <w:rPr>
                <w:lang w:val="ro-RO"/>
              </w:rPr>
              <w:t xml:space="preserve"> Din acest considerente, agenții economici destul de rar </w:t>
            </w:r>
            <w:r w:rsidR="007A72DD" w:rsidRPr="00A163A8">
              <w:rPr>
                <w:lang w:val="ro-RO"/>
              </w:rPr>
              <w:t>contestă</w:t>
            </w:r>
            <w:r w:rsidR="001062A7" w:rsidRPr="00A163A8">
              <w:rPr>
                <w:lang w:val="ro-RO"/>
              </w:rPr>
              <w:t xml:space="preserve"> însăși actele normative ilegale, preferă să soluționeze disputele apărute cu organul de control sau autoritatea de reglementar</w:t>
            </w:r>
            <w:r w:rsidR="007A72DD" w:rsidRPr="00A163A8">
              <w:rPr>
                <w:lang w:val="ro-RO"/>
              </w:rPr>
              <w:t>e în mod individual.</w:t>
            </w:r>
          </w:p>
          <w:p w14:paraId="42C1DA92" w14:textId="77777777" w:rsidR="002913D3" w:rsidRPr="00A163A8" w:rsidRDefault="002913D3" w:rsidP="008C6862">
            <w:pPr>
              <w:pStyle w:val="NormalWeb"/>
              <w:ind w:firstLine="373"/>
              <w:rPr>
                <w:lang w:val="ro-RO"/>
              </w:rPr>
            </w:pPr>
          </w:p>
          <w:p w14:paraId="511CD7F4" w14:textId="050FDFA0" w:rsidR="00106FDD" w:rsidRPr="00A163A8" w:rsidRDefault="00106FDD" w:rsidP="00106FDD">
            <w:pPr>
              <w:pStyle w:val="NormalWeb"/>
              <w:ind w:firstLine="373"/>
              <w:rPr>
                <w:lang w:val="ro-RO"/>
              </w:rPr>
            </w:pPr>
            <w:r w:rsidRPr="00A163A8">
              <w:rPr>
                <w:lang w:val="ro-RO"/>
              </w:rPr>
              <w:t xml:space="preserve">b) </w:t>
            </w:r>
            <w:r w:rsidR="002913D3">
              <w:rPr>
                <w:i/>
                <w:u w:val="single"/>
                <w:lang w:val="ro-RO"/>
              </w:rPr>
              <w:t>Carențele</w:t>
            </w:r>
            <w:r w:rsidRPr="00A163A8">
              <w:rPr>
                <w:i/>
                <w:u w:val="single"/>
                <w:lang w:val="ro-RO"/>
              </w:rPr>
              <w:t xml:space="preserve"> sistemului de control de stat a activității de întreprinzător</w:t>
            </w:r>
          </w:p>
          <w:p w14:paraId="56447EB1" w14:textId="4D02B6E5" w:rsidR="002913D3" w:rsidRDefault="00D45474" w:rsidP="004B1E34">
            <w:pPr>
              <w:pStyle w:val="NormalWeb"/>
              <w:ind w:firstLine="373"/>
              <w:rPr>
                <w:lang w:val="ro-RO"/>
              </w:rPr>
            </w:pPr>
            <w:r w:rsidRPr="00A163A8">
              <w:rPr>
                <w:lang w:val="ro-RO"/>
              </w:rPr>
              <w:t>Începând</w:t>
            </w:r>
            <w:r w:rsidR="007A72DD" w:rsidRPr="00A163A8">
              <w:rPr>
                <w:lang w:val="ro-RO"/>
              </w:rPr>
              <w:t xml:space="preserve"> cu 2016</w:t>
            </w:r>
            <w:r w:rsidR="00CE662E" w:rsidRPr="00A163A8">
              <w:rPr>
                <w:lang w:val="ro-RO"/>
              </w:rPr>
              <w:t xml:space="preserve"> Guvernul, cu suportul donatorilor internaționali, a început derularea unei reforme instituționale și normative profundă în sistemul de control de stat. </w:t>
            </w:r>
            <w:r w:rsidR="004B1E34" w:rsidRPr="00A163A8">
              <w:rPr>
                <w:lang w:val="ro-RO"/>
              </w:rPr>
              <w:t>În cadrul organelor cu funcții de control au fost instituite Consiliile de soluționare a disputelor, au fost elaborate şi aprobate prind ordinul autorității publice centrale cu comp</w:t>
            </w:r>
            <w:r w:rsidR="007A72DD" w:rsidRPr="00A163A8">
              <w:rPr>
                <w:lang w:val="ro-RO"/>
              </w:rPr>
              <w:t>etente în domeniul controlului, liste</w:t>
            </w:r>
            <w:r w:rsidR="004B1E34" w:rsidRPr="00A163A8">
              <w:rPr>
                <w:lang w:val="ro-RO"/>
              </w:rPr>
              <w:t xml:space="preserve"> de verificare pentru domeniile de competență ale acestora.</w:t>
            </w:r>
            <w:r w:rsidR="00CE662E" w:rsidRPr="00A163A8">
              <w:rPr>
                <w:lang w:val="ro-RO"/>
              </w:rPr>
              <w:t xml:space="preserve"> În acest mod, pe </w:t>
            </w:r>
            <w:r w:rsidRPr="00A163A8">
              <w:rPr>
                <w:lang w:val="ro-RO"/>
              </w:rPr>
              <w:t>lângă</w:t>
            </w:r>
            <w:r w:rsidR="00CE662E" w:rsidRPr="00A163A8">
              <w:rPr>
                <w:lang w:val="ro-RO"/>
              </w:rPr>
              <w:t xml:space="preserve"> perfecționarea cadrului legislativ în sensul stabilirii mai clare și în detaliu a drepturilor și obligațiilor materiale și procedurale în cadrul controlului de stat, se implementează previzibilitatea controlului dar și mecanisme de soluționare eficientă a disputelor ce rezultă din controlul de stat. Însă, din totalitatea de organe de control, identificate de Legea nr.131/2012</w:t>
            </w:r>
            <w:r w:rsidR="00B65E07" w:rsidRPr="00A163A8">
              <w:rPr>
                <w:lang w:val="ro-RO"/>
              </w:rPr>
              <w:t>,</w:t>
            </w:r>
            <w:r w:rsidR="00CE662E" w:rsidRPr="00A163A8">
              <w:rPr>
                <w:lang w:val="ro-RO"/>
              </w:rPr>
              <w:t xml:space="preserve"> doar o parte din ele au instituit consilii</w:t>
            </w:r>
            <w:r w:rsidR="00B65E07" w:rsidRPr="00A163A8">
              <w:rPr>
                <w:lang w:val="ro-RO"/>
              </w:rPr>
              <w:t xml:space="preserve"> de soluționare a disputelor și</w:t>
            </w:r>
            <w:r w:rsidR="00CE662E" w:rsidRPr="00A163A8">
              <w:rPr>
                <w:lang w:val="ro-RO"/>
              </w:rPr>
              <w:t xml:space="preserve"> încă mai puține, au dezvoltat activitatea acestora și </w:t>
            </w:r>
            <w:r w:rsidR="00B65E07" w:rsidRPr="00A163A8">
              <w:rPr>
                <w:lang w:val="ro-RO"/>
              </w:rPr>
              <w:t xml:space="preserve">liste calitative de verificări, expuse public. Astfel autoritățile cu funcții de reglementare și control nu dezvoltă cadrul instituțional de soluționare a disputelor. </w:t>
            </w:r>
          </w:p>
          <w:p w14:paraId="32C0104F" w14:textId="483DAED4" w:rsidR="004B1E34" w:rsidRPr="00A163A8" w:rsidRDefault="00B65E07" w:rsidP="004B1E34">
            <w:pPr>
              <w:pStyle w:val="NormalWeb"/>
              <w:ind w:firstLine="373"/>
              <w:rPr>
                <w:lang w:val="ro-RO"/>
              </w:rPr>
            </w:pPr>
            <w:r w:rsidRPr="00A163A8">
              <w:rPr>
                <w:lang w:val="ro-RO"/>
              </w:rPr>
              <w:t xml:space="preserve">Deci, în pofida reformelor inițiate, </w:t>
            </w:r>
            <w:r w:rsidR="002913D3">
              <w:rPr>
                <w:lang w:val="ro-RO"/>
              </w:rPr>
              <w:t>rămâne a fi o</w:t>
            </w:r>
            <w:r w:rsidRPr="00A163A8">
              <w:rPr>
                <w:lang w:val="ro-RO"/>
              </w:rPr>
              <w:t xml:space="preserve"> problemă </w:t>
            </w:r>
            <w:r w:rsidR="002913D3">
              <w:rPr>
                <w:lang w:val="ro-RO"/>
              </w:rPr>
              <w:t>întârzierea</w:t>
            </w:r>
            <w:r w:rsidR="001A2CDF">
              <w:rPr>
                <w:lang w:val="ro-RO"/>
              </w:rPr>
              <w:t xml:space="preserve"> din partea</w:t>
            </w:r>
            <w:r w:rsidR="004B1E34" w:rsidRPr="00A163A8">
              <w:rPr>
                <w:lang w:val="ro-RO"/>
              </w:rPr>
              <w:t xml:space="preserve"> autorităților publice conexe (la nivel central și local) în implement</w:t>
            </w:r>
            <w:r w:rsidR="002913D3">
              <w:rPr>
                <w:lang w:val="ro-RO"/>
              </w:rPr>
              <w:t>area</w:t>
            </w:r>
            <w:r w:rsidR="004B1E34" w:rsidRPr="00A163A8">
              <w:rPr>
                <w:lang w:val="ro-RO"/>
              </w:rPr>
              <w:t xml:space="preserve"> Reformei controlului de stat a activității de întreprinzător (asigurarea autorităților publice cu funcții de control: (i) cu liste de verificare conforme cu actele normative metodologice; (ii) cu efectiv instruit; (</w:t>
            </w:r>
            <w:proofErr w:type="spellStart"/>
            <w:r w:rsidR="004B1E34" w:rsidRPr="00A163A8">
              <w:rPr>
                <w:lang w:val="ro-RO"/>
              </w:rPr>
              <w:t>iii</w:t>
            </w:r>
            <w:proofErr w:type="spellEnd"/>
            <w:r w:rsidR="004B1E34" w:rsidRPr="00A163A8">
              <w:rPr>
                <w:lang w:val="ro-RO"/>
              </w:rPr>
              <w:t>) cu soluții de ordin tehnic în cadrul implementării Sistemului Informațional Registrul de Stat al Controlului și a interconectării cu sistemele informaționale conexe</w:t>
            </w:r>
            <w:r w:rsidR="007A72DD" w:rsidRPr="00A163A8">
              <w:rPr>
                <w:lang w:val="ro-RO"/>
              </w:rPr>
              <w:t>.</w:t>
            </w:r>
          </w:p>
          <w:p w14:paraId="1B1022A4" w14:textId="76AD4491" w:rsidR="00402C6D" w:rsidRDefault="00B65E07" w:rsidP="00106FDD">
            <w:pPr>
              <w:pStyle w:val="NormalWeb"/>
              <w:ind w:firstLine="373"/>
              <w:rPr>
                <w:lang w:val="ro-RO"/>
              </w:rPr>
            </w:pPr>
            <w:r w:rsidRPr="00A163A8">
              <w:rPr>
                <w:lang w:val="ro-RO"/>
              </w:rPr>
              <w:t>În același context, o problemă distinctă</w:t>
            </w:r>
            <w:r w:rsidR="006325EC">
              <w:rPr>
                <w:lang w:val="ro-RO"/>
              </w:rPr>
              <w:t>, sesizată din partea mediului de afaceri, ține de neaplicarea Legii nr.131/2012 pentru</w:t>
            </w:r>
            <w:r w:rsidRPr="00A163A8">
              <w:rPr>
                <w:lang w:val="ro-RO"/>
              </w:rPr>
              <w:t xml:space="preserve"> sistemul de control fiscal și vamal. </w:t>
            </w:r>
            <w:r w:rsidR="006325EC">
              <w:rPr>
                <w:lang w:val="ro-RO"/>
              </w:rPr>
              <w:t>D</w:t>
            </w:r>
            <w:r w:rsidRPr="00A163A8">
              <w:rPr>
                <w:lang w:val="ro-RO"/>
              </w:rPr>
              <w:t xml:space="preserve">eși Legea nr.131/2012 pune un accent deosebit pe efectuarea controalelor planificate, odată ce acestea trebuie să fie bazate pe analiza riscurilor, sunt mai transparente și previzibile și permit o marjă mult mai mică de discreție pentru inspector, totuși conform Raportului anual de activitate, publicat de Serviciul Fiscal de Stat pentru 2019, ponderea controalelor planificate din totalul de controale este mai puțin de 1%. </w:t>
            </w:r>
          </w:p>
          <w:p w14:paraId="7D4FA95D" w14:textId="088200AD" w:rsidR="006257A7" w:rsidRPr="00A163A8" w:rsidRDefault="00C2549B" w:rsidP="00106FDD">
            <w:pPr>
              <w:pStyle w:val="NormalWeb"/>
              <w:ind w:firstLine="373"/>
              <w:rPr>
                <w:lang w:val="ro-RO"/>
              </w:rPr>
            </w:pPr>
            <w:r w:rsidRPr="00A163A8">
              <w:rPr>
                <w:lang w:val="ro-RO"/>
              </w:rPr>
              <w:t xml:space="preserve">Percepția mediului de afaceri în privința procesului de efectuare a controlului de stat este corespunzătoare. </w:t>
            </w:r>
            <w:r w:rsidR="00FB36F6" w:rsidRPr="00A163A8">
              <w:rPr>
                <w:lang w:val="ro-RO"/>
              </w:rPr>
              <w:t>Conform sondajului reflectat în raportul Băncii Mondiale „Costul Reglementării de Stat a Activității de Întreprinzător</w:t>
            </w:r>
            <w:r w:rsidR="00402C6D">
              <w:rPr>
                <w:lang w:val="ro-RO"/>
              </w:rPr>
              <w:t xml:space="preserve"> 2019</w:t>
            </w:r>
            <w:r w:rsidR="00FB36F6" w:rsidRPr="00A163A8">
              <w:rPr>
                <w:lang w:val="ro-RO"/>
              </w:rPr>
              <w:t>”</w:t>
            </w:r>
            <w:r w:rsidRPr="00A163A8">
              <w:rPr>
                <w:rStyle w:val="FootnoteReference"/>
                <w:lang w:val="ro-RO"/>
              </w:rPr>
              <w:footnoteReference w:id="2"/>
            </w:r>
            <w:r w:rsidR="00FB36F6" w:rsidRPr="00A163A8">
              <w:rPr>
                <w:lang w:val="ro-RO"/>
              </w:rPr>
              <w:t xml:space="preserve"> </w:t>
            </w:r>
            <w:r w:rsidR="00D94AEA" w:rsidRPr="00A163A8">
              <w:rPr>
                <w:lang w:val="ro-RO"/>
              </w:rPr>
              <w:t>c</w:t>
            </w:r>
            <w:r w:rsidR="006257A7" w:rsidRPr="00A163A8">
              <w:rPr>
                <w:lang w:val="ro-RO"/>
              </w:rPr>
              <w:t>irca 46% din respondenți consideră că legea este întotdeauna aplicată selectiv în cadrul controlului de stat, în dependență de atitudinea persoanelor publice, alte 22% sunt parțial de acord cu respectiva afirmație.</w:t>
            </w:r>
          </w:p>
          <w:p w14:paraId="3CD337CE" w14:textId="54D05C5C" w:rsidR="00C2549B" w:rsidRPr="00A163A8" w:rsidRDefault="00C2549B" w:rsidP="00106FDD">
            <w:pPr>
              <w:pStyle w:val="NormalWeb"/>
              <w:ind w:firstLine="373"/>
              <w:rPr>
                <w:lang w:val="ro-RO"/>
              </w:rPr>
            </w:pPr>
            <w:r w:rsidRPr="00A163A8">
              <w:rPr>
                <w:lang w:val="ro-RO"/>
              </w:rPr>
              <w:t xml:space="preserve">Astfel, tergiversarea implementării reformelor în domeniul controlului de stat, lipsa unor mecanisme viabile de soluționare a disputelor, calitatea </w:t>
            </w:r>
            <w:r w:rsidR="007A72DD" w:rsidRPr="00A163A8">
              <w:rPr>
                <w:lang w:val="ro-RO"/>
              </w:rPr>
              <w:t>foarte</w:t>
            </w:r>
            <w:r w:rsidRPr="00A163A8">
              <w:rPr>
                <w:lang w:val="ro-RO"/>
              </w:rPr>
              <w:t xml:space="preserve"> joasă a cadrului normativ subsidiar în pri</w:t>
            </w:r>
            <w:r w:rsidR="007A72DD" w:rsidRPr="00A163A8">
              <w:rPr>
                <w:lang w:val="ro-RO"/>
              </w:rPr>
              <w:t>vința procedurilor de control pe</w:t>
            </w:r>
            <w:r w:rsidRPr="00A163A8">
              <w:rPr>
                <w:lang w:val="ro-RO"/>
              </w:rPr>
              <w:t xml:space="preserve"> sub-domenii concrete, lipsa de funcționalitate sistemelor informaționale de stat în acest domeniu (în special Registrul de stat al controalelor) </w:t>
            </w:r>
            <w:r w:rsidR="007A72DD" w:rsidRPr="00A163A8">
              <w:rPr>
                <w:lang w:val="ro-RO"/>
              </w:rPr>
              <w:t xml:space="preserve">sunt factori decisivi în discreditarea eforului depus pentru reformarea sistemului de control, factori care continuă să încurajeze </w:t>
            </w:r>
            <w:r w:rsidR="006325EC">
              <w:rPr>
                <w:lang w:val="ro-RO"/>
              </w:rPr>
              <w:t>apariția situațiilor de conflict</w:t>
            </w:r>
            <w:r w:rsidR="007A72DD" w:rsidRPr="00A163A8">
              <w:rPr>
                <w:lang w:val="ro-RO"/>
              </w:rPr>
              <w:t>, să instituie bariere nejustificate și să multiplice exponențial cheltuielile mediului de afaceri pentru inițierea și desfășurarea activității de producere, comerț și prestări servicii.</w:t>
            </w:r>
          </w:p>
          <w:p w14:paraId="5040DAD1" w14:textId="57517A49" w:rsidR="00106FDD" w:rsidRPr="00A163A8" w:rsidRDefault="00106FDD" w:rsidP="00106FDD">
            <w:pPr>
              <w:pStyle w:val="NormalWeb"/>
              <w:ind w:firstLine="373"/>
              <w:rPr>
                <w:lang w:val="ro-RO"/>
              </w:rPr>
            </w:pPr>
            <w:r w:rsidRPr="00A163A8">
              <w:rPr>
                <w:lang w:val="ro-RO"/>
              </w:rPr>
              <w:t xml:space="preserve">c)  </w:t>
            </w:r>
            <w:r w:rsidRPr="00A163A8">
              <w:rPr>
                <w:i/>
                <w:u w:val="single"/>
                <w:lang w:val="ro-RO"/>
              </w:rPr>
              <w:t>Deficiențe în procesul de solicitare și emitere a actelor permisive și prestarea serviciilor publice</w:t>
            </w:r>
          </w:p>
          <w:p w14:paraId="15E11E2C" w14:textId="4CE193B2" w:rsidR="00F614D6" w:rsidRPr="00A163A8" w:rsidRDefault="00F614D6" w:rsidP="00906EF5">
            <w:pPr>
              <w:pStyle w:val="NormalWeb"/>
              <w:ind w:firstLine="373"/>
              <w:rPr>
                <w:lang w:val="ro-RO"/>
              </w:rPr>
            </w:pPr>
            <w:r w:rsidRPr="00A163A8">
              <w:rPr>
                <w:lang w:val="ro-RO"/>
              </w:rPr>
              <w:t xml:space="preserve">În prezent, în privința serviciilor publice impuse de lege în special actele permisive, se constată o serie de deficiențe cu privire la calitatea reglementării procedurale și materiale a acestora dar și modalitatea de respectare a reglementărilor de către autoritățile emitente. În urma reformării întregului cadrul legislativ cu privire la actele permisive pentru mediul de afaceri (licențe, autorizații, certificate), în baza Legii nr.185/2017, a fost necesar un exercițiu amplu de ajustare și completare a cadrului normativ subsidiar, fapt care nu a avut loc în mare parte, nici </w:t>
            </w:r>
            <w:proofErr w:type="spellStart"/>
            <w:r w:rsidRPr="00A163A8">
              <w:rPr>
                <w:lang w:val="ro-RO"/>
              </w:rPr>
              <w:t>pînă</w:t>
            </w:r>
            <w:proofErr w:type="spellEnd"/>
            <w:r w:rsidRPr="00A163A8">
              <w:rPr>
                <w:lang w:val="ro-RO"/>
              </w:rPr>
              <w:t xml:space="preserve"> în prezent. </w:t>
            </w:r>
          </w:p>
          <w:p w14:paraId="732AC0F2" w14:textId="77777777" w:rsidR="00D53080" w:rsidRDefault="00285219" w:rsidP="00906EF5">
            <w:pPr>
              <w:pStyle w:val="NormalWeb"/>
              <w:ind w:firstLine="373"/>
              <w:rPr>
                <w:lang w:val="ro-RO"/>
              </w:rPr>
            </w:pPr>
            <w:r w:rsidRPr="00A163A8">
              <w:rPr>
                <w:lang w:val="ro-RO"/>
              </w:rPr>
              <w:lastRenderedPageBreak/>
              <w:t xml:space="preserve">Un exemplu relevant de aplicare incorectă a legislației în domeniul serviciilor publice obligatorii este modul în care se emit actele permisive în practică. </w:t>
            </w:r>
            <w:r w:rsidR="00402C6D" w:rsidRPr="00A163A8">
              <w:rPr>
                <w:lang w:val="ro-RO"/>
              </w:rPr>
              <w:t>Începând</w:t>
            </w:r>
            <w:r w:rsidR="00906EF5" w:rsidRPr="00A163A8">
              <w:rPr>
                <w:lang w:val="ro-RO"/>
              </w:rPr>
              <w:t xml:space="preserve"> cu 2016 </w:t>
            </w:r>
            <w:r w:rsidR="00402C6D" w:rsidRPr="00A163A8">
              <w:rPr>
                <w:lang w:val="ro-RO"/>
              </w:rPr>
              <w:t>până</w:t>
            </w:r>
            <w:r w:rsidR="00906EF5" w:rsidRPr="00A163A8">
              <w:rPr>
                <w:lang w:val="ro-RO"/>
              </w:rPr>
              <w:t xml:space="preserve"> în prezent, derulează o reformă masivă cu privire la toate actele permisive pentru agenții economici. În baza acestor modificări, s-a instituit ghișeu unic electronic (SIA GEAP) pentru solicitarea și emiterea actelor permisive, cu scopul diminuării, efortului pentru obținere, abuzurilor și elementelor de corupție în această privință. </w:t>
            </w:r>
            <w:r w:rsidR="00402C6D">
              <w:rPr>
                <w:lang w:val="ro-RO"/>
              </w:rPr>
              <w:t xml:space="preserve">La finele anului </w:t>
            </w:r>
            <w:r w:rsidRPr="00A163A8">
              <w:rPr>
                <w:lang w:val="ro-RO"/>
              </w:rPr>
              <w:t>2019,</w:t>
            </w:r>
            <w:r w:rsidR="004B1E34" w:rsidRPr="00A163A8">
              <w:rPr>
                <w:lang w:val="ro-RO"/>
              </w:rPr>
              <w:t xml:space="preserve"> 136 procese au fost configurate și </w:t>
            </w:r>
            <w:proofErr w:type="spellStart"/>
            <w:r w:rsidR="004B1E34" w:rsidRPr="00A163A8">
              <w:rPr>
                <w:lang w:val="ro-RO"/>
              </w:rPr>
              <w:t>pașaportizate</w:t>
            </w:r>
            <w:proofErr w:type="spellEnd"/>
            <w:r w:rsidR="004B1E34" w:rsidRPr="00A163A8">
              <w:rPr>
                <w:lang w:val="ro-RO"/>
              </w:rPr>
              <w:t xml:space="preserve"> în sistem, dintre care 123 acte permisive sunt disponibile pentru a fi accesate de business prin SIA GEAP. Din cele 128 de acte disponibile sunt utilizate la scară largă 48 de procese, celelalte fiind solicitate cu o frecvență redusă. </w:t>
            </w:r>
          </w:p>
          <w:p w14:paraId="1229EB5A" w14:textId="58740BE3" w:rsidR="00906EF5" w:rsidRPr="00A163A8" w:rsidRDefault="00285219" w:rsidP="00906EF5">
            <w:pPr>
              <w:pStyle w:val="NormalWeb"/>
              <w:ind w:firstLine="373"/>
              <w:rPr>
                <w:lang w:val="ro-RO"/>
              </w:rPr>
            </w:pPr>
            <w:r w:rsidRPr="00A163A8">
              <w:rPr>
                <w:lang w:val="ro-RO"/>
              </w:rPr>
              <w:t>Responsabilii din Ministerul Economiei și Infrastructurii atenționează că t</w:t>
            </w:r>
            <w:r w:rsidR="004B1E34" w:rsidRPr="00A163A8">
              <w:rPr>
                <w:lang w:val="ro-RO"/>
              </w:rPr>
              <w:t>otuși o problema majoră constă în reticența autorităților publice conexe (la nivel central și local) în cadrul implementării Reformei privind optimizarea actelor permisive şi implementarea soluţiilor de Ghişeu Unic (SIA GEAP), în mod special a unor autorități emitente (Banca Națională a Moldovei, Comisia Națională pentru Piața Financiară, Centrul Național de Protecție a Datelor cu Caracter Personal, Consiliul Coordonator al Audiovizualului și autoritățile publice locale neîncadrate în SIA GEAP)</w:t>
            </w:r>
            <w:r w:rsidR="00906EF5" w:rsidRPr="00A163A8">
              <w:rPr>
                <w:lang w:val="ro-RO"/>
              </w:rPr>
              <w:t xml:space="preserve">. Spre exemplu, chiar dacă pentru notificarea obligatorie în comerț (pentru APL) este funcțional și obligatoriu sistemul informațional, oricum marea majoritate a primăriilor intenționat nu utilizează sistemul în cauză, </w:t>
            </w:r>
            <w:r w:rsidR="00243A88" w:rsidRPr="00A163A8">
              <w:rPr>
                <w:lang w:val="ro-RO"/>
              </w:rPr>
              <w:t>continuând</w:t>
            </w:r>
            <w:r w:rsidR="00906EF5" w:rsidRPr="00A163A8">
              <w:rPr>
                <w:lang w:val="ro-RO"/>
              </w:rPr>
              <w:t xml:space="preserve"> să primească cereri și emită confirmări pe </w:t>
            </w:r>
            <w:r w:rsidR="00243A88" w:rsidRPr="00A163A8">
              <w:rPr>
                <w:lang w:val="ro-RO"/>
              </w:rPr>
              <w:t>hârtie</w:t>
            </w:r>
            <w:r w:rsidR="00906EF5" w:rsidRPr="00A163A8">
              <w:rPr>
                <w:lang w:val="ro-RO"/>
              </w:rPr>
              <w:t xml:space="preserve">, conform unor proceduri interne care în multe cazuri deviază substanțial de la cadrul legislativ în domeniu. </w:t>
            </w:r>
            <w:r w:rsidR="004746E3" w:rsidRPr="00A163A8">
              <w:rPr>
                <w:lang w:val="ro-RO"/>
              </w:rPr>
              <w:t>Conform sondajului reflectat în raportul Băncii Mondiale „Costul Reglementării de Stat a Activității de Întreprinzător”, c</w:t>
            </w:r>
            <w:r w:rsidR="00243A88">
              <w:rPr>
                <w:lang w:val="ro-RO"/>
              </w:rPr>
              <w:t>ontrar legislației în vigoare -</w:t>
            </w:r>
            <w:r w:rsidR="00770EF4" w:rsidRPr="00A163A8">
              <w:rPr>
                <w:lang w:val="ro-RO"/>
              </w:rPr>
              <w:t xml:space="preserve"> 33,6% din respondenți au menționat că autoritățile solicită la depunerea notificării aceleași documente, pe care le solicitau la emiterea au</w:t>
            </w:r>
            <w:r w:rsidR="00906EF5" w:rsidRPr="00A163A8">
              <w:rPr>
                <w:lang w:val="ro-RO"/>
              </w:rPr>
              <w:t>torizației de comerț și</w:t>
            </w:r>
            <w:r w:rsidR="00770EF4" w:rsidRPr="00A163A8">
              <w:rPr>
                <w:lang w:val="ro-RO"/>
              </w:rPr>
              <w:t xml:space="preserve"> </w:t>
            </w:r>
            <w:r w:rsidR="00906EF5" w:rsidRPr="00A163A8">
              <w:rPr>
                <w:lang w:val="ro-RO"/>
              </w:rPr>
              <w:t xml:space="preserve">circa </w:t>
            </w:r>
            <w:r w:rsidRPr="00A163A8">
              <w:rPr>
                <w:lang w:val="ro-RO"/>
              </w:rPr>
              <w:t>1/3</w:t>
            </w:r>
            <w:r w:rsidR="00906EF5" w:rsidRPr="00A163A8">
              <w:rPr>
                <w:lang w:val="ro-RO"/>
              </w:rPr>
              <w:t xml:space="preserve"> din companii au menționat că li s-au cerut documente suplimentare la momentul depunerii notificării</w:t>
            </w:r>
            <w:r w:rsidR="00131E63" w:rsidRPr="00A163A8">
              <w:rPr>
                <w:rStyle w:val="FootnoteReference"/>
                <w:lang w:val="ro-RO"/>
              </w:rPr>
              <w:footnoteReference w:id="3"/>
            </w:r>
            <w:r w:rsidR="00131E63" w:rsidRPr="00A163A8">
              <w:rPr>
                <w:lang w:val="ro-RO"/>
              </w:rPr>
              <w:t>.</w:t>
            </w:r>
            <w:r w:rsidRPr="00A163A8">
              <w:rPr>
                <w:lang w:val="ro-RO"/>
              </w:rPr>
              <w:t xml:space="preserve"> </w:t>
            </w:r>
          </w:p>
          <w:p w14:paraId="3CAD7BCD" w14:textId="41D2C12D" w:rsidR="00770EF4" w:rsidRPr="00A163A8" w:rsidRDefault="00906EF5" w:rsidP="00906EF5">
            <w:pPr>
              <w:pStyle w:val="NormalWeb"/>
              <w:ind w:firstLine="373"/>
              <w:rPr>
                <w:lang w:val="ro-RO"/>
              </w:rPr>
            </w:pPr>
            <w:r w:rsidRPr="00A163A8">
              <w:rPr>
                <w:lang w:val="ro-RO"/>
              </w:rPr>
              <w:t>În această privință, neaplicarea intenționată a prevederilor legislative și neutilizarea instrumentelor electronice impuse, care ar standardiza procesul de emitere a actelor permisive, creează spațiu amplu pentru abuzuri și bariere birocratice inutile din partea funcționarilor. În acest sens, spre exemplu în cadrul sondajului reflectat în raportul Băncii Mondiale „Costul Reglementării de Stat a Activității de Întreprinzător”</w:t>
            </w:r>
            <w:r w:rsidR="00131E63" w:rsidRPr="00A163A8">
              <w:rPr>
                <w:lang w:val="ro-RO"/>
              </w:rPr>
              <w:t xml:space="preserve"> p</w:t>
            </w:r>
            <w:r w:rsidR="00770EF4" w:rsidRPr="00A163A8">
              <w:rPr>
                <w:lang w:val="ro-RO"/>
              </w:rPr>
              <w:t>entru autoriz</w:t>
            </w:r>
            <w:r w:rsidR="00FB36F6" w:rsidRPr="00A163A8">
              <w:rPr>
                <w:lang w:val="ro-RO"/>
              </w:rPr>
              <w:t>area sanitară</w:t>
            </w:r>
            <w:r w:rsidR="00131E63" w:rsidRPr="00A163A8">
              <w:rPr>
                <w:lang w:val="ro-RO"/>
              </w:rPr>
              <w:t xml:space="preserve"> de funcționare antreprenorii au declarat că din totalul de cheltuieli pentru obținerea autorizării, achită plăți neoficiale în valoare de 20% și</w:t>
            </w:r>
            <w:r w:rsidR="00770EF4" w:rsidRPr="00A163A8">
              <w:rPr>
                <w:lang w:val="ro-RO"/>
              </w:rPr>
              <w:t xml:space="preserve"> „defalcări benevole” – 8%</w:t>
            </w:r>
            <w:r w:rsidR="00131E63" w:rsidRPr="00A163A8">
              <w:rPr>
                <w:lang w:val="ro-RO"/>
              </w:rPr>
              <w:t>.</w:t>
            </w:r>
            <w:r w:rsidR="00131E63" w:rsidRPr="00A163A8">
              <w:rPr>
                <w:rStyle w:val="FootnoteReference"/>
                <w:lang w:val="ro-RO"/>
              </w:rPr>
              <w:footnoteReference w:id="4"/>
            </w:r>
          </w:p>
          <w:p w14:paraId="48D4435E" w14:textId="77777777" w:rsidR="00D53080" w:rsidRDefault="00D53080" w:rsidP="00106FDD">
            <w:pPr>
              <w:pStyle w:val="NormalWeb"/>
              <w:ind w:firstLine="373"/>
              <w:rPr>
                <w:lang w:val="ro-RO"/>
              </w:rPr>
            </w:pPr>
          </w:p>
          <w:p w14:paraId="66734A87" w14:textId="35CE9237" w:rsidR="00106FDD" w:rsidRPr="00A163A8" w:rsidRDefault="00643666" w:rsidP="00106FDD">
            <w:pPr>
              <w:pStyle w:val="NormalWeb"/>
              <w:ind w:firstLine="373"/>
              <w:rPr>
                <w:lang w:val="ro-RO"/>
              </w:rPr>
            </w:pPr>
            <w:r w:rsidRPr="00A163A8">
              <w:rPr>
                <w:lang w:val="ro-RO"/>
              </w:rPr>
              <w:t xml:space="preserve">d) </w:t>
            </w:r>
            <w:r w:rsidRPr="00A163A8">
              <w:rPr>
                <w:i/>
                <w:u w:val="single"/>
                <w:lang w:val="ro-RO"/>
              </w:rPr>
              <w:t>Calitatea sistemului judecătoresc și eficacitatea funcționării procesului de urmărire penală</w:t>
            </w:r>
          </w:p>
          <w:p w14:paraId="3A4C5C10" w14:textId="09986668" w:rsidR="009D689E" w:rsidRPr="00A163A8" w:rsidRDefault="004C0D54" w:rsidP="009D689E">
            <w:pPr>
              <w:pStyle w:val="NormalWeb"/>
              <w:ind w:firstLine="373"/>
              <w:rPr>
                <w:lang w:val="ro-RO"/>
              </w:rPr>
            </w:pPr>
            <w:r w:rsidRPr="00A163A8">
              <w:rPr>
                <w:color w:val="26282A"/>
                <w:lang w:val="ro-RO"/>
              </w:rPr>
              <w:t xml:space="preserve">O serie de probleme majore la fel pot fi conturate și în cadrul procesului penal, în raport cu agenții economici. </w:t>
            </w:r>
            <w:r w:rsidR="009D689E" w:rsidRPr="00A163A8">
              <w:rPr>
                <w:color w:val="26282A"/>
                <w:lang w:val="ro-RO"/>
              </w:rPr>
              <w:t xml:space="preserve">Organele de drept intervin frecvent în activitatea de business în mod exagerat, neproporțional, abuziv, cu încălcări ale legislației sau folosindu-se de prevederile procedurale și componentele de infracțiuni existente. Comunitatea de afaceri percepe aceste intervenții ca estorcare de bani sau încercări de preluare a businessului. </w:t>
            </w:r>
            <w:r w:rsidR="001A065D" w:rsidRPr="00A163A8">
              <w:rPr>
                <w:color w:val="26282A"/>
                <w:lang w:val="ro-RO"/>
              </w:rPr>
              <w:t>Spre exemplu, c</w:t>
            </w:r>
            <w:r w:rsidR="009D689E" w:rsidRPr="00A163A8">
              <w:rPr>
                <w:lang w:val="ro-RO"/>
              </w:rPr>
              <w:t>onform datelor colectate de Ministerul Justiției, pentru anul 2017, în procesul de elaborare a pachetului de amendamente legislative în vederea reducerii presiunii asupra businessului (</w:t>
            </w:r>
            <w:proofErr w:type="spellStart"/>
            <w:r w:rsidR="009D689E" w:rsidRPr="00A163A8">
              <w:rPr>
                <w:lang w:val="ro-RO"/>
              </w:rPr>
              <w:t>decriminalizarea</w:t>
            </w:r>
            <w:proofErr w:type="spellEnd"/>
            <w:r w:rsidR="009D689E" w:rsidRPr="00A163A8">
              <w:rPr>
                <w:lang w:val="ro-RO"/>
              </w:rPr>
              <w:t xml:space="preserve"> unor încălcări economice), instanțele admiteau aplicarea arestului preventiv în peste 87% de cazuri de adresărilor din partea organelor de urmărire penală, iar în peste 92% se admitea prelungirea arestului. Se considera că în multe cazuri arestul era o măsură aplicată în scopul obținerii unui beneficiu din partea antreprenorilor sau pentru preluarea afacerii.</w:t>
            </w:r>
          </w:p>
          <w:p w14:paraId="6BEB945E" w14:textId="1E749866" w:rsidR="009D689E" w:rsidRPr="00A163A8" w:rsidRDefault="009D689E" w:rsidP="009D689E">
            <w:pPr>
              <w:pStyle w:val="NormalWeb"/>
              <w:ind w:firstLine="373"/>
              <w:rPr>
                <w:lang w:val="ro-RO"/>
              </w:rPr>
            </w:pPr>
            <w:r w:rsidRPr="00A163A8">
              <w:rPr>
                <w:color w:val="26282A"/>
                <w:lang w:val="ro-RO"/>
              </w:rPr>
              <w:t>Următorii indicatorii internaționali din Raportul Global al Competitivității 2019</w:t>
            </w:r>
            <w:r w:rsidRPr="00A163A8">
              <w:rPr>
                <w:rStyle w:val="FootnoteReference"/>
                <w:color w:val="26282A"/>
                <w:lang w:val="ro-RO"/>
              </w:rPr>
              <w:footnoteReference w:id="5"/>
            </w:r>
            <w:r w:rsidRPr="00A163A8">
              <w:rPr>
                <w:color w:val="26282A"/>
                <w:lang w:val="ro-RO"/>
              </w:rPr>
              <w:t xml:space="preserve"> ar evidenția problema: </w:t>
            </w:r>
          </w:p>
          <w:p w14:paraId="47A7DD59" w14:textId="77777777" w:rsidR="009D689E" w:rsidRPr="00A163A8" w:rsidRDefault="009D689E" w:rsidP="009D689E">
            <w:pPr>
              <w:pStyle w:val="ListParagraph"/>
              <w:numPr>
                <w:ilvl w:val="1"/>
                <w:numId w:val="5"/>
              </w:numPr>
              <w:spacing w:after="0" w:line="240" w:lineRule="auto"/>
              <w:ind w:left="514"/>
              <w:jc w:val="both"/>
              <w:rPr>
                <w:rFonts w:ascii="Times New Roman" w:eastAsiaTheme="minorEastAsia" w:hAnsi="Times New Roman" w:cs="Times New Roman"/>
                <w:color w:val="26282A"/>
                <w:sz w:val="24"/>
                <w:szCs w:val="24"/>
                <w:lang w:val="ro-RO" w:eastAsia="en-GB"/>
              </w:rPr>
            </w:pPr>
            <w:r w:rsidRPr="00A163A8">
              <w:rPr>
                <w:rFonts w:ascii="Times New Roman" w:eastAsiaTheme="minorEastAsia" w:hAnsi="Times New Roman" w:cs="Times New Roman"/>
                <w:color w:val="26282A"/>
                <w:sz w:val="24"/>
                <w:szCs w:val="24"/>
                <w:lang w:val="ro-RO" w:eastAsia="en-GB"/>
              </w:rPr>
              <w:t>independența justiției (locul 132 din 141 de țări, comunitatea de afaceri apreciind cu 2,8 din 7 puncte acest domeniu). Pentru comparație, Estonia este poziționată pe locul 22 din 141,</w:t>
            </w:r>
          </w:p>
          <w:p w14:paraId="0DE37B46" w14:textId="77777777" w:rsidR="009D689E" w:rsidRPr="00A163A8" w:rsidRDefault="009D689E" w:rsidP="009D689E">
            <w:pPr>
              <w:pStyle w:val="ListParagraph"/>
              <w:numPr>
                <w:ilvl w:val="1"/>
                <w:numId w:val="5"/>
              </w:numPr>
              <w:spacing w:after="0" w:line="240" w:lineRule="auto"/>
              <w:ind w:left="514"/>
              <w:jc w:val="both"/>
              <w:rPr>
                <w:rFonts w:ascii="Times New Roman" w:eastAsiaTheme="minorEastAsia" w:hAnsi="Times New Roman" w:cs="Times New Roman"/>
                <w:color w:val="26282A"/>
                <w:sz w:val="24"/>
                <w:szCs w:val="24"/>
                <w:lang w:val="ro-RO" w:eastAsia="en-GB"/>
              </w:rPr>
            </w:pPr>
            <w:r w:rsidRPr="00A163A8">
              <w:rPr>
                <w:rFonts w:ascii="Times New Roman" w:eastAsiaTheme="minorEastAsia" w:hAnsi="Times New Roman" w:cs="Times New Roman"/>
                <w:color w:val="26282A"/>
                <w:sz w:val="24"/>
                <w:szCs w:val="24"/>
                <w:lang w:val="ro-RO" w:eastAsia="en-GB"/>
              </w:rPr>
              <w:t>crima organizată (în special estorcarea) – 83/141. Pentru comparație, Georgia este poziționată pe locul 25/141, Estonia – 5/141, Lituania – 12/141,</w:t>
            </w:r>
          </w:p>
          <w:p w14:paraId="6AFCDB08" w14:textId="77777777" w:rsidR="009D689E" w:rsidRPr="00A163A8" w:rsidRDefault="009D689E" w:rsidP="009D689E">
            <w:pPr>
              <w:pStyle w:val="ListParagraph"/>
              <w:numPr>
                <w:ilvl w:val="1"/>
                <w:numId w:val="5"/>
              </w:numPr>
              <w:spacing w:after="0" w:line="240" w:lineRule="auto"/>
              <w:ind w:left="514"/>
              <w:jc w:val="both"/>
              <w:rPr>
                <w:rFonts w:ascii="Times New Roman" w:eastAsiaTheme="minorEastAsia" w:hAnsi="Times New Roman" w:cs="Times New Roman"/>
                <w:color w:val="26282A"/>
                <w:sz w:val="24"/>
                <w:szCs w:val="24"/>
                <w:lang w:val="ro-RO" w:eastAsia="en-GB"/>
              </w:rPr>
            </w:pPr>
            <w:r w:rsidRPr="00A163A8">
              <w:rPr>
                <w:rFonts w:ascii="Times New Roman" w:eastAsiaTheme="minorEastAsia" w:hAnsi="Times New Roman" w:cs="Times New Roman"/>
                <w:color w:val="26282A"/>
                <w:sz w:val="24"/>
                <w:szCs w:val="24"/>
                <w:lang w:val="ro-RO" w:eastAsia="en-GB"/>
              </w:rPr>
              <w:t>eficiența cadrului legal în combaterea reglementărilor – 116/141). Pentru comparație, Estonia este poziționată pe locul 35 din 141, Armenia – 45/141,</w:t>
            </w:r>
          </w:p>
          <w:p w14:paraId="016BC15D" w14:textId="635ADF06" w:rsidR="009D689E" w:rsidRPr="00A163A8" w:rsidRDefault="009D689E" w:rsidP="009D689E">
            <w:pPr>
              <w:pStyle w:val="ListParagraph"/>
              <w:numPr>
                <w:ilvl w:val="1"/>
                <w:numId w:val="5"/>
              </w:numPr>
              <w:spacing w:after="0" w:line="240" w:lineRule="auto"/>
              <w:ind w:left="514"/>
              <w:jc w:val="both"/>
              <w:rPr>
                <w:rFonts w:ascii="Times New Roman" w:eastAsiaTheme="minorEastAsia" w:hAnsi="Times New Roman" w:cs="Times New Roman"/>
                <w:color w:val="26282A"/>
                <w:sz w:val="24"/>
                <w:szCs w:val="24"/>
                <w:lang w:val="ro-RO" w:eastAsia="en-GB"/>
              </w:rPr>
            </w:pPr>
            <w:r w:rsidRPr="00A163A8">
              <w:rPr>
                <w:rFonts w:ascii="Times New Roman" w:eastAsiaTheme="minorEastAsia" w:hAnsi="Times New Roman" w:cs="Times New Roman"/>
                <w:color w:val="26282A"/>
                <w:sz w:val="24"/>
                <w:szCs w:val="24"/>
                <w:lang w:val="ro-RO" w:eastAsia="en-GB"/>
              </w:rPr>
              <w:lastRenderedPageBreak/>
              <w:t>eficiența cadrului legal în soluționarea disputelor – 119/141. Pentru comparație, Armenia este poziționată pe locul 57 /141,  Estonia – 40/141</w:t>
            </w:r>
            <w:r w:rsidR="001A065D" w:rsidRPr="00A163A8">
              <w:rPr>
                <w:rFonts w:ascii="Times New Roman" w:eastAsiaTheme="minorEastAsia" w:hAnsi="Times New Roman" w:cs="Times New Roman"/>
                <w:color w:val="26282A"/>
                <w:sz w:val="24"/>
                <w:szCs w:val="24"/>
                <w:lang w:val="ro-RO" w:eastAsia="en-GB"/>
              </w:rPr>
              <w:t>.</w:t>
            </w:r>
          </w:p>
          <w:p w14:paraId="11E55DD4" w14:textId="67B364C1" w:rsidR="009D689E" w:rsidRPr="00A163A8" w:rsidRDefault="009D689E" w:rsidP="009D689E">
            <w:pPr>
              <w:ind w:firstLine="373"/>
              <w:jc w:val="both"/>
              <w:rPr>
                <w:color w:val="26282A"/>
                <w:lang w:val="ro-RO"/>
              </w:rPr>
            </w:pPr>
            <w:r w:rsidRPr="00A163A8">
              <w:rPr>
                <w:color w:val="26282A"/>
                <w:lang w:val="ro-RO"/>
              </w:rPr>
              <w:t>Autoritățile publice și în special Ministerul Justiției nu</w:t>
            </w:r>
            <w:r w:rsidR="001A065D" w:rsidRPr="00A163A8">
              <w:rPr>
                <w:color w:val="26282A"/>
                <w:lang w:val="ro-RO"/>
              </w:rPr>
              <w:t xml:space="preserve"> demonstrează</w:t>
            </w:r>
            <w:r w:rsidRPr="00A163A8">
              <w:rPr>
                <w:color w:val="26282A"/>
                <w:lang w:val="ro-RO"/>
              </w:rPr>
              <w:t xml:space="preserve"> capacitățile necesare pentru reformarea corespunzătoare a sectorului justiției. Indicatorii menționați </w:t>
            </w:r>
            <w:r w:rsidRPr="00243A88">
              <w:rPr>
                <w:i/>
                <w:color w:val="26282A"/>
                <w:lang w:val="ro-RO"/>
              </w:rPr>
              <w:t>supra</w:t>
            </w:r>
            <w:r w:rsidRPr="00A163A8">
              <w:rPr>
                <w:color w:val="26282A"/>
                <w:lang w:val="ro-RO"/>
              </w:rPr>
              <w:t xml:space="preserve"> scot în evidență această situație, precum și alți indicatori legați de sistemul de justiție, așa ca </w:t>
            </w:r>
            <w:proofErr w:type="spellStart"/>
            <w:r w:rsidR="001A065D" w:rsidRPr="00A163A8">
              <w:rPr>
                <w:color w:val="26282A"/>
                <w:lang w:val="ro-RO"/>
              </w:rPr>
              <w:t>Ease</w:t>
            </w:r>
            <w:proofErr w:type="spellEnd"/>
            <w:r w:rsidR="001A065D" w:rsidRPr="00A163A8">
              <w:rPr>
                <w:color w:val="26282A"/>
                <w:lang w:val="ro-RO"/>
              </w:rPr>
              <w:t xml:space="preserve"> of </w:t>
            </w:r>
            <w:proofErr w:type="spellStart"/>
            <w:r w:rsidRPr="00A163A8">
              <w:rPr>
                <w:color w:val="26282A"/>
                <w:lang w:val="ro-RO"/>
              </w:rPr>
              <w:t>Doing</w:t>
            </w:r>
            <w:proofErr w:type="spellEnd"/>
            <w:r w:rsidRPr="00A163A8">
              <w:rPr>
                <w:color w:val="26282A"/>
                <w:lang w:val="ro-RO"/>
              </w:rPr>
              <w:t xml:space="preserve"> Business</w:t>
            </w:r>
            <w:r w:rsidR="001A065D" w:rsidRPr="00A163A8">
              <w:rPr>
                <w:rStyle w:val="FootnoteReference"/>
                <w:color w:val="26282A"/>
                <w:lang w:val="ro-RO"/>
              </w:rPr>
              <w:footnoteReference w:id="6"/>
            </w:r>
            <w:r w:rsidR="001A065D" w:rsidRPr="00A163A8">
              <w:rPr>
                <w:color w:val="26282A"/>
                <w:lang w:val="ro-RO"/>
              </w:rPr>
              <w:t>, la capitolele</w:t>
            </w:r>
            <w:r w:rsidRPr="00A163A8">
              <w:rPr>
                <w:color w:val="26282A"/>
                <w:lang w:val="ro-RO"/>
              </w:rPr>
              <w:t xml:space="preserve"> Rezolvarea Insolvabilității (67 din 190), Impunerea Contractelor (62 din 190). Pentru comparație</w:t>
            </w:r>
            <w:r w:rsidR="001A065D" w:rsidRPr="00A163A8">
              <w:rPr>
                <w:color w:val="26282A"/>
                <w:lang w:val="ro-RO"/>
              </w:rPr>
              <w:t>:</w:t>
            </w:r>
            <w:r w:rsidRPr="00A163A8">
              <w:rPr>
                <w:color w:val="26282A"/>
                <w:lang w:val="ro-RO"/>
              </w:rPr>
              <w:t xml:space="preserve"> la Rezolvarea insolvabilității, Slovenia – 8/190, Italia – 21/190</w:t>
            </w:r>
            <w:r w:rsidR="001A065D" w:rsidRPr="00A163A8">
              <w:rPr>
                <w:color w:val="26282A"/>
                <w:lang w:val="ro-RO"/>
              </w:rPr>
              <w:t>;</w:t>
            </w:r>
            <w:r w:rsidRPr="00A163A8">
              <w:rPr>
                <w:color w:val="26282A"/>
                <w:lang w:val="ro-RO"/>
              </w:rPr>
              <w:t xml:space="preserve"> </w:t>
            </w:r>
            <w:r w:rsidR="001A065D" w:rsidRPr="00A163A8">
              <w:rPr>
                <w:color w:val="26282A"/>
                <w:lang w:val="ro-RO"/>
              </w:rPr>
              <w:t>l</w:t>
            </w:r>
            <w:r w:rsidRPr="00A163A8">
              <w:rPr>
                <w:color w:val="26282A"/>
                <w:lang w:val="ro-RO"/>
              </w:rPr>
              <w:t>a Impunerea contractelor, Estonia – 8/190, Letonia – 15/190, Lituania – 7/190.</w:t>
            </w:r>
          </w:p>
          <w:p w14:paraId="380A1492" w14:textId="77777777" w:rsidR="00AB4DD9" w:rsidRPr="00A163A8" w:rsidRDefault="00AB4DD9" w:rsidP="007A145C">
            <w:pPr>
              <w:pStyle w:val="NormalWeb"/>
              <w:ind w:firstLine="373"/>
              <w:rPr>
                <w:lang w:val="ro-RO"/>
              </w:rPr>
            </w:pPr>
          </w:p>
          <w:p w14:paraId="24FB4B66" w14:textId="31E7A0B8" w:rsidR="003303EC" w:rsidRPr="00A163A8" w:rsidRDefault="007A145C" w:rsidP="007A145C">
            <w:pPr>
              <w:pStyle w:val="NormalWeb"/>
              <w:ind w:firstLine="373"/>
              <w:rPr>
                <w:lang w:val="ro-RO"/>
              </w:rPr>
            </w:pPr>
            <w:r w:rsidRPr="00A163A8">
              <w:rPr>
                <w:lang w:val="ro-RO"/>
              </w:rPr>
              <w:t>T</w:t>
            </w:r>
            <w:r w:rsidR="001A065D" w:rsidRPr="00A163A8">
              <w:rPr>
                <w:lang w:val="ro-RO"/>
              </w:rPr>
              <w:t xml:space="preserve">rebuie să </w:t>
            </w:r>
            <w:r w:rsidRPr="008631EA">
              <w:rPr>
                <w:b/>
                <w:lang w:val="ro-RO"/>
              </w:rPr>
              <w:t>concluzionăm</w:t>
            </w:r>
            <w:r w:rsidR="001A065D" w:rsidRPr="00A163A8">
              <w:rPr>
                <w:lang w:val="ro-RO"/>
              </w:rPr>
              <w:t xml:space="preserve"> că toți</w:t>
            </w:r>
            <w:r w:rsidR="001158BB" w:rsidRPr="00A163A8">
              <w:rPr>
                <w:lang w:val="ro-RO"/>
              </w:rPr>
              <w:t xml:space="preserve"> factor</w:t>
            </w:r>
            <w:r w:rsidR="00484864" w:rsidRPr="00A163A8">
              <w:rPr>
                <w:lang w:val="ro-RO"/>
              </w:rPr>
              <w:t>i</w:t>
            </w:r>
            <w:r w:rsidR="001A065D" w:rsidRPr="00A163A8">
              <w:rPr>
                <w:lang w:val="ro-RO"/>
              </w:rPr>
              <w:t>i examinați mai sus</w:t>
            </w:r>
            <w:r w:rsidR="001158BB" w:rsidRPr="00A163A8">
              <w:rPr>
                <w:lang w:val="ro-RO"/>
              </w:rPr>
              <w:t xml:space="preserve"> contribuie la</w:t>
            </w:r>
            <w:r w:rsidR="00484864" w:rsidRPr="00A163A8">
              <w:rPr>
                <w:lang w:val="ro-RO"/>
              </w:rPr>
              <w:t xml:space="preserve"> irosirea unor</w:t>
            </w:r>
            <w:r w:rsidR="001158BB" w:rsidRPr="00A163A8">
              <w:rPr>
                <w:lang w:val="ro-RO"/>
              </w:rPr>
              <w:t xml:space="preserve"> sume enorme de bani de</w:t>
            </w:r>
            <w:r w:rsidR="00484864" w:rsidRPr="00A163A8">
              <w:rPr>
                <w:lang w:val="ro-RO"/>
              </w:rPr>
              <w:t xml:space="preserve"> către</w:t>
            </w:r>
            <w:r w:rsidR="001158BB" w:rsidRPr="00A163A8">
              <w:rPr>
                <w:lang w:val="ro-RO"/>
              </w:rPr>
              <w:t xml:space="preserve"> mediul de afaceri, utilizate pentru depășirea unor bariere birocratice inutile și evitarea unor abuzuri. Sume care ar putea fi investite în procesul de producere și prestări de servicii și care cel puțin nu ar fi fost reflectate în prețul fina</w:t>
            </w:r>
            <w:r w:rsidR="008631EA">
              <w:rPr>
                <w:lang w:val="ro-RO"/>
              </w:rPr>
              <w:t>l al serviciului sau produsului (</w:t>
            </w:r>
            <w:r w:rsidR="008631EA" w:rsidRPr="008631EA">
              <w:rPr>
                <w:i/>
                <w:lang w:val="ro-RO"/>
              </w:rPr>
              <w:t>s</w:t>
            </w:r>
            <w:r w:rsidRPr="008631EA">
              <w:rPr>
                <w:i/>
                <w:lang w:val="ro-RO"/>
              </w:rPr>
              <w:t>p</w:t>
            </w:r>
            <w:r w:rsidR="008631EA" w:rsidRPr="008631EA">
              <w:rPr>
                <w:i/>
                <w:lang w:val="ro-RO"/>
              </w:rPr>
              <w:t>re exemplu: în 2013</w:t>
            </w:r>
            <w:r w:rsidRPr="008631EA">
              <w:rPr>
                <w:i/>
                <w:lang w:val="ro-RO"/>
              </w:rPr>
              <w:t xml:space="preserve"> o analiză de impact la modificările legislative care veneau să reducă cu peste 50% numărul de proceduri în construcții, a estimat beneficiile de la astfel de reformă de peste 2,7 milioane USD pe an. La moment, conform legislației, numărul de proceduri estimate de </w:t>
            </w:r>
            <w:proofErr w:type="spellStart"/>
            <w:r w:rsidRPr="008631EA">
              <w:rPr>
                <w:i/>
                <w:lang w:val="ro-RO"/>
              </w:rPr>
              <w:t>Doing</w:t>
            </w:r>
            <w:proofErr w:type="spellEnd"/>
            <w:r w:rsidRPr="008631EA">
              <w:rPr>
                <w:i/>
                <w:lang w:val="ro-RO"/>
              </w:rPr>
              <w:t xml:space="preserve"> Business ar trebui să nu depășească 10-12, pe când în realitate sunt peste 21. Astfel, dacă s-ar impune respectarea prevederilor legislative și, respectiv a drepturilor antreprenorilor, economiile doar în sectorul construcțiilor și doar din povara administrativă/birocratică ar putea ajunge la 3 milioane USD pe an (peste 50 mil. de lei)</w:t>
            </w:r>
            <w:r w:rsidRPr="00A163A8">
              <w:rPr>
                <w:lang w:val="ro-RO"/>
              </w:rPr>
              <w:t>. Astfel, inclusiv în baza cheltuielilor pentru judecată, reținerilor a proceselor de producere, costurilor pentru depășirea barierelor birocratice abuzive ș.a.m.d. considerăm că pot fi estimate sume</w:t>
            </w:r>
            <w:r w:rsidR="001158BB" w:rsidRPr="00A163A8">
              <w:rPr>
                <w:lang w:val="ro-RO"/>
              </w:rPr>
              <w:t xml:space="preserve"> de cel puțin </w:t>
            </w:r>
            <w:r w:rsidRPr="00A163A8">
              <w:rPr>
                <w:lang w:val="ro-RO"/>
              </w:rPr>
              <w:t>sute de milioane de lei</w:t>
            </w:r>
            <w:r w:rsidR="001158BB" w:rsidRPr="00A163A8">
              <w:rPr>
                <w:lang w:val="ro-RO"/>
              </w:rPr>
              <w:t xml:space="preserve"> pe an ca și prejudicii pentru mediul de afaceri, care ar putea fi evitate, dacă ar fi eliminați sau cel puțin diminuată influența factorilor examinați mai su</w:t>
            </w:r>
            <w:r w:rsidR="008631EA">
              <w:rPr>
                <w:lang w:val="ro-RO"/>
              </w:rPr>
              <w:t>s (</w:t>
            </w:r>
            <w:r w:rsidR="008631EA" w:rsidRPr="008631EA">
              <w:rPr>
                <w:i/>
                <w:lang w:val="ro-RO"/>
              </w:rPr>
              <w:t>s</w:t>
            </w:r>
            <w:r w:rsidRPr="008631EA">
              <w:rPr>
                <w:i/>
                <w:lang w:val="ro-RO"/>
              </w:rPr>
              <w:t>pre exemplu, dacă în baza micșorării costurilor și barierelor inutile pentru mediul de afaceri ar putea fi mărit corespunzător venitul total cu cel puțin 0,001% atunci beneficiul pentru întreaga economie ar fi deja ce</w:t>
            </w:r>
            <w:r w:rsidR="008631EA" w:rsidRPr="008631EA">
              <w:rPr>
                <w:i/>
                <w:lang w:val="ro-RO"/>
              </w:rPr>
              <w:t xml:space="preserve">l puțin </w:t>
            </w:r>
            <w:r w:rsidR="008631EA" w:rsidRPr="008631EA">
              <w:rPr>
                <w:b/>
                <w:i/>
                <w:lang w:val="ro-RO"/>
              </w:rPr>
              <w:t>35,6 milioane lei pe an</w:t>
            </w:r>
            <w:r w:rsidR="008631EA">
              <w:rPr>
                <w:lang w:val="ro-RO"/>
              </w:rPr>
              <w:t>)</w:t>
            </w:r>
          </w:p>
          <w:p w14:paraId="25C19940" w14:textId="326A4339" w:rsidR="00255D9A" w:rsidRPr="00A163A8" w:rsidRDefault="00255D9A" w:rsidP="00D51672">
            <w:pPr>
              <w:pStyle w:val="NormalWeb"/>
              <w:ind w:firstLine="374"/>
              <w:rPr>
                <w:lang w:val="ro-RO"/>
              </w:rPr>
            </w:pPr>
            <w:r w:rsidRPr="00A163A8">
              <w:rPr>
                <w:lang w:val="ro-RO"/>
              </w:rPr>
              <w:t>În prezent o mare parte din mediul de afaceri activ încearcă să combată fenomenele analizate mai sus, să vină cu o contribuție reală la calitatea procesului de reglementare a activității de întreprinzător prin intermediul asociațiilor de business. La prima vedere, aceste asociații ar putea fi o soluție potențială pentru a contracara ilegalitățile existente și a aborda carențele în sistemul instituțional de stat. Însă</w:t>
            </w:r>
            <w:r w:rsidR="00290F2B">
              <w:rPr>
                <w:lang w:val="ro-RO"/>
              </w:rPr>
              <w:t>,</w:t>
            </w:r>
            <w:r w:rsidRPr="00A163A8">
              <w:rPr>
                <w:lang w:val="ro-RO"/>
              </w:rPr>
              <w:t xml:space="preserve"> considerăm că în privința asociațiilor de întreprinzător există </w:t>
            </w:r>
            <w:r w:rsidR="008631EA" w:rsidRPr="00A163A8">
              <w:rPr>
                <w:lang w:val="ro-RO"/>
              </w:rPr>
              <w:t>câteva</w:t>
            </w:r>
            <w:r w:rsidRPr="00A163A8">
              <w:rPr>
                <w:lang w:val="ro-RO"/>
              </w:rPr>
              <w:t xml:space="preserve"> aspecte fundamentale care împiedică ca acestea să joace un rol decisiv și efectiv pentru întregul mediu de afaceri. În primul </w:t>
            </w:r>
            <w:r w:rsidR="00290F2B" w:rsidRPr="00A163A8">
              <w:rPr>
                <w:lang w:val="ro-RO"/>
              </w:rPr>
              <w:t>rând</w:t>
            </w:r>
            <w:r w:rsidRPr="00A163A8">
              <w:rPr>
                <w:lang w:val="ro-RO"/>
              </w:rPr>
              <w:t xml:space="preserve"> aceste asociații în majoritatea cazurilor sunt fondate și întreținute de întreprinderi mari și/sau mijlocii, care în multe cazuri pot avea interese divergente cu întreprinderile mici și micro. Din același considerent, există și riscul ca în unele situații, asociațiile să pledeze pentru interesele unor grupuri de întreprinzător în detrimentul consumatorilor. Totodată este important să menționăm că în prezent, legiuitorul nu atribuie asociațiilor de întreprinzător unele drepturi mai speciale sau atribuții mai diferite, altele </w:t>
            </w:r>
            <w:proofErr w:type="spellStart"/>
            <w:r w:rsidRPr="00A163A8">
              <w:rPr>
                <w:lang w:val="ro-RO"/>
              </w:rPr>
              <w:t>decît</w:t>
            </w:r>
            <w:proofErr w:type="spellEnd"/>
            <w:r w:rsidRPr="00A163A8">
              <w:rPr>
                <w:lang w:val="ro-RO"/>
              </w:rPr>
              <w:t xml:space="preserve"> cele atribuite unei asociații obștești. În lipsa acestor atribuții și drepturi, capacitatea asociațiilor de a influența autoritățile publice </w:t>
            </w:r>
            <w:proofErr w:type="spellStart"/>
            <w:r w:rsidRPr="00A163A8">
              <w:rPr>
                <w:lang w:val="ro-RO"/>
              </w:rPr>
              <w:t>rămîne</w:t>
            </w:r>
            <w:proofErr w:type="spellEnd"/>
            <w:r w:rsidRPr="00A163A8">
              <w:rPr>
                <w:lang w:val="ro-RO"/>
              </w:rPr>
              <w:t xml:space="preserve"> a fi destul de </w:t>
            </w:r>
            <w:proofErr w:type="spellStart"/>
            <w:r w:rsidRPr="00A163A8">
              <w:rPr>
                <w:lang w:val="ro-RO"/>
              </w:rPr>
              <w:t>restrînsă</w:t>
            </w:r>
            <w:proofErr w:type="spellEnd"/>
            <w:r w:rsidRPr="00A163A8">
              <w:rPr>
                <w:lang w:val="ro-RO"/>
              </w:rPr>
              <w:t>.</w:t>
            </w:r>
          </w:p>
          <w:p w14:paraId="081B43C8" w14:textId="4824761A" w:rsidR="00F13A2A" w:rsidRPr="00A163A8" w:rsidRDefault="00255D9A" w:rsidP="00F13A2A">
            <w:pPr>
              <w:pStyle w:val="NormalWeb"/>
              <w:ind w:firstLine="373"/>
              <w:rPr>
                <w:lang w:val="ro-RO"/>
              </w:rPr>
            </w:pPr>
            <w:r w:rsidRPr="00A163A8">
              <w:rPr>
                <w:lang w:val="ro-RO"/>
              </w:rPr>
              <w:t>În multe state, guvernele au creat instituții publice care se preocupă de protejarea drepturilor fundamentale ale întreprinzătorilor, menite să depisteze problemele sistemice în cadrul normativ și să vină cu o contribuție importantă pentru eliminarea acestora. Un accent deosebit, fiind pus pe susținerea antreprenorilor mici, micro și de familie, care sunt în mare măsură defavorizați în raport cu alte categorii de întreprinzători.</w:t>
            </w:r>
            <w:r w:rsidR="00F13A2A" w:rsidRPr="00A163A8">
              <w:rPr>
                <w:lang w:val="ro-RO"/>
              </w:rPr>
              <w:t xml:space="preserve"> Exemple de ombudsman în raport cu mediul de afaceri:</w:t>
            </w:r>
          </w:p>
          <w:p w14:paraId="39D3B064" w14:textId="0BDAECF0" w:rsidR="00F13A2A" w:rsidRPr="00A163A8" w:rsidRDefault="00F13A2A" w:rsidP="00F13A2A">
            <w:pPr>
              <w:pStyle w:val="NormalWeb"/>
              <w:numPr>
                <w:ilvl w:val="0"/>
                <w:numId w:val="6"/>
              </w:numPr>
              <w:ind w:left="373"/>
              <w:rPr>
                <w:lang w:val="ro-RO"/>
              </w:rPr>
            </w:pPr>
            <w:r w:rsidRPr="00A163A8">
              <w:rPr>
                <w:lang w:val="ro-RO"/>
              </w:rPr>
              <w:t>În spațiul Europei de Est, Banca Europeană pentru Reconstrucții și Dezvoltare a susținut instituirea și dezvoltarea ombudsmanului pentru antreprenori în Ucraina, Armenia, Kazahstan, Albania.</w:t>
            </w:r>
            <w:r w:rsidRPr="00A163A8">
              <w:rPr>
                <w:rStyle w:val="FootnoteReference"/>
                <w:lang w:val="ro-RO"/>
              </w:rPr>
              <w:footnoteReference w:id="7"/>
            </w:r>
            <w:r w:rsidRPr="00A163A8">
              <w:rPr>
                <w:lang w:val="ro-RO"/>
              </w:rPr>
              <w:t xml:space="preserve"> În Ucraina</w:t>
            </w:r>
            <w:r w:rsidR="00185E0D" w:rsidRPr="00A163A8">
              <w:rPr>
                <w:lang w:val="ro-RO"/>
              </w:rPr>
              <w:t>, după 2015,</w:t>
            </w:r>
            <w:r w:rsidRPr="00A163A8">
              <w:rPr>
                <w:lang w:val="ro-RO"/>
              </w:rPr>
              <w:t xml:space="preserve"> </w:t>
            </w:r>
            <w:r w:rsidRPr="00A163A8">
              <w:rPr>
                <w:color w:val="26282A"/>
                <w:lang w:val="ro-RO"/>
              </w:rPr>
              <w:t>în calitate de Ombudsman a fost angajată o persoană notorie din străinătate, iar experții din oficiul acestuia au fost angajați din rândurile profesioniștilor locali (15 persoane)</w:t>
            </w:r>
            <w:r w:rsidR="00185E0D" w:rsidRPr="00A163A8">
              <w:rPr>
                <w:rStyle w:val="FootnoteReference"/>
                <w:color w:val="26282A"/>
                <w:lang w:val="ro-RO"/>
              </w:rPr>
              <w:footnoteReference w:id="8"/>
            </w:r>
            <w:r w:rsidRPr="00A163A8">
              <w:rPr>
                <w:color w:val="26282A"/>
                <w:lang w:val="ro-RO"/>
              </w:rPr>
              <w:t xml:space="preserve">. Drepturile și atribuțiile acestuia îi permit nu doar să monitorizeze cazurile de abuz pentru întreg mediul de afaceri, </w:t>
            </w:r>
            <w:r w:rsidRPr="00A163A8">
              <w:rPr>
                <w:color w:val="26282A"/>
                <w:lang w:val="ro-RO"/>
              </w:rPr>
              <w:lastRenderedPageBreak/>
              <w:t>dar și să se implice direct în procesul penal și contencios administrativ, să colaboreze cu organele de drept și combatere a corupției.</w:t>
            </w:r>
          </w:p>
          <w:p w14:paraId="4AB5B5EC" w14:textId="77777777" w:rsidR="0060157E" w:rsidRPr="00A163A8" w:rsidRDefault="00185E0D" w:rsidP="0060157E">
            <w:pPr>
              <w:pStyle w:val="NormalWeb"/>
              <w:numPr>
                <w:ilvl w:val="0"/>
                <w:numId w:val="6"/>
              </w:numPr>
              <w:ind w:left="373"/>
              <w:rPr>
                <w:lang w:val="ro-RO"/>
              </w:rPr>
            </w:pPr>
            <w:r w:rsidRPr="00A163A8">
              <w:rPr>
                <w:lang w:val="ro-RO"/>
              </w:rPr>
              <w:t>În Georgia</w:t>
            </w:r>
            <w:r w:rsidRPr="00A163A8">
              <w:rPr>
                <w:rStyle w:val="FootnoteReference"/>
                <w:lang w:val="ro-RO"/>
              </w:rPr>
              <w:footnoteReference w:id="9"/>
            </w:r>
            <w:r w:rsidRPr="00A163A8">
              <w:rPr>
                <w:lang w:val="ro-RO"/>
              </w:rPr>
              <w:t xml:space="preserve">, instituția ombudsmanului pentru antreprenori se fondează </w:t>
            </w:r>
            <w:proofErr w:type="spellStart"/>
            <w:r w:rsidRPr="00A163A8">
              <w:rPr>
                <w:lang w:val="ro-RO"/>
              </w:rPr>
              <w:t>începînd</w:t>
            </w:r>
            <w:proofErr w:type="spellEnd"/>
            <w:r w:rsidRPr="00A163A8">
              <w:rPr>
                <w:lang w:val="ro-RO"/>
              </w:rPr>
              <w:t xml:space="preserve"> cu 2011, </w:t>
            </w:r>
            <w:proofErr w:type="spellStart"/>
            <w:r w:rsidRPr="00A163A8">
              <w:rPr>
                <w:lang w:val="ro-RO"/>
              </w:rPr>
              <w:t>avînd</w:t>
            </w:r>
            <w:proofErr w:type="spellEnd"/>
            <w:r w:rsidRPr="00A163A8">
              <w:rPr>
                <w:lang w:val="ro-RO"/>
              </w:rPr>
              <w:t xml:space="preserve"> preocupare doar în privința sistemului fiscal. În prezent acesta și-a extins obiectivele și atribuțiile pentru toate domeniile de reglementare și activitate economică, însă cu un accent deosebit pentru domeniul fiscal și vamal. </w:t>
            </w:r>
          </w:p>
          <w:p w14:paraId="7915A424" w14:textId="10196868" w:rsidR="0060157E" w:rsidRPr="00A163A8" w:rsidRDefault="00185E0D" w:rsidP="0060157E">
            <w:pPr>
              <w:pStyle w:val="NormalWeb"/>
              <w:numPr>
                <w:ilvl w:val="0"/>
                <w:numId w:val="6"/>
              </w:numPr>
              <w:ind w:left="373"/>
              <w:rPr>
                <w:lang w:val="ro-RO"/>
              </w:rPr>
            </w:pPr>
            <w:r w:rsidRPr="00A163A8">
              <w:rPr>
                <w:lang w:val="ro-RO"/>
              </w:rPr>
              <w:t>În SUA încă din 1953 la nivel federal este creată Administrația pentru Întreprinderi Mici („</w:t>
            </w:r>
            <w:proofErr w:type="spellStart"/>
            <w:r w:rsidRPr="00A163A8">
              <w:rPr>
                <w:lang w:val="ro-RO"/>
              </w:rPr>
              <w:t>Small</w:t>
            </w:r>
            <w:proofErr w:type="spellEnd"/>
            <w:r w:rsidRPr="00A163A8">
              <w:rPr>
                <w:lang w:val="ro-RO"/>
              </w:rPr>
              <w:t xml:space="preserve"> Business Administration”</w:t>
            </w:r>
            <w:r w:rsidRPr="00A163A8">
              <w:rPr>
                <w:rStyle w:val="FootnoteReference"/>
                <w:lang w:val="ro-RO"/>
              </w:rPr>
              <w:footnoteReference w:id="10"/>
            </w:r>
            <w:r w:rsidRPr="00A163A8">
              <w:rPr>
                <w:lang w:val="ro-RO"/>
              </w:rPr>
              <w:t xml:space="preserve">) care are menirea să susțină micii întreprinzători prin consultanță, expertiză, facilități financiare, examinarea și soluționarea </w:t>
            </w:r>
            <w:r w:rsidR="0060157E" w:rsidRPr="00A163A8">
              <w:rPr>
                <w:lang w:val="ro-RO"/>
              </w:rPr>
              <w:t>petițiilor etc. În cadrul acesteia,</w:t>
            </w:r>
            <w:r w:rsidRPr="00A163A8">
              <w:rPr>
                <w:lang w:val="ro-RO"/>
              </w:rPr>
              <w:t xml:space="preserve"> </w:t>
            </w:r>
            <w:proofErr w:type="spellStart"/>
            <w:r w:rsidRPr="00A163A8">
              <w:rPr>
                <w:lang w:val="ro-RO"/>
              </w:rPr>
              <w:t>începînd</w:t>
            </w:r>
            <w:proofErr w:type="spellEnd"/>
            <w:r w:rsidRPr="00A163A8">
              <w:rPr>
                <w:lang w:val="ro-RO"/>
              </w:rPr>
              <w:t xml:space="preserve"> cu 1994</w:t>
            </w:r>
            <w:r w:rsidR="0060157E" w:rsidRPr="00A163A8">
              <w:rPr>
                <w:lang w:val="ro-RO"/>
              </w:rPr>
              <w:t>,</w:t>
            </w:r>
            <w:r w:rsidRPr="00A163A8">
              <w:rPr>
                <w:lang w:val="ro-RO"/>
              </w:rPr>
              <w:t xml:space="preserve"> funcționează ombudsman național</w:t>
            </w:r>
            <w:r w:rsidR="0060157E" w:rsidRPr="00A163A8">
              <w:rPr>
                <w:rStyle w:val="FootnoteReference"/>
                <w:lang w:val="ro-RO"/>
              </w:rPr>
              <w:footnoteReference w:id="11"/>
            </w:r>
            <w:r w:rsidRPr="00A163A8">
              <w:rPr>
                <w:lang w:val="ro-RO"/>
              </w:rPr>
              <w:t xml:space="preserve">, </w:t>
            </w:r>
            <w:r w:rsidR="0060157E" w:rsidRPr="00A163A8">
              <w:rPr>
                <w:lang w:val="ro-RO"/>
              </w:rPr>
              <w:t>care are în atribuții asistența micilor întreprinzători, micilor organizații non-guvernamentale și chiar a micilor autorități publici locale să lupte cu reglementăr</w:t>
            </w:r>
            <w:r w:rsidRPr="00A163A8">
              <w:rPr>
                <w:lang w:val="ro-RO"/>
              </w:rPr>
              <w:t>i abuziv</w:t>
            </w:r>
            <w:r w:rsidR="0060157E" w:rsidRPr="00A163A8">
              <w:rPr>
                <w:lang w:val="ro-RO"/>
              </w:rPr>
              <w:t>e sau excesive aprobate la nivel federal, în special să combată penalitățile inechitabile, obligațiile excesive, proceduri nejustificate ș.a. prevăzute în cadrul normativ federal sau impuse de autorități federale.</w:t>
            </w:r>
          </w:p>
          <w:p w14:paraId="2E0E974E" w14:textId="25082839" w:rsidR="00185E0D" w:rsidRPr="00A163A8" w:rsidRDefault="009E365A" w:rsidP="0060157E">
            <w:pPr>
              <w:pStyle w:val="NormalWeb"/>
              <w:numPr>
                <w:ilvl w:val="0"/>
                <w:numId w:val="6"/>
              </w:numPr>
              <w:ind w:left="373"/>
              <w:rPr>
                <w:lang w:val="ro-RO"/>
              </w:rPr>
            </w:pPr>
            <w:r w:rsidRPr="00A163A8">
              <w:rPr>
                <w:lang w:val="ro-RO"/>
              </w:rPr>
              <w:t>În Marea Britanie</w:t>
            </w:r>
            <w:r w:rsidRPr="00A163A8">
              <w:rPr>
                <w:rStyle w:val="FootnoteReference"/>
                <w:lang w:val="ro-RO"/>
              </w:rPr>
              <w:footnoteReference w:id="12"/>
            </w:r>
            <w:r w:rsidRPr="00A163A8">
              <w:rPr>
                <w:lang w:val="ro-RO"/>
              </w:rPr>
              <w:t xml:space="preserve"> și Australia</w:t>
            </w:r>
            <w:r w:rsidRPr="00A163A8">
              <w:rPr>
                <w:rStyle w:val="FootnoteReference"/>
                <w:lang w:val="ro-RO"/>
              </w:rPr>
              <w:footnoteReference w:id="13"/>
            </w:r>
            <w:r w:rsidRPr="00A163A8">
              <w:rPr>
                <w:lang w:val="ro-RO"/>
              </w:rPr>
              <w:t xml:space="preserve"> există așa-numiții „</w:t>
            </w:r>
            <w:proofErr w:type="spellStart"/>
            <w:r w:rsidRPr="00A163A8">
              <w:rPr>
                <w:lang w:val="ro-RO"/>
              </w:rPr>
              <w:t>Small</w:t>
            </w:r>
            <w:proofErr w:type="spellEnd"/>
            <w:r w:rsidRPr="00A163A8">
              <w:rPr>
                <w:lang w:val="ro-RO"/>
              </w:rPr>
              <w:t xml:space="preserve"> Business </w:t>
            </w:r>
            <w:proofErr w:type="spellStart"/>
            <w:r w:rsidRPr="00A163A8">
              <w:rPr>
                <w:lang w:val="ro-RO"/>
              </w:rPr>
              <w:t>Commissioner</w:t>
            </w:r>
            <w:proofErr w:type="spellEnd"/>
            <w:r w:rsidRPr="00A163A8">
              <w:rPr>
                <w:lang w:val="ro-RO"/>
              </w:rPr>
              <w:t xml:space="preserve">” în calitate de instituții publice independente cu menirea să susțină antreprenorii mici și micro. Aceste instituții acordă consultanța și expertiza necesară întreprinzătorilor mici, colectează și examinează </w:t>
            </w:r>
            <w:proofErr w:type="spellStart"/>
            <w:r w:rsidRPr="00A163A8">
              <w:rPr>
                <w:lang w:val="ro-RO"/>
              </w:rPr>
              <w:t>plîngerile</w:t>
            </w:r>
            <w:proofErr w:type="spellEnd"/>
            <w:r w:rsidRPr="00A163A8">
              <w:rPr>
                <w:lang w:val="ro-RO"/>
              </w:rPr>
              <w:t xml:space="preserve"> acestora și susțin întreprinzătorii împotriva abuzurilor autorităților publice, </w:t>
            </w:r>
            <w:r w:rsidR="00C3312C" w:rsidRPr="00A163A8">
              <w:rPr>
                <w:lang w:val="ro-RO"/>
              </w:rPr>
              <w:t>companiilor ce prestează servicii de importanță publică</w:t>
            </w:r>
            <w:r w:rsidRPr="00A163A8">
              <w:rPr>
                <w:lang w:val="ro-RO"/>
              </w:rPr>
              <w:t xml:space="preserve"> precum și împotriva cadrului normativ împovărător</w:t>
            </w:r>
            <w:r w:rsidR="00C3312C" w:rsidRPr="00A163A8">
              <w:rPr>
                <w:lang w:val="ro-RO"/>
              </w:rPr>
              <w:t xml:space="preserve"> și inechitabil, la fel acordă servicii de mediere.</w:t>
            </w:r>
            <w:r w:rsidRPr="00A163A8">
              <w:rPr>
                <w:lang w:val="ro-RO"/>
              </w:rPr>
              <w:t xml:space="preserve"> </w:t>
            </w:r>
            <w:r w:rsidR="00C3312C" w:rsidRPr="00A163A8">
              <w:rPr>
                <w:lang w:val="ro-RO"/>
              </w:rPr>
              <w:t xml:space="preserve">Totodată, aceste instituții sunt </w:t>
            </w:r>
            <w:r w:rsidR="00901CA4" w:rsidRPr="00A163A8">
              <w:rPr>
                <w:lang w:val="ro-RO"/>
              </w:rPr>
              <w:t>„</w:t>
            </w:r>
            <w:r w:rsidR="00C3312C" w:rsidRPr="00A163A8">
              <w:rPr>
                <w:lang w:val="ro-RO"/>
              </w:rPr>
              <w:t>vocea</w:t>
            </w:r>
            <w:r w:rsidR="00901CA4" w:rsidRPr="00A163A8">
              <w:rPr>
                <w:lang w:val="ro-RO"/>
              </w:rPr>
              <w:t>”</w:t>
            </w:r>
            <w:r w:rsidR="00C3312C" w:rsidRPr="00A163A8">
              <w:rPr>
                <w:lang w:val="ro-RO"/>
              </w:rPr>
              <w:t xml:space="preserve"> micilor întreprinzători în fața autorităților ce elaborează politici, a parlamentului și guvernului.</w:t>
            </w:r>
            <w:r w:rsidR="0060157E" w:rsidRPr="00A163A8">
              <w:rPr>
                <w:lang w:val="ro-RO"/>
              </w:rPr>
              <w:t xml:space="preserve"> </w:t>
            </w:r>
          </w:p>
          <w:p w14:paraId="23ADBC0F" w14:textId="5C75C67E" w:rsidR="003303EC" w:rsidRPr="00A163A8" w:rsidRDefault="003303EC" w:rsidP="0060157E">
            <w:pPr>
              <w:pStyle w:val="NormalWeb"/>
              <w:ind w:firstLine="0"/>
              <w:rPr>
                <w:sz w:val="20"/>
                <w:szCs w:val="20"/>
                <w:lang w:val="ro-RO"/>
              </w:rPr>
            </w:pPr>
          </w:p>
        </w:tc>
      </w:tr>
      <w:tr w:rsidR="003303EC" w:rsidRPr="00D171DB" w14:paraId="1613C868" w14:textId="77777777" w:rsidTr="007019CD">
        <w:trPr>
          <w:jc w:val="center"/>
        </w:trPr>
        <w:tc>
          <w:tcPr>
            <w:tcW w:w="492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14C0DF" w14:textId="02673C1B" w:rsidR="003303EC" w:rsidRPr="00D7199E" w:rsidRDefault="007E491E" w:rsidP="007019CD">
            <w:pPr>
              <w:rPr>
                <w:rFonts w:eastAsia="Times New Roman"/>
                <w:i/>
                <w:sz w:val="20"/>
                <w:szCs w:val="20"/>
                <w:lang w:val="ro-RO"/>
              </w:rPr>
            </w:pPr>
            <w:r w:rsidRPr="00D7199E">
              <w:rPr>
                <w:rFonts w:eastAsia="Times New Roman"/>
                <w:i/>
                <w:sz w:val="20"/>
                <w:szCs w:val="20"/>
                <w:lang w:val="ro-RO"/>
              </w:rPr>
              <w:lastRenderedPageBreak/>
              <w:t>c) Expuneţi clar cauzele care au dus la apariţia problemei</w:t>
            </w:r>
          </w:p>
        </w:tc>
        <w:tc>
          <w:tcPr>
            <w:tcW w:w="76"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7837F736" w14:textId="77777777" w:rsidR="003303EC" w:rsidRPr="00A163A8" w:rsidRDefault="003303EC" w:rsidP="007019CD">
            <w:pPr>
              <w:rPr>
                <w:rFonts w:eastAsia="Times New Roman"/>
                <w:sz w:val="20"/>
                <w:szCs w:val="20"/>
                <w:lang w:val="ro-RO"/>
              </w:rPr>
            </w:pPr>
          </w:p>
        </w:tc>
      </w:tr>
      <w:tr w:rsidR="003303EC" w:rsidRPr="00D171DB" w14:paraId="111F4232" w14:textId="77777777" w:rsidTr="007019CD">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0FFC05F1" w14:textId="77777777" w:rsidR="00490B24" w:rsidRPr="00A163A8" w:rsidRDefault="00490B24" w:rsidP="006C0AC5">
            <w:pPr>
              <w:pStyle w:val="NormalWeb"/>
              <w:ind w:firstLine="373"/>
              <w:rPr>
                <w:lang w:val="ro-RO"/>
              </w:rPr>
            </w:pPr>
            <w:r w:rsidRPr="00A163A8">
              <w:rPr>
                <w:lang w:val="ro-RO"/>
              </w:rPr>
              <w:t>Cauzele principale care creează bariere administrative nejustificate, abuzuri și, în final, cheltuieli excesive</w:t>
            </w:r>
            <w:r w:rsidR="006C0AC5" w:rsidRPr="00A163A8">
              <w:rPr>
                <w:lang w:val="ro-RO"/>
              </w:rPr>
              <w:t xml:space="preserve"> și inutile</w:t>
            </w:r>
            <w:r w:rsidRPr="00A163A8">
              <w:rPr>
                <w:lang w:val="ro-RO"/>
              </w:rPr>
              <w:t xml:space="preserve"> pentru întreprinzători:</w:t>
            </w:r>
          </w:p>
          <w:p w14:paraId="527C9EF4" w14:textId="77777777" w:rsidR="00490B24" w:rsidRPr="00A163A8" w:rsidRDefault="00490B24" w:rsidP="00490B24">
            <w:pPr>
              <w:pStyle w:val="NormalWeb"/>
              <w:numPr>
                <w:ilvl w:val="0"/>
                <w:numId w:val="1"/>
              </w:numPr>
              <w:rPr>
                <w:lang w:val="ro-RO"/>
              </w:rPr>
            </w:pPr>
            <w:r w:rsidRPr="00A163A8">
              <w:rPr>
                <w:lang w:val="ro-RO"/>
              </w:rPr>
              <w:t>Reglementări defectuoase, elaborate și aprobate cu încălcarea principiilor de reglementare a activității de întreprinzător și a principiilor fundamentale ale procesului de legiferare. În special este vorba despre actele normative care vin să pună în aplicare prevederile legilor, actele emise de ministere, agenții, alte autorități publice centrale și locale.</w:t>
            </w:r>
          </w:p>
          <w:p w14:paraId="11EADD85" w14:textId="77777777" w:rsidR="00490B24" w:rsidRPr="00A163A8" w:rsidRDefault="00490B24" w:rsidP="00490B24">
            <w:pPr>
              <w:pStyle w:val="NormalWeb"/>
              <w:numPr>
                <w:ilvl w:val="0"/>
                <w:numId w:val="1"/>
              </w:numPr>
              <w:rPr>
                <w:lang w:val="ro-RO"/>
              </w:rPr>
            </w:pPr>
            <w:r w:rsidRPr="00A163A8">
              <w:rPr>
                <w:lang w:val="ro-RO"/>
              </w:rPr>
              <w:t>Mecanisme și oportunități costisitoare și mai puțin eficiente de soluționare a disputelor și revendicare a drepturilor antreprenorilor</w:t>
            </w:r>
            <w:r w:rsidR="006C0AC5" w:rsidRPr="00A163A8">
              <w:rPr>
                <w:lang w:val="ro-RO"/>
              </w:rPr>
              <w:t xml:space="preserve"> în raport cu organele de control de stat și cu prestatorii de servicii publice obligatorii</w:t>
            </w:r>
            <w:r w:rsidRPr="00A163A8">
              <w:rPr>
                <w:lang w:val="ro-RO"/>
              </w:rPr>
              <w:t xml:space="preserve">. </w:t>
            </w:r>
          </w:p>
          <w:p w14:paraId="7A40F9D9" w14:textId="77777777" w:rsidR="00490B24" w:rsidRPr="00A163A8" w:rsidRDefault="00490B24" w:rsidP="00490B24">
            <w:pPr>
              <w:pStyle w:val="NormalWeb"/>
              <w:numPr>
                <w:ilvl w:val="0"/>
                <w:numId w:val="1"/>
              </w:numPr>
              <w:rPr>
                <w:lang w:val="ro-RO"/>
              </w:rPr>
            </w:pPr>
            <w:r w:rsidRPr="00A163A8">
              <w:rPr>
                <w:lang w:val="ro-RO"/>
              </w:rPr>
              <w:t>Lacune în procesul de autocontrol și disciplină</w:t>
            </w:r>
            <w:r w:rsidR="006C0AC5" w:rsidRPr="00A163A8">
              <w:rPr>
                <w:lang w:val="ro-RO"/>
              </w:rPr>
              <w:t xml:space="preserve"> a sistemului judiciar, </w:t>
            </w:r>
            <w:r w:rsidRPr="00A163A8">
              <w:rPr>
                <w:lang w:val="ro-RO"/>
              </w:rPr>
              <w:t>de urmărire penală</w:t>
            </w:r>
            <w:r w:rsidR="006C0AC5" w:rsidRPr="00A163A8">
              <w:rPr>
                <w:lang w:val="ro-RO"/>
              </w:rPr>
              <w:t xml:space="preserve"> și al organelor de control de stat</w:t>
            </w:r>
            <w:r w:rsidRPr="00A163A8">
              <w:rPr>
                <w:lang w:val="ro-RO"/>
              </w:rPr>
              <w:t>, care creează oportunități de abuzuri din partea unor actori implicați.</w:t>
            </w:r>
          </w:p>
          <w:p w14:paraId="29BE056D" w14:textId="44FBDB9D" w:rsidR="00490B24" w:rsidRPr="00A163A8" w:rsidRDefault="00490B24" w:rsidP="00490B24">
            <w:pPr>
              <w:pStyle w:val="NormalWeb"/>
              <w:numPr>
                <w:ilvl w:val="0"/>
                <w:numId w:val="1"/>
              </w:numPr>
              <w:rPr>
                <w:lang w:val="ro-RO"/>
              </w:rPr>
            </w:pPr>
            <w:r w:rsidRPr="00A163A8">
              <w:rPr>
                <w:lang w:val="ro-RO"/>
              </w:rPr>
              <w:t xml:space="preserve">Procesele de prestarea a serviciilor publice impuse de lege (emitere de acte permisive, înregistrări și expertize obligatorii etc.) în multe cazuri </w:t>
            </w:r>
            <w:r w:rsidR="006C0AC5" w:rsidRPr="00A163A8">
              <w:rPr>
                <w:lang w:val="ro-RO"/>
              </w:rPr>
              <w:t>nu sunt suficient reglementate și supravegheate inclusiv pe inter</w:t>
            </w:r>
            <w:r w:rsidR="00901CA4" w:rsidRPr="00A163A8">
              <w:rPr>
                <w:lang w:val="ro-RO"/>
              </w:rPr>
              <w:t>n</w:t>
            </w:r>
            <w:r w:rsidR="006C0AC5" w:rsidRPr="00A163A8">
              <w:rPr>
                <w:lang w:val="ro-RO"/>
              </w:rPr>
              <w:t>, ceea ce creează o marjă de discreție destul de mare pentru funcționarii din cadrul autorităților/instituțiilor publice și duce la interpretări eronate a legii și posibile abuzuri.</w:t>
            </w:r>
          </w:p>
          <w:p w14:paraId="5EF83AFF" w14:textId="77777777" w:rsidR="003303EC" w:rsidRPr="00A163A8" w:rsidRDefault="00490B24" w:rsidP="00344207">
            <w:pPr>
              <w:pStyle w:val="NormalWeb"/>
              <w:ind w:firstLine="373"/>
              <w:rPr>
                <w:lang w:val="ro-RO"/>
              </w:rPr>
            </w:pPr>
            <w:r w:rsidRPr="00A163A8">
              <w:rPr>
                <w:lang w:val="ro-RO"/>
              </w:rPr>
              <w:t>O mare parte d</w:t>
            </w:r>
            <w:r w:rsidR="006C0AC5" w:rsidRPr="00A163A8">
              <w:rPr>
                <w:lang w:val="ro-RO"/>
              </w:rPr>
              <w:t xml:space="preserve">in </w:t>
            </w:r>
            <w:r w:rsidR="00344207" w:rsidRPr="00A163A8">
              <w:rPr>
                <w:lang w:val="ro-RO"/>
              </w:rPr>
              <w:t>cauzele expuse</w:t>
            </w:r>
            <w:r w:rsidR="006C0AC5" w:rsidRPr="00A163A8">
              <w:rPr>
                <w:lang w:val="ro-RO"/>
              </w:rPr>
              <w:t xml:space="preserve"> se datorează inclusiv </w:t>
            </w:r>
            <w:r w:rsidR="00EF1FD3" w:rsidRPr="00A163A8">
              <w:rPr>
                <w:lang w:val="ro-RO"/>
              </w:rPr>
              <w:t>lipsei unor reforme concludente și efective în sistemul justiției și de urmărire penală, precum și tergiversărilor enorme în privința implementării reformelor privind sistemul de control de stat asupra activității de întreprinzător.</w:t>
            </w:r>
            <w:r w:rsidRPr="00A163A8">
              <w:rPr>
                <w:lang w:val="ro-RO"/>
              </w:rPr>
              <w:t xml:space="preserve"> </w:t>
            </w:r>
          </w:p>
          <w:p w14:paraId="79E2E95B" w14:textId="77777777" w:rsidR="0085632C" w:rsidRPr="00A163A8" w:rsidRDefault="0085632C" w:rsidP="00344207">
            <w:pPr>
              <w:pStyle w:val="NormalWeb"/>
              <w:ind w:firstLine="373"/>
              <w:rPr>
                <w:lang w:val="ro-RO"/>
              </w:rPr>
            </w:pPr>
          </w:p>
        </w:tc>
      </w:tr>
      <w:tr w:rsidR="003303EC" w:rsidRPr="00A163A8" w14:paraId="20DE706B" w14:textId="77777777" w:rsidTr="007019CD">
        <w:trPr>
          <w:jc w:val="center"/>
        </w:trPr>
        <w:tc>
          <w:tcPr>
            <w:tcW w:w="492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3B2EA2" w14:textId="77777777" w:rsidR="003303EC" w:rsidRPr="00D7199E" w:rsidRDefault="007E491E" w:rsidP="007019CD">
            <w:pPr>
              <w:rPr>
                <w:rFonts w:eastAsia="Times New Roman"/>
                <w:i/>
                <w:sz w:val="20"/>
                <w:szCs w:val="20"/>
                <w:lang w:val="ro-RO"/>
              </w:rPr>
            </w:pPr>
            <w:r w:rsidRPr="00D7199E">
              <w:rPr>
                <w:rFonts w:eastAsia="Times New Roman"/>
                <w:i/>
                <w:sz w:val="20"/>
                <w:szCs w:val="20"/>
                <w:lang w:val="ro-RO"/>
              </w:rPr>
              <w:t>d) Descrieţi cum a evoluat problema şi cum va evolua fără o intervenţie</w:t>
            </w:r>
          </w:p>
        </w:tc>
        <w:tc>
          <w:tcPr>
            <w:tcW w:w="76"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3478FF14" w14:textId="77777777" w:rsidR="003303EC" w:rsidRPr="00A163A8" w:rsidRDefault="003303EC" w:rsidP="007019CD">
            <w:pPr>
              <w:rPr>
                <w:rFonts w:eastAsia="Times New Roman"/>
                <w:sz w:val="20"/>
                <w:szCs w:val="20"/>
                <w:lang w:val="ro-RO"/>
              </w:rPr>
            </w:pPr>
          </w:p>
        </w:tc>
      </w:tr>
      <w:tr w:rsidR="003303EC" w:rsidRPr="00D171DB" w14:paraId="573AE07F" w14:textId="77777777" w:rsidTr="007019CD">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108B7DA9" w14:textId="76F8F4D4" w:rsidR="003303EC" w:rsidRPr="0051751D" w:rsidRDefault="007E491E" w:rsidP="00AF6480">
            <w:pPr>
              <w:pStyle w:val="NormalWeb"/>
              <w:ind w:firstLine="373"/>
              <w:rPr>
                <w:b/>
                <w:lang w:val="ro-RO"/>
              </w:rPr>
            </w:pPr>
            <w:r w:rsidRPr="00A163A8">
              <w:rPr>
                <w:sz w:val="20"/>
                <w:szCs w:val="20"/>
                <w:lang w:val="ro-RO"/>
              </w:rPr>
              <w:t> </w:t>
            </w:r>
            <w:r w:rsidR="00AF6480" w:rsidRPr="00A163A8">
              <w:rPr>
                <w:lang w:val="ro-RO"/>
              </w:rPr>
              <w:t xml:space="preserve">Așa cum a fost expus la definirea și analiza problemei, în pofida reformelor promovate în ultimii ani, totuși tendința este de creștere a cazurilor de </w:t>
            </w:r>
            <w:r w:rsidR="00D53080">
              <w:rPr>
                <w:lang w:val="ro-RO"/>
              </w:rPr>
              <w:t>atingere a drepturilor și intereselor întreprinzătorilor</w:t>
            </w:r>
            <w:r w:rsidR="00D53080" w:rsidRPr="00A163A8">
              <w:rPr>
                <w:lang w:val="ro-RO"/>
              </w:rPr>
              <w:t xml:space="preserve"> </w:t>
            </w:r>
            <w:r w:rsidR="00AF6480" w:rsidRPr="00A163A8">
              <w:rPr>
                <w:lang w:val="ro-RO"/>
              </w:rPr>
              <w:t xml:space="preserve">din partea autorităților publice în aplicarea legislației. Chiar dacă în ultimii ani, procesul de elaborare și promovare a </w:t>
            </w:r>
            <w:r w:rsidR="00AF6480" w:rsidRPr="00A163A8">
              <w:rPr>
                <w:lang w:val="ro-RO"/>
              </w:rPr>
              <w:lastRenderedPageBreak/>
              <w:t xml:space="preserve">cadrului normativ este unul mai transparent și, datorită căilor de comunicare electronică, mult mai eficient, ce presupune o participare mai </w:t>
            </w:r>
            <w:r w:rsidR="00AB2FF7" w:rsidRPr="00A163A8">
              <w:rPr>
                <w:lang w:val="ro-RO"/>
              </w:rPr>
              <w:t>mare</w:t>
            </w:r>
            <w:r w:rsidR="00AF6480" w:rsidRPr="00A163A8">
              <w:rPr>
                <w:lang w:val="ro-RO"/>
              </w:rPr>
              <w:t xml:space="preserve"> a mediului de afaceri la elaborarea și promovarea de politici publice și implicit în viitor ceea ce poate asigura </w:t>
            </w:r>
            <w:r w:rsidR="00AB2FF7" w:rsidRPr="00A163A8">
              <w:rPr>
                <w:lang w:val="ro-RO"/>
              </w:rPr>
              <w:t xml:space="preserve">un cadru normativ mai calitativ. </w:t>
            </w:r>
            <w:r w:rsidR="00AB2FF7" w:rsidRPr="0051751D">
              <w:rPr>
                <w:b/>
                <w:lang w:val="ro-RO"/>
              </w:rPr>
              <w:t>T</w:t>
            </w:r>
            <w:r w:rsidR="00AF6480" w:rsidRPr="0051751D">
              <w:rPr>
                <w:b/>
                <w:lang w:val="ro-RO"/>
              </w:rPr>
              <w:t xml:space="preserve">otuși problema punerii în aplicare a legislației este una crucială și, în lipsa unor mecanisme eficiente de contracarare </w:t>
            </w:r>
            <w:r w:rsidR="00AB2FF7" w:rsidRPr="0051751D">
              <w:rPr>
                <w:b/>
                <w:lang w:val="ro-RO"/>
              </w:rPr>
              <w:t xml:space="preserve">a abuzurilor și soluționării a disputelor, cadrul normativ calitativ </w:t>
            </w:r>
            <w:proofErr w:type="spellStart"/>
            <w:r w:rsidR="00AB2FF7" w:rsidRPr="0051751D">
              <w:rPr>
                <w:b/>
                <w:lang w:val="ro-RO"/>
              </w:rPr>
              <w:t>rămîne</w:t>
            </w:r>
            <w:proofErr w:type="spellEnd"/>
            <w:r w:rsidR="00AB2FF7" w:rsidRPr="0051751D">
              <w:rPr>
                <w:b/>
                <w:lang w:val="ro-RO"/>
              </w:rPr>
              <w:t xml:space="preserve"> a fi neefectiv. </w:t>
            </w:r>
          </w:p>
          <w:p w14:paraId="37FD99BF" w14:textId="45AD4F10" w:rsidR="00AB2FF7" w:rsidRPr="00A163A8" w:rsidRDefault="00AB2FF7" w:rsidP="00AF6480">
            <w:pPr>
              <w:pStyle w:val="NormalWeb"/>
              <w:ind w:firstLine="373"/>
              <w:rPr>
                <w:lang w:val="ro-RO"/>
              </w:rPr>
            </w:pPr>
            <w:r w:rsidRPr="00A163A8">
              <w:rPr>
                <w:lang w:val="ro-RO"/>
              </w:rPr>
              <w:t xml:space="preserve">Chiar și în cazul în care vor fi inițiate și desfășurate reforme profunde în domeniul justiției și urmăririi penale, precum și dacă vor fi implementate cu succes reformele dezvoltate în domeniul controlului de stat, este necesară o perioadă considerabilă de timp (de cel puțin 5 ani) pentru ca efectul acestor reforme să fie resimțit. Corespunzător, se impune găsirea unor soluții de ordin instituțional, cel puțin pentru perioada desfășurării și implementării reformelor necesare, care ar veni cu o protecție împotriva la cele mai evidente efecte negative cauzate de disfuncționalitățile sistemului instituțional și normativ actual pentru mediul de afaceri. </w:t>
            </w:r>
          </w:p>
          <w:p w14:paraId="79057078" w14:textId="4783CA72" w:rsidR="00CB4A77" w:rsidRPr="00A163A8" w:rsidRDefault="00CB4A77" w:rsidP="00AF6480">
            <w:pPr>
              <w:pStyle w:val="NormalWeb"/>
              <w:ind w:firstLine="373"/>
              <w:rPr>
                <w:lang w:val="ro-RO"/>
              </w:rPr>
            </w:pPr>
            <w:r w:rsidRPr="00A163A8">
              <w:rPr>
                <w:lang w:val="ro-RO"/>
              </w:rPr>
              <w:t>În ultimii ani în baza statisticilor prezentate de Ministerul Finanțelor, pe fonul exodului continuu a populației se atestă diminuarea continuă a numărului de întreprinderi contribuabile. Doar pe parcursul anului 2019 numărul a scăzut cu 7% din totalul de contribuabili (agenți economici) înregistrați de SFS</w:t>
            </w:r>
            <w:r w:rsidRPr="00A163A8">
              <w:rPr>
                <w:rStyle w:val="FootnoteReference"/>
                <w:lang w:val="ro-RO"/>
              </w:rPr>
              <w:footnoteReference w:id="14"/>
            </w:r>
            <w:r w:rsidR="004530E5" w:rsidRPr="00A163A8">
              <w:rPr>
                <w:lang w:val="ro-RO"/>
              </w:rPr>
              <w:t>, la fel și pe parcursul anului 2018, s-a atestat o scădere cu 7% a numărului contribuabililor</w:t>
            </w:r>
            <w:r w:rsidR="004530E5" w:rsidRPr="00A163A8">
              <w:rPr>
                <w:rStyle w:val="FootnoteReference"/>
                <w:lang w:val="ro-RO"/>
              </w:rPr>
              <w:footnoteReference w:id="15"/>
            </w:r>
            <w:r w:rsidRPr="00A163A8">
              <w:rPr>
                <w:lang w:val="ro-RO"/>
              </w:rPr>
              <w:t xml:space="preserve">. </w:t>
            </w:r>
            <w:r w:rsidR="004530E5" w:rsidRPr="00A163A8">
              <w:rPr>
                <w:lang w:val="ro-RO"/>
              </w:rPr>
              <w:t xml:space="preserve">Unde o  mare parte din agenți economici sunt radiați din oficiu, fiind calificați ca „inactivi”. Tendința de scădere este evidentă și pe exemplul SRL-urilor, unde conform datelor prezentate de SFS diferența între SRL-uri noi înregistrate și SRL-uri radiate în 2018 este de 1853 și în 2019 deja este de 1415 întreprinderi. </w:t>
            </w:r>
            <w:r w:rsidRPr="00A163A8">
              <w:rPr>
                <w:lang w:val="ro-RO"/>
              </w:rPr>
              <w:t xml:space="preserve">Acest fapt iminent duce nu doar la stagnarea veniturilor ce pot fi obținute de mediul de afaceri, dar și diminuarea iminentă a acestuia. Datorită factorilor nocivi examinați în definirea problemei și a cheltuielilor impuse de barierele birocratice create, întreprinzătorii nu-și pot realiza planul de afaceri prestabilit, fiind în final  descurajați de a menține activitatea întreprinderii. </w:t>
            </w:r>
            <w:r w:rsidR="004530E5" w:rsidRPr="00A163A8">
              <w:rPr>
                <w:lang w:val="ro-RO"/>
              </w:rPr>
              <w:t>În lipsa unor instrumente viabile de protecție a intereselor întreprinzătorilor activi și începători, va continua scăderea numărului contribuabililor.</w:t>
            </w:r>
          </w:p>
          <w:p w14:paraId="52606621" w14:textId="77777777" w:rsidR="003303EC" w:rsidRPr="00A163A8" w:rsidRDefault="007E491E" w:rsidP="007019CD">
            <w:pPr>
              <w:pStyle w:val="NormalWeb"/>
              <w:rPr>
                <w:sz w:val="20"/>
                <w:szCs w:val="20"/>
                <w:lang w:val="ro-RO"/>
              </w:rPr>
            </w:pPr>
            <w:r w:rsidRPr="00A163A8">
              <w:rPr>
                <w:sz w:val="20"/>
                <w:szCs w:val="20"/>
                <w:lang w:val="ro-RO"/>
              </w:rPr>
              <w:t> </w:t>
            </w:r>
          </w:p>
        </w:tc>
      </w:tr>
      <w:tr w:rsidR="003303EC" w:rsidRPr="00D171DB" w14:paraId="23C4FECA" w14:textId="77777777" w:rsidTr="007019CD">
        <w:trPr>
          <w:jc w:val="center"/>
        </w:trPr>
        <w:tc>
          <w:tcPr>
            <w:tcW w:w="492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C3402E" w14:textId="77777777" w:rsidR="003303EC" w:rsidRPr="00D7199E" w:rsidRDefault="007E491E" w:rsidP="007019CD">
            <w:pPr>
              <w:rPr>
                <w:rFonts w:eastAsia="Times New Roman"/>
                <w:i/>
                <w:sz w:val="20"/>
                <w:szCs w:val="20"/>
                <w:lang w:val="ro-RO"/>
              </w:rPr>
            </w:pPr>
            <w:r w:rsidRPr="00D7199E">
              <w:rPr>
                <w:rFonts w:eastAsia="Times New Roman"/>
                <w:i/>
                <w:sz w:val="20"/>
                <w:szCs w:val="20"/>
                <w:lang w:val="ro-RO"/>
              </w:rPr>
              <w:lastRenderedPageBreak/>
              <w:t>e) Descrieţi cadrul juridic actual aplicabil raporturilor analizate şi identificaţi carenţele prevederilor normative în vigoare, identificaţi documentele de politici şi reglementările existente care condiţionează intervenţia statului</w:t>
            </w:r>
          </w:p>
        </w:tc>
        <w:tc>
          <w:tcPr>
            <w:tcW w:w="76"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4581E899" w14:textId="77777777" w:rsidR="003303EC" w:rsidRPr="00A163A8" w:rsidRDefault="003303EC" w:rsidP="007019CD">
            <w:pPr>
              <w:rPr>
                <w:rFonts w:eastAsia="Times New Roman"/>
                <w:sz w:val="20"/>
                <w:szCs w:val="20"/>
                <w:lang w:val="ro-RO"/>
              </w:rPr>
            </w:pPr>
          </w:p>
        </w:tc>
      </w:tr>
      <w:tr w:rsidR="003303EC" w:rsidRPr="00D171DB" w14:paraId="66E95BB1" w14:textId="77777777" w:rsidTr="007019CD">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4DBFAAC3" w14:textId="3CF783C6" w:rsidR="004B1E34" w:rsidRPr="00A163A8" w:rsidRDefault="004B1E34" w:rsidP="004B1E34">
            <w:pPr>
              <w:pStyle w:val="NormalWeb"/>
              <w:ind w:firstLine="373"/>
              <w:rPr>
                <w:lang w:val="ro-RO"/>
              </w:rPr>
            </w:pPr>
            <w:r w:rsidRPr="00A163A8">
              <w:rPr>
                <w:lang w:val="ro-RO"/>
              </w:rPr>
              <w:t xml:space="preserve">Cadrul juridic actual conține anumite reglementări privind instituția </w:t>
            </w:r>
            <w:r w:rsidRPr="00A163A8">
              <w:rPr>
                <w:i/>
                <w:lang w:val="ro-RO"/>
              </w:rPr>
              <w:t>Ombudsmanului</w:t>
            </w:r>
            <w:r w:rsidRPr="00A163A8">
              <w:rPr>
                <w:lang w:val="ro-RO"/>
              </w:rPr>
              <w:t xml:space="preserve"> și anume Legea cu privire la Avocatul Poporului (Ombudsmanul) nr. 52 din 03.04.2014 (Monitorul Oficial nr.110-114/278 din 09.05.2014). Însă potrivit acesteia statul a instituit Avocatul Poporului (Ombudsmanul) care urme</w:t>
            </w:r>
            <w:r w:rsidR="0051751D">
              <w:rPr>
                <w:lang w:val="ro-RO"/>
              </w:rPr>
              <w:t>ază să  asigure</w:t>
            </w:r>
            <w:r w:rsidRPr="00A163A8">
              <w:rPr>
                <w:lang w:val="ro-RO"/>
              </w:rPr>
              <w:t xml:space="preserve"> respectarea drepturilor şi libertăţilor omului de către autorităţile publice, de către organizaţii şi întreprinderi, indiferent de tipul de proprietate şi forma juridică de organizare, de către organizaţiile necomerciale şi de către persoanele cu funcţii de răspundere de toate nivelurile. Avocatul Poporului contribuie la apărarea drepturilor şi libertăţilor omului prin prevenirea încălcării acestora, prin monitorizarea şi raportarea modului de respectare a drepturilor şi libertăţilor fundamentale ale omului la nivel naţional, prin perfecţionarea legislaţiei ce ţine de domeniul drepturilor şi libertăţilor omului, prin colaborarea internaţională în acest domeniu, prin promovarea drepturilor şi libertăţilor omului şi a mecanismelor de apărare a acestora, prin aplicarea procedeelor reglementate de prezenta lege. Astfel la moment activează  Ombudsman: 1. Responsabil de drepturile omului și 2.</w:t>
            </w:r>
            <w:r w:rsidR="00901CA4" w:rsidRPr="00A163A8">
              <w:rPr>
                <w:lang w:val="ro-RO"/>
              </w:rPr>
              <w:t xml:space="preserve"> </w:t>
            </w:r>
            <w:r w:rsidRPr="00A163A8">
              <w:rPr>
                <w:lang w:val="ro-RO"/>
              </w:rPr>
              <w:t xml:space="preserve">Responsabil pentru drepturile copilului. </w:t>
            </w:r>
            <w:r w:rsidR="0051751D">
              <w:rPr>
                <w:lang w:val="ro-RO"/>
              </w:rPr>
              <w:t xml:space="preserve">Potrivit legii </w:t>
            </w:r>
            <w:r w:rsidRPr="00A163A8">
              <w:rPr>
                <w:lang w:val="ro-RO"/>
              </w:rPr>
              <w:t>În funcțiile Avocatului Poporului nu intră apărarea drepturilor și libertăților antreprenorilor.</w:t>
            </w:r>
          </w:p>
          <w:p w14:paraId="228C17F9" w14:textId="77777777" w:rsidR="004B1E34" w:rsidRPr="00A163A8" w:rsidRDefault="004B1E34" w:rsidP="004B1E34">
            <w:pPr>
              <w:pStyle w:val="NormalWeb"/>
              <w:ind w:firstLine="373"/>
              <w:rPr>
                <w:lang w:val="ro-RO"/>
              </w:rPr>
            </w:pPr>
            <w:r w:rsidRPr="00A163A8">
              <w:rPr>
                <w:lang w:val="ro-RO"/>
              </w:rPr>
              <w:t xml:space="preserve">Drepturile și obligațiile antreprenorilor sunt apărate prin intermediul uniunilor de întreprinderi/asociațiilor de business. Însă cadrul legal care ar oferi un statut clar și instrumentarul necesar promovării și apărării intereselor mediului de afaceri încă lipsește. Astfel, potrivit Legii nr.845/1992 cu privire la </w:t>
            </w:r>
            <w:proofErr w:type="spellStart"/>
            <w:r w:rsidRPr="00A163A8">
              <w:rPr>
                <w:lang w:val="ro-RO"/>
              </w:rPr>
              <w:t>antreprenoriat</w:t>
            </w:r>
            <w:proofErr w:type="spellEnd"/>
            <w:r w:rsidRPr="00A163A8">
              <w:rPr>
                <w:lang w:val="ro-RO"/>
              </w:rPr>
              <w:t xml:space="preserve"> și întreprinderi (art.22. Uniunile de întreprinderi) pentru a-şi coordona activitatea, în scopul creării unor condiţii favorabile pentru realizarea şi apărarea intereselor de producţie, tehnico-ştiinţifice, sociale şi altor interese comune, întreprinderile au dreptul să înfiinţeze societăţi sub formă de asociaţii, uniuni, concerne, care vor fi organizații necomerciale. </w:t>
            </w:r>
          </w:p>
          <w:p w14:paraId="21A0770E" w14:textId="60BACB2E" w:rsidR="004B1E34" w:rsidRPr="00A163A8" w:rsidRDefault="004B1E34" w:rsidP="004B1E34">
            <w:pPr>
              <w:pStyle w:val="NormalWeb"/>
              <w:ind w:firstLine="373"/>
              <w:rPr>
                <w:lang w:val="ro-RO"/>
              </w:rPr>
            </w:pPr>
            <w:r w:rsidRPr="00A163A8">
              <w:rPr>
                <w:lang w:val="ro-RO"/>
              </w:rPr>
              <w:t xml:space="preserve">Însă, cadrul legal special privind modul de înființare, activitate și încetare a activității privind astfel de </w:t>
            </w:r>
            <w:r w:rsidRPr="00A163A8">
              <w:rPr>
                <w:lang w:val="ro-RO"/>
              </w:rPr>
              <w:lastRenderedPageBreak/>
              <w:t xml:space="preserve">uniuni, asociații de antreprenori ca </w:t>
            </w:r>
            <w:r w:rsidR="0051751D">
              <w:rPr>
                <w:lang w:val="ro-RO"/>
              </w:rPr>
              <w:t>formă a o</w:t>
            </w:r>
            <w:r w:rsidRPr="00A163A8">
              <w:rPr>
                <w:lang w:val="ro-RO"/>
              </w:rPr>
              <w:t xml:space="preserve">rganizației comerciale nu a fost creat cu excepția Legii cu privire la asociațiile obștești nr. 837-XIII din 17.05.1996 care se referă doar la </w:t>
            </w:r>
            <w:r w:rsidRPr="0051751D">
              <w:rPr>
                <w:i/>
                <w:lang w:val="ro-RO"/>
              </w:rPr>
              <w:t>asociațiile obștești</w:t>
            </w:r>
            <w:r w:rsidRPr="00A163A8">
              <w:rPr>
                <w:lang w:val="ro-RO"/>
              </w:rPr>
              <w:t xml:space="preserve"> – ca organizaţie necomercială, independentă de autorităţile publice, constituită benevol de cel puţin trei persoane fizice şi/sau juridice (asociaţii obşteşti), asociate prin comunitate de interese în vederea realizării, în condiţiile legii, a unor drepturi legitime. Asociaţii obşteşti se consideră asociaţiile pacifiste, de apărare şi de promovare a drepturilor omului, asociaţiile de femei, de veterani, ale persoanelor cu </w:t>
            </w:r>
            <w:proofErr w:type="spellStart"/>
            <w:r w:rsidRPr="00A163A8">
              <w:rPr>
                <w:lang w:val="ro-RO"/>
              </w:rPr>
              <w:t>dizabilităţi</w:t>
            </w:r>
            <w:proofErr w:type="spellEnd"/>
            <w:r w:rsidRPr="00A163A8">
              <w:rPr>
                <w:lang w:val="ro-RO"/>
              </w:rPr>
              <w:t>, de tineret şi de copii, societăţile ştiinţifice, tehnice, ecologiste, cultural-educative, sportive, uniunile de creaţie, comunităţile naţional-culturale, alte asociaţii ale persoanelor fizice şi/sau juridice (asociaţii obşteşti) legal constituite.</w:t>
            </w:r>
          </w:p>
          <w:p w14:paraId="55CB0581" w14:textId="240412E1" w:rsidR="004B1E34" w:rsidRPr="00A163A8" w:rsidRDefault="004B1E34" w:rsidP="004B1E34">
            <w:pPr>
              <w:pStyle w:val="NormalWeb"/>
              <w:ind w:firstLine="373"/>
              <w:rPr>
                <w:lang w:val="ro-RO"/>
              </w:rPr>
            </w:pPr>
            <w:r w:rsidRPr="00A163A8">
              <w:rPr>
                <w:lang w:val="ro-RO"/>
              </w:rPr>
              <w:t xml:space="preserve">Instituirea unui </w:t>
            </w:r>
            <w:r w:rsidRPr="00D7199E">
              <w:rPr>
                <w:i/>
                <w:lang w:val="ro-RO"/>
              </w:rPr>
              <w:t>Ombudsman în Afaceri</w:t>
            </w:r>
            <w:r w:rsidRPr="00A163A8">
              <w:rPr>
                <w:lang w:val="ro-RO"/>
              </w:rPr>
              <w:t xml:space="preserve"> se regăsește și în mai multe documente de planificare strategică și de politici:</w:t>
            </w:r>
          </w:p>
          <w:p w14:paraId="689F0E16" w14:textId="38D59A09" w:rsidR="004B1E34" w:rsidRPr="00A163A8" w:rsidRDefault="004B1E34" w:rsidP="009A3634">
            <w:pPr>
              <w:pStyle w:val="NormalWeb"/>
              <w:numPr>
                <w:ilvl w:val="0"/>
                <w:numId w:val="4"/>
              </w:numPr>
              <w:ind w:left="373" w:hanging="284"/>
              <w:rPr>
                <w:i/>
                <w:lang w:val="ro-RO"/>
              </w:rPr>
            </w:pPr>
            <w:proofErr w:type="spellStart"/>
            <w:r w:rsidRPr="00A163A8">
              <w:rPr>
                <w:lang w:val="ro-RO"/>
              </w:rPr>
              <w:t>H</w:t>
            </w:r>
            <w:r w:rsidR="00FD7E64" w:rsidRPr="00A163A8">
              <w:rPr>
                <w:lang w:val="ro-RO"/>
              </w:rPr>
              <w:t>otărîrea</w:t>
            </w:r>
            <w:proofErr w:type="spellEnd"/>
            <w:r w:rsidR="00FD7E64" w:rsidRPr="00A163A8">
              <w:rPr>
                <w:lang w:val="ro-RO"/>
              </w:rPr>
              <w:t xml:space="preserve"> de </w:t>
            </w:r>
            <w:r w:rsidRPr="00A163A8">
              <w:rPr>
                <w:lang w:val="ro-RO"/>
              </w:rPr>
              <w:t>G</w:t>
            </w:r>
            <w:r w:rsidR="00FD7E64" w:rsidRPr="00A163A8">
              <w:rPr>
                <w:lang w:val="ro-RO"/>
              </w:rPr>
              <w:t>uvern</w:t>
            </w:r>
            <w:r w:rsidRPr="00A163A8">
              <w:rPr>
                <w:lang w:val="ro-RO"/>
              </w:rPr>
              <w:t xml:space="preserve"> cu privire la aprobarea Planului de acţiuni al Guvernului pentru anii 2020-2023 nr. 636  din 11.12.2019 unde în CAP.IV. </w:t>
            </w:r>
            <w:r w:rsidR="00FD7E64" w:rsidRPr="00A163A8">
              <w:rPr>
                <w:lang w:val="ro-RO"/>
              </w:rPr>
              <w:t xml:space="preserve">Dezvoltarea Economică Durabilă </w:t>
            </w:r>
            <w:r w:rsidR="0084391F" w:rsidRPr="00A163A8">
              <w:rPr>
                <w:lang w:val="ro-RO"/>
              </w:rPr>
              <w:t>este prevăz</w:t>
            </w:r>
            <w:r w:rsidRPr="00A163A8">
              <w:rPr>
                <w:lang w:val="ro-RO"/>
              </w:rPr>
              <w:t xml:space="preserve">ută acțiunea 4.5.14. </w:t>
            </w:r>
            <w:r w:rsidRPr="00A163A8">
              <w:rPr>
                <w:i/>
                <w:lang w:val="ro-RO"/>
              </w:rPr>
              <w:t>Crearea instituţiei de Ombudsman (avocat) în domeniul activităţii de afaceri</w:t>
            </w:r>
          </w:p>
          <w:p w14:paraId="50C856B0" w14:textId="77777777" w:rsidR="00FD7E64" w:rsidRPr="00A163A8" w:rsidRDefault="00FD7E64" w:rsidP="009A3634">
            <w:pPr>
              <w:pStyle w:val="NormalWeb"/>
              <w:numPr>
                <w:ilvl w:val="0"/>
                <w:numId w:val="4"/>
              </w:numPr>
              <w:ind w:left="373" w:hanging="284"/>
              <w:rPr>
                <w:lang w:val="ro-RO"/>
              </w:rPr>
            </w:pPr>
            <w:proofErr w:type="spellStart"/>
            <w:r w:rsidRPr="00A163A8">
              <w:rPr>
                <w:lang w:val="ro-RO"/>
              </w:rPr>
              <w:t>Hotărîrea</w:t>
            </w:r>
            <w:proofErr w:type="spellEnd"/>
            <w:r w:rsidRPr="00A163A8">
              <w:rPr>
                <w:lang w:val="ro-RO"/>
              </w:rPr>
              <w:t xml:space="preserve"> de Guvern </w:t>
            </w:r>
            <w:r w:rsidR="004B1E34" w:rsidRPr="00A163A8">
              <w:rPr>
                <w:lang w:val="ro-RO"/>
              </w:rPr>
              <w:t>cu privire la aprobarea Strategiei naţionale de atragere a investiţiilor şi promovare a exporturilor pentru anii 2016-2020 şi a Planului de acţiuni pentru implementarea acesteia nr. 511  din  25.04.2016 care în punctul 74 stabilește că: ”</w:t>
            </w:r>
            <w:r w:rsidR="004B1E34" w:rsidRPr="00A163A8">
              <w:rPr>
                <w:i/>
                <w:lang w:val="ro-RO"/>
              </w:rPr>
              <w:t xml:space="preserve">Deficienţele legate de implementarea necorespunzătoare a legilor alimentează în </w:t>
            </w:r>
            <w:proofErr w:type="spellStart"/>
            <w:r w:rsidR="004B1E34" w:rsidRPr="00A163A8">
              <w:rPr>
                <w:i/>
                <w:lang w:val="ro-RO"/>
              </w:rPr>
              <w:t>rîndurile</w:t>
            </w:r>
            <w:proofErr w:type="spellEnd"/>
            <w:r w:rsidR="004B1E34" w:rsidRPr="00A163A8">
              <w:rPr>
                <w:i/>
                <w:lang w:val="ro-RO"/>
              </w:rPr>
              <w:t xml:space="preserve"> investitorilor incertitudinea privind protejarea drepturilor de proprietate. În particular, cadrul instituţional în acest domeniu este fragmentat, slab şi instabil. Principalele probleme </w:t>
            </w:r>
            <w:proofErr w:type="spellStart"/>
            <w:r w:rsidR="004B1E34" w:rsidRPr="00A163A8">
              <w:rPr>
                <w:i/>
                <w:lang w:val="ro-RO"/>
              </w:rPr>
              <w:t>sînt</w:t>
            </w:r>
            <w:proofErr w:type="spellEnd"/>
            <w:r w:rsidR="004B1E34" w:rsidRPr="00A163A8">
              <w:rPr>
                <w:i/>
                <w:lang w:val="ro-RO"/>
              </w:rPr>
              <w:t xml:space="preserve">: lipsa unei instituţii puternice, care ar promova proiecte investiţionale de importanţă strategică, a funcţiei de Ombudsman Investiţional, care ar proteja investitorii de eventuale reglementări abuzive şi care ar facilita soluţionarea litigiilor şi disputelor investiţionale, precum şi lipsa unui mecanism funcţional de soluţionare a </w:t>
            </w:r>
            <w:proofErr w:type="spellStart"/>
            <w:r w:rsidR="004B1E34" w:rsidRPr="00A163A8">
              <w:rPr>
                <w:i/>
                <w:lang w:val="ro-RO"/>
              </w:rPr>
              <w:t>plîngerilor</w:t>
            </w:r>
            <w:proofErr w:type="spellEnd"/>
            <w:r w:rsidR="004B1E34" w:rsidRPr="00A163A8">
              <w:rPr>
                <w:i/>
                <w:lang w:val="ro-RO"/>
              </w:rPr>
              <w:t xml:space="preserve"> investitorilor. Drept rezultat, confidenţa investitorilor privind climatul de afaceri autohton şi, în particular, privind mecanismele de prevenire şi soluţionare a disputelor şi litigiilor investiţionale este foarte scăzută</w:t>
            </w:r>
            <w:r w:rsidR="004B1E34" w:rsidRPr="00A163A8">
              <w:rPr>
                <w:lang w:val="ro-RO"/>
              </w:rPr>
              <w:t>”.</w:t>
            </w:r>
          </w:p>
          <w:p w14:paraId="576F509E" w14:textId="2F41E177" w:rsidR="003303EC" w:rsidRPr="00A163A8" w:rsidRDefault="00FD7E64" w:rsidP="009A3634">
            <w:pPr>
              <w:pStyle w:val="NormalWeb"/>
              <w:numPr>
                <w:ilvl w:val="0"/>
                <w:numId w:val="4"/>
              </w:numPr>
              <w:ind w:left="373" w:hanging="284"/>
              <w:rPr>
                <w:lang w:val="ro-RO"/>
              </w:rPr>
            </w:pPr>
            <w:proofErr w:type="spellStart"/>
            <w:r w:rsidRPr="00A163A8">
              <w:rPr>
                <w:lang w:val="ro-RO"/>
              </w:rPr>
              <w:t>Hotărîrea</w:t>
            </w:r>
            <w:proofErr w:type="spellEnd"/>
            <w:r w:rsidRPr="00A163A8">
              <w:rPr>
                <w:lang w:val="ro-RO"/>
              </w:rPr>
              <w:t xml:space="preserve"> de Guvern </w:t>
            </w:r>
            <w:r w:rsidR="004B1E34" w:rsidRPr="00A163A8">
              <w:rPr>
                <w:lang w:val="ro-RO"/>
              </w:rPr>
              <w:t xml:space="preserve">cu privire la aprobarea Planului de acţiuni al Guvernului pentru anii 2016-2018 nr. 890  din  20.07.2016 care prevedea în Cap. A. Dezvoltarea mediului de afaceri şi a climatului investiţional acțiunea </w:t>
            </w:r>
            <w:r w:rsidR="004B1E34" w:rsidRPr="00A163A8">
              <w:rPr>
                <w:i/>
                <w:lang w:val="ro-RO"/>
              </w:rPr>
              <w:t>Elaborarea şi aprobarea legislaţiei în vederea instituirii funcţiei de avocat al poporului pentru protecţia mediului de afaceri (business ombudsman)</w:t>
            </w:r>
            <w:r w:rsidR="004B1E34" w:rsidRPr="00A163A8">
              <w:rPr>
                <w:lang w:val="ro-RO"/>
              </w:rPr>
              <w:t xml:space="preserve"> termen fiind finele 2018</w:t>
            </w:r>
            <w:r w:rsidR="009A3634" w:rsidRPr="00A163A8">
              <w:rPr>
                <w:lang w:val="ro-RO"/>
              </w:rPr>
              <w:t>.</w:t>
            </w:r>
          </w:p>
          <w:p w14:paraId="647490F1" w14:textId="77777777" w:rsidR="003303EC" w:rsidRPr="00A163A8" w:rsidRDefault="007E491E" w:rsidP="007019CD">
            <w:pPr>
              <w:pStyle w:val="NormalWeb"/>
              <w:rPr>
                <w:sz w:val="20"/>
                <w:szCs w:val="20"/>
                <w:lang w:val="ro-RO"/>
              </w:rPr>
            </w:pPr>
            <w:r w:rsidRPr="00A163A8">
              <w:rPr>
                <w:sz w:val="20"/>
                <w:szCs w:val="20"/>
                <w:lang w:val="ro-RO"/>
              </w:rPr>
              <w:t> </w:t>
            </w:r>
          </w:p>
        </w:tc>
      </w:tr>
      <w:tr w:rsidR="003303EC" w:rsidRPr="00A163A8" w14:paraId="50D886C2" w14:textId="77777777" w:rsidTr="007019CD">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6F95F4" w14:textId="77777777" w:rsidR="003303EC" w:rsidRPr="00A163A8" w:rsidRDefault="007E491E" w:rsidP="007019CD">
            <w:pPr>
              <w:rPr>
                <w:rFonts w:eastAsia="Times New Roman"/>
                <w:sz w:val="20"/>
                <w:szCs w:val="20"/>
                <w:lang w:val="ro-RO"/>
              </w:rPr>
            </w:pPr>
            <w:r w:rsidRPr="00A163A8">
              <w:rPr>
                <w:rFonts w:eastAsia="Times New Roman"/>
                <w:b/>
                <w:bCs/>
                <w:sz w:val="20"/>
                <w:szCs w:val="20"/>
                <w:lang w:val="ro-RO"/>
              </w:rPr>
              <w:lastRenderedPageBreak/>
              <w:t>2. Stabilirea obiectivelor</w:t>
            </w:r>
          </w:p>
        </w:tc>
      </w:tr>
      <w:tr w:rsidR="003303EC" w:rsidRPr="00A163A8" w14:paraId="01F9503B" w14:textId="77777777" w:rsidTr="007019CD">
        <w:trPr>
          <w:jc w:val="center"/>
        </w:trPr>
        <w:tc>
          <w:tcPr>
            <w:tcW w:w="492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B6A781" w14:textId="77777777" w:rsidR="003303EC" w:rsidRPr="00D7199E" w:rsidRDefault="007E491E" w:rsidP="007019CD">
            <w:pPr>
              <w:rPr>
                <w:rFonts w:eastAsia="Times New Roman"/>
                <w:i/>
                <w:sz w:val="20"/>
                <w:szCs w:val="20"/>
                <w:lang w:val="ro-RO"/>
              </w:rPr>
            </w:pPr>
            <w:r w:rsidRPr="00D7199E">
              <w:rPr>
                <w:rFonts w:eastAsia="Times New Roman"/>
                <w:i/>
                <w:sz w:val="20"/>
                <w:szCs w:val="20"/>
                <w:lang w:val="ro-RO"/>
              </w:rPr>
              <w:t>a) Expuneţi obiectivele (care trebuie să fie legate direct de problemă şi cauzele acesteia, formulate cuantificat, măsurabil, fixat în timp şi realist)</w:t>
            </w:r>
          </w:p>
        </w:tc>
        <w:tc>
          <w:tcPr>
            <w:tcW w:w="76"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0344D057" w14:textId="77777777" w:rsidR="003303EC" w:rsidRPr="00A163A8" w:rsidRDefault="003303EC" w:rsidP="007019CD">
            <w:pPr>
              <w:rPr>
                <w:rFonts w:eastAsia="Times New Roman"/>
                <w:sz w:val="20"/>
                <w:szCs w:val="20"/>
                <w:lang w:val="ro-RO"/>
              </w:rPr>
            </w:pPr>
          </w:p>
        </w:tc>
      </w:tr>
      <w:tr w:rsidR="003303EC" w:rsidRPr="00D171DB" w14:paraId="368A97D2" w14:textId="77777777" w:rsidTr="007019CD">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5487AADF" w14:textId="37BD32C1" w:rsidR="003303EC" w:rsidRPr="00A163A8" w:rsidRDefault="007928AB" w:rsidP="007928AB">
            <w:pPr>
              <w:pStyle w:val="NormalWeb"/>
              <w:ind w:firstLine="373"/>
              <w:rPr>
                <w:lang w:val="ro-RO"/>
              </w:rPr>
            </w:pPr>
            <w:r w:rsidRPr="00A163A8">
              <w:rPr>
                <w:lang w:val="ro-RO"/>
              </w:rPr>
              <w:t xml:space="preserve">Obiectivul generic – a mări în termen mediu (aprox. următorii 5 ani) veniturile din </w:t>
            </w:r>
            <w:r w:rsidR="00D7199E" w:rsidRPr="00A163A8">
              <w:rPr>
                <w:lang w:val="ro-RO"/>
              </w:rPr>
              <w:t>vânzări</w:t>
            </w:r>
            <w:r w:rsidRPr="00A163A8">
              <w:rPr>
                <w:lang w:val="ro-RO"/>
              </w:rPr>
              <w:t xml:space="preserve"> ale întreprinderilor cu cel puțin 1%</w:t>
            </w:r>
            <w:r w:rsidR="00AD2F56" w:rsidRPr="00A163A8">
              <w:rPr>
                <w:lang w:val="ro-RO"/>
              </w:rPr>
              <w:t xml:space="preserve"> (în special pentru întreprinderi mici, micro și mijlocii)</w:t>
            </w:r>
            <w:r w:rsidRPr="00A163A8">
              <w:rPr>
                <w:lang w:val="ro-RO"/>
              </w:rPr>
              <w:t xml:space="preserve"> </w:t>
            </w:r>
            <w:r w:rsidR="00AD2F56" w:rsidRPr="00A163A8">
              <w:rPr>
                <w:lang w:val="ro-RO"/>
              </w:rPr>
              <w:t>din contul scăderii cheltuielilor nejustificate</w:t>
            </w:r>
            <w:r w:rsidR="007E491E" w:rsidRPr="00A163A8">
              <w:rPr>
                <w:lang w:val="ro-RO"/>
              </w:rPr>
              <w:t> </w:t>
            </w:r>
            <w:r w:rsidR="00AD2F56" w:rsidRPr="00A163A8">
              <w:rPr>
                <w:lang w:val="ro-RO"/>
              </w:rPr>
              <w:t>prin combaterea mai eficientă a actelor normative ilegale,  practicilor abuzive din partea organelor de control și altor autorități publice centrale și altor probleme sistemice din cadrul legislativ ce reglementează activitatea de întreprinzător.</w:t>
            </w:r>
          </w:p>
          <w:p w14:paraId="0CEC54C1" w14:textId="6A3E1028" w:rsidR="00AD2F56" w:rsidRPr="00A163A8" w:rsidRDefault="00AD2F56" w:rsidP="007928AB">
            <w:pPr>
              <w:pStyle w:val="NormalWeb"/>
              <w:ind w:firstLine="373"/>
              <w:rPr>
                <w:lang w:val="ro-RO"/>
              </w:rPr>
            </w:pPr>
            <w:r w:rsidRPr="00A163A8">
              <w:rPr>
                <w:lang w:val="ro-RO"/>
              </w:rPr>
              <w:t>Obiective specifice – micșorarea numărului de cazuri de abuz din partea autorităților și instituțiilor publice, procedurilor inutile și ineficiente impuse prin intermediul cadrului normativ imperfect.</w:t>
            </w:r>
          </w:p>
          <w:p w14:paraId="73B309C4" w14:textId="77777777" w:rsidR="003303EC" w:rsidRPr="00A163A8" w:rsidRDefault="007E491E" w:rsidP="007019CD">
            <w:pPr>
              <w:pStyle w:val="NormalWeb"/>
              <w:rPr>
                <w:sz w:val="20"/>
                <w:szCs w:val="20"/>
                <w:lang w:val="ro-RO"/>
              </w:rPr>
            </w:pPr>
            <w:r w:rsidRPr="00A163A8">
              <w:rPr>
                <w:sz w:val="20"/>
                <w:szCs w:val="20"/>
                <w:lang w:val="ro-RO"/>
              </w:rPr>
              <w:t> </w:t>
            </w:r>
          </w:p>
        </w:tc>
      </w:tr>
      <w:tr w:rsidR="003303EC" w:rsidRPr="00A163A8" w14:paraId="5775CCC5" w14:textId="77777777" w:rsidTr="007019CD">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EF1140" w14:textId="77777777" w:rsidR="003303EC" w:rsidRPr="00A163A8" w:rsidRDefault="007E491E" w:rsidP="007019CD">
            <w:pPr>
              <w:rPr>
                <w:rFonts w:eastAsia="Times New Roman"/>
                <w:sz w:val="20"/>
                <w:szCs w:val="20"/>
                <w:lang w:val="ro-RO"/>
              </w:rPr>
            </w:pPr>
            <w:r w:rsidRPr="00A163A8">
              <w:rPr>
                <w:rFonts w:eastAsia="Times New Roman"/>
                <w:b/>
                <w:bCs/>
                <w:sz w:val="20"/>
                <w:szCs w:val="20"/>
                <w:lang w:val="ro-RO"/>
              </w:rPr>
              <w:t>3. Identificarea opţiunilor</w:t>
            </w:r>
          </w:p>
        </w:tc>
      </w:tr>
      <w:tr w:rsidR="003303EC" w:rsidRPr="00A163A8" w14:paraId="33344C28" w14:textId="77777777" w:rsidTr="007019CD">
        <w:trPr>
          <w:jc w:val="center"/>
        </w:trPr>
        <w:tc>
          <w:tcPr>
            <w:tcW w:w="492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3D799B" w14:textId="77777777" w:rsidR="003303EC" w:rsidRPr="00D7199E" w:rsidRDefault="007E491E" w:rsidP="007019CD">
            <w:pPr>
              <w:rPr>
                <w:rFonts w:eastAsia="Times New Roman"/>
                <w:i/>
                <w:sz w:val="20"/>
                <w:szCs w:val="20"/>
                <w:lang w:val="ro-RO"/>
              </w:rPr>
            </w:pPr>
            <w:r w:rsidRPr="00D7199E">
              <w:rPr>
                <w:rFonts w:eastAsia="Times New Roman"/>
                <w:i/>
                <w:sz w:val="20"/>
                <w:szCs w:val="20"/>
                <w:lang w:val="ro-RO"/>
              </w:rPr>
              <w:t>a) Expuneţi succint opţiunea „a nu face nimic”, care presupune lipsa de intervenţie</w:t>
            </w:r>
          </w:p>
        </w:tc>
        <w:tc>
          <w:tcPr>
            <w:tcW w:w="76"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1A6F198F" w14:textId="77777777" w:rsidR="003303EC" w:rsidRPr="00A163A8" w:rsidRDefault="003303EC" w:rsidP="007019CD">
            <w:pPr>
              <w:rPr>
                <w:rFonts w:eastAsia="Times New Roman"/>
                <w:sz w:val="20"/>
                <w:szCs w:val="20"/>
                <w:lang w:val="ro-RO"/>
              </w:rPr>
            </w:pPr>
          </w:p>
        </w:tc>
      </w:tr>
      <w:tr w:rsidR="003303EC" w:rsidRPr="00D171DB" w14:paraId="55014E9B" w14:textId="77777777" w:rsidTr="007019CD">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785A5FC3" w14:textId="77777777" w:rsidR="00CA100B" w:rsidRPr="00A163A8" w:rsidRDefault="0081305C" w:rsidP="00CA100B">
            <w:pPr>
              <w:pStyle w:val="NormalWeb"/>
              <w:ind w:firstLine="373"/>
              <w:rPr>
                <w:lang w:val="ro-RO"/>
              </w:rPr>
            </w:pPr>
            <w:r w:rsidRPr="00A163A8">
              <w:rPr>
                <w:lang w:val="ro-RO"/>
              </w:rPr>
              <w:t>Opțiunea de neintervenție presupune implicit păstrarea și creșterea treptată a costurilor nejustificate pentru întreprinzători</w:t>
            </w:r>
            <w:r w:rsidR="00CA100B" w:rsidRPr="00A163A8">
              <w:rPr>
                <w:lang w:val="ro-RO"/>
              </w:rPr>
              <w:t>, prin tolerarea lacunelor în eficiența și eficacitatea autorităților publice, abuzurilor și aplicării incorecte a cadrului normativ de către aceste autorități și instituții, în detrimentul întreprinzătorilor. În acest mod menținerea și creșterea nivelului de prejudicii/cheltuieli nejustificate ce nu doar diminuează competitivitatea și productivitatea agenților economici dar și influențează formarea prețurilor și structura pieței, prejudiciind în final interesul consumatorilor.</w:t>
            </w:r>
          </w:p>
          <w:p w14:paraId="3E18B5C0" w14:textId="77777777" w:rsidR="003303EC" w:rsidRPr="00A163A8" w:rsidRDefault="007E491E" w:rsidP="00CA100B">
            <w:pPr>
              <w:pStyle w:val="NormalWeb"/>
              <w:ind w:firstLine="0"/>
              <w:rPr>
                <w:sz w:val="20"/>
                <w:szCs w:val="20"/>
                <w:lang w:val="ro-RO"/>
              </w:rPr>
            </w:pPr>
            <w:r w:rsidRPr="00A163A8">
              <w:rPr>
                <w:sz w:val="20"/>
                <w:szCs w:val="20"/>
                <w:lang w:val="ro-RO"/>
              </w:rPr>
              <w:t> </w:t>
            </w:r>
          </w:p>
        </w:tc>
      </w:tr>
      <w:tr w:rsidR="003303EC" w:rsidRPr="00D171DB" w14:paraId="2B93E5E3" w14:textId="77777777" w:rsidTr="007019CD">
        <w:trPr>
          <w:jc w:val="center"/>
        </w:trPr>
        <w:tc>
          <w:tcPr>
            <w:tcW w:w="492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317191" w14:textId="77777777" w:rsidR="003303EC" w:rsidRPr="00D263BF" w:rsidRDefault="007E491E" w:rsidP="007019CD">
            <w:pPr>
              <w:rPr>
                <w:rFonts w:eastAsia="Times New Roman"/>
                <w:i/>
                <w:sz w:val="20"/>
                <w:szCs w:val="20"/>
                <w:lang w:val="ro-RO"/>
              </w:rPr>
            </w:pPr>
            <w:r w:rsidRPr="00D263BF">
              <w:rPr>
                <w:rFonts w:eastAsia="Times New Roman"/>
                <w:i/>
                <w:sz w:val="20"/>
                <w:szCs w:val="20"/>
                <w:lang w:val="ro-RO"/>
              </w:rPr>
              <w:t xml:space="preserve">b) Expuneţi principalele prevederi ale proiectului, cu impact, </w:t>
            </w:r>
            <w:proofErr w:type="spellStart"/>
            <w:r w:rsidRPr="00D263BF">
              <w:rPr>
                <w:rFonts w:eastAsia="Times New Roman"/>
                <w:i/>
                <w:sz w:val="20"/>
                <w:szCs w:val="20"/>
                <w:lang w:val="ro-RO"/>
              </w:rPr>
              <w:t>explicînd</w:t>
            </w:r>
            <w:proofErr w:type="spellEnd"/>
            <w:r w:rsidRPr="00D263BF">
              <w:rPr>
                <w:rFonts w:eastAsia="Times New Roman"/>
                <w:i/>
                <w:sz w:val="20"/>
                <w:szCs w:val="20"/>
                <w:lang w:val="ro-RO"/>
              </w:rPr>
              <w:t xml:space="preserve"> cum acestea ţintesc cauzele problemei, cu indicarea novaţiilor şi întregului spectru de soluţii/drepturi/obligaţii ce se doresc să fie aprobate</w:t>
            </w:r>
          </w:p>
        </w:tc>
        <w:tc>
          <w:tcPr>
            <w:tcW w:w="76"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39DE98AD" w14:textId="77777777" w:rsidR="003303EC" w:rsidRPr="00A163A8" w:rsidRDefault="003303EC" w:rsidP="007019CD">
            <w:pPr>
              <w:rPr>
                <w:rFonts w:eastAsia="Times New Roman"/>
                <w:sz w:val="20"/>
                <w:szCs w:val="20"/>
                <w:lang w:val="ro-RO"/>
              </w:rPr>
            </w:pPr>
          </w:p>
        </w:tc>
      </w:tr>
      <w:tr w:rsidR="003303EC" w:rsidRPr="00D171DB" w14:paraId="59B68C31" w14:textId="77777777" w:rsidTr="007019CD">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63E7026A" w14:textId="4D7C8F09" w:rsidR="00524CD2" w:rsidRPr="00A163A8" w:rsidRDefault="00D263BF" w:rsidP="00524CD2">
            <w:pPr>
              <w:ind w:firstLine="373"/>
              <w:jc w:val="both"/>
              <w:rPr>
                <w:rFonts w:eastAsia="Times New Roman"/>
                <w:lang w:val="ro-RO"/>
              </w:rPr>
            </w:pPr>
            <w:r>
              <w:rPr>
                <w:rFonts w:eastAsia="Times New Roman"/>
                <w:lang w:val="ro-RO"/>
              </w:rPr>
              <w:lastRenderedPageBreak/>
              <w:t>Proiectul propus de lege vine</w:t>
            </w:r>
            <w:r w:rsidR="00766270" w:rsidRPr="00A163A8">
              <w:rPr>
                <w:rFonts w:eastAsia="Times New Roman"/>
                <w:lang w:val="ro-RO"/>
              </w:rPr>
              <w:t xml:space="preserve"> să instituie entitatea publică – avocatul antre</w:t>
            </w:r>
            <w:r w:rsidR="00385D29" w:rsidRPr="00A163A8">
              <w:rPr>
                <w:rFonts w:eastAsia="Times New Roman"/>
                <w:lang w:val="ro-RO"/>
              </w:rPr>
              <w:t xml:space="preserve">prenorilor și oficiul acestuia </w:t>
            </w:r>
            <w:r w:rsidR="00766270" w:rsidRPr="00A163A8">
              <w:rPr>
                <w:rFonts w:eastAsia="Times New Roman"/>
                <w:lang w:val="ro-RO"/>
              </w:rPr>
              <w:t xml:space="preserve">care asigură respectarea drepturilor şi intereselor legitime ale antreprenorilor de către </w:t>
            </w:r>
            <w:r w:rsidRPr="00A163A8">
              <w:rPr>
                <w:rFonts w:eastAsia="Times New Roman"/>
                <w:lang w:val="ro-RO"/>
              </w:rPr>
              <w:t>autoritățile</w:t>
            </w:r>
            <w:r w:rsidR="00766270" w:rsidRPr="00A163A8">
              <w:rPr>
                <w:rFonts w:eastAsia="Times New Roman"/>
                <w:lang w:val="ro-RO"/>
              </w:rPr>
              <w:t xml:space="preserve"> publice, de către </w:t>
            </w:r>
            <w:r w:rsidRPr="00A163A8">
              <w:rPr>
                <w:rFonts w:eastAsia="Times New Roman"/>
                <w:lang w:val="ro-RO"/>
              </w:rPr>
              <w:t>organizații</w:t>
            </w:r>
            <w:r w:rsidR="00766270" w:rsidRPr="00A163A8">
              <w:rPr>
                <w:rFonts w:eastAsia="Times New Roman"/>
                <w:lang w:val="ro-RO"/>
              </w:rPr>
              <w:t xml:space="preserve"> şi întreprinderi, indiferent de tipul de proprietate şi forma juridică de organizare, de către organizaţiile necomerciale şi de către persoanele cu funcţii de răspundere de toate nivelurile.</w:t>
            </w:r>
            <w:r w:rsidR="00385D29" w:rsidRPr="00A163A8">
              <w:rPr>
                <w:rFonts w:eastAsia="Times New Roman"/>
                <w:lang w:val="ro-RO"/>
              </w:rPr>
              <w:t xml:space="preserve"> Acesta r</w:t>
            </w:r>
            <w:r w:rsidR="00766270" w:rsidRPr="00A163A8">
              <w:rPr>
                <w:rFonts w:eastAsia="Times New Roman"/>
                <w:lang w:val="ro-RO"/>
              </w:rPr>
              <w:t>ealizează apărarea drepturilor şi intereselor legitime ale antreprenorilor prin: prevenirea încălcării acestora, prin monitorizarea şi raportarea modului de respectare la nivel naţional, prin promovarea drepturilor şi intereselor legitime ale antreprenorilor şi a mecanismelor de apărare a acestora, prin aplicarea procedeelor reglementate de prezenta lege, prin perfecţionarea legislaţiei și prin colaborarea internaţională în acest domeniu.</w:t>
            </w:r>
          </w:p>
          <w:p w14:paraId="30548B41" w14:textId="77777777" w:rsidR="00524CD2" w:rsidRPr="00A163A8" w:rsidRDefault="001F78B0" w:rsidP="00524CD2">
            <w:pPr>
              <w:ind w:firstLine="373"/>
              <w:jc w:val="both"/>
              <w:rPr>
                <w:rFonts w:eastAsia="Times New Roman"/>
                <w:lang w:val="ro-RO"/>
              </w:rPr>
            </w:pPr>
            <w:r w:rsidRPr="00A163A8">
              <w:rPr>
                <w:rFonts w:eastAsia="Times New Roman"/>
                <w:lang w:val="ro-RO"/>
              </w:rPr>
              <w:t xml:space="preserve">Parlamentul numeşte în funcţie </w:t>
            </w:r>
            <w:r w:rsidR="0049386C" w:rsidRPr="00A163A8">
              <w:rPr>
                <w:rFonts w:eastAsia="Times New Roman"/>
                <w:lang w:val="ro-RO"/>
              </w:rPr>
              <w:t>a</w:t>
            </w:r>
            <w:r w:rsidRPr="00A163A8">
              <w:rPr>
                <w:rFonts w:eastAsia="Times New Roman"/>
                <w:lang w:val="ro-RO"/>
              </w:rPr>
              <w:t xml:space="preserve">vocatul </w:t>
            </w:r>
            <w:r w:rsidR="0049386C" w:rsidRPr="00A163A8">
              <w:rPr>
                <w:rFonts w:eastAsia="Times New Roman"/>
                <w:lang w:val="ro-RO"/>
              </w:rPr>
              <w:t>a</w:t>
            </w:r>
            <w:r w:rsidRPr="00A163A8">
              <w:rPr>
                <w:rFonts w:eastAsia="Times New Roman"/>
                <w:lang w:val="ro-RO"/>
              </w:rPr>
              <w:t>ntreprenorilor pentru un mandat de 5 ani</w:t>
            </w:r>
            <w:r w:rsidRPr="00A163A8">
              <w:rPr>
                <w:rFonts w:eastAsia="Times New Roman"/>
                <w:i/>
                <w:lang w:val="ro-RO"/>
              </w:rPr>
              <w:t>,</w:t>
            </w:r>
            <w:r w:rsidRPr="00A163A8">
              <w:rPr>
                <w:rFonts w:eastAsia="Times New Roman"/>
                <w:lang w:val="ro-RO"/>
              </w:rPr>
              <w:t xml:space="preserve"> care nu poate fi reînnoit. Funcţia de Avocat al Antreprenorilor poate fi deţinută de persoana care este cetăţean al Republicii Moldova, are o experiență de muncă de cel puţin 10 ani şi o activitate notorie în domeniul de afaceri și se bucură de o reputaţie ireproşabilă.</w:t>
            </w:r>
          </w:p>
          <w:p w14:paraId="366F01EC" w14:textId="77777777" w:rsidR="00524CD2" w:rsidRPr="00A163A8" w:rsidRDefault="00524CD2" w:rsidP="00524CD2">
            <w:pPr>
              <w:ind w:firstLine="373"/>
              <w:jc w:val="both"/>
              <w:rPr>
                <w:rFonts w:eastAsia="Times New Roman"/>
                <w:lang w:val="ro-RO"/>
              </w:rPr>
            </w:pPr>
            <w:r w:rsidRPr="00A163A8">
              <w:rPr>
                <w:rFonts w:eastAsia="Times New Roman"/>
                <w:lang w:val="ro-RO"/>
              </w:rPr>
              <w:t>Oficiul Avocatului Antreprenorilor este subordonat Avocatului Antreprenorilor şi acordă asistenţă organizatorică, juridică, informaţională şi tehnică Avocatului Antreprenorilor în vederea exercitării de către acesta a atribuţiilor sale. Oficiul are statut de persoană juridică, dispune de ştampilă şi formulare cu denumirea acestuia şi cu imaginea Stemei de Stat. În scopul acordării asistenţei consultative Avocatului Antreprenorilor, în cadrul Oficiului pot fi angajaţi experţi cu experienţă în domeniul protecţiei drepturilor şi intereselor legitime ale antreprenorilor şi în alte domenii conexe sau pot fi create consilii de experţi. Regulamentul de activitate al consiliilor de experţi se aprobă de către Avocatul Antreprenorilor.</w:t>
            </w:r>
          </w:p>
          <w:p w14:paraId="5BA9953F" w14:textId="77777777" w:rsidR="001F78B0" w:rsidRPr="00A163A8" w:rsidRDefault="001F78B0" w:rsidP="00524CD2">
            <w:pPr>
              <w:ind w:firstLine="373"/>
              <w:jc w:val="both"/>
              <w:rPr>
                <w:rFonts w:eastAsia="Times New Roman"/>
                <w:lang w:val="ro-RO"/>
              </w:rPr>
            </w:pPr>
            <w:r w:rsidRPr="00A163A8">
              <w:rPr>
                <w:rFonts w:eastAsia="Times New Roman"/>
                <w:lang w:val="ro-RO"/>
              </w:rPr>
              <w:t>Avocatul Antreprenorilor exercită următoarele atribuţii:</w:t>
            </w:r>
          </w:p>
          <w:p w14:paraId="13CF7BEA" w14:textId="77777777" w:rsidR="001F78B0" w:rsidRPr="00A163A8" w:rsidRDefault="00524CD2" w:rsidP="00524CD2">
            <w:pPr>
              <w:ind w:firstLine="373"/>
              <w:jc w:val="both"/>
              <w:rPr>
                <w:rFonts w:eastAsia="Times New Roman"/>
                <w:lang w:val="ro-RO"/>
              </w:rPr>
            </w:pPr>
            <w:r w:rsidRPr="00A163A8">
              <w:rPr>
                <w:rFonts w:eastAsia="Times New Roman"/>
                <w:lang w:val="ro-RO"/>
              </w:rPr>
              <w:t>1</w:t>
            </w:r>
            <w:r w:rsidR="001F78B0" w:rsidRPr="00A163A8">
              <w:rPr>
                <w:rFonts w:eastAsia="Times New Roman"/>
                <w:lang w:val="ro-RO"/>
              </w:rPr>
              <w:t xml:space="preserve">) examinează sesizările cu privire la încălcarea drepturilor şi intereselor antreprenorilor; </w:t>
            </w:r>
          </w:p>
          <w:p w14:paraId="19D1744F" w14:textId="77777777" w:rsidR="001F78B0" w:rsidRPr="00A163A8" w:rsidRDefault="00524CD2" w:rsidP="00524CD2">
            <w:pPr>
              <w:ind w:firstLine="373"/>
              <w:jc w:val="both"/>
              <w:rPr>
                <w:rFonts w:eastAsia="Times New Roman"/>
                <w:lang w:val="ro-RO"/>
              </w:rPr>
            </w:pPr>
            <w:r w:rsidRPr="00A163A8">
              <w:rPr>
                <w:rFonts w:eastAsia="Times New Roman"/>
                <w:lang w:val="ro-RO"/>
              </w:rPr>
              <w:t>2</w:t>
            </w:r>
            <w:r w:rsidR="001F78B0" w:rsidRPr="00A163A8">
              <w:rPr>
                <w:rFonts w:eastAsia="Times New Roman"/>
                <w:lang w:val="ro-RO"/>
              </w:rPr>
              <w:t>) prezintă autorităţilor şi/sau persoanelor responsabile propuneri şi recomandări privind repunerea în drepturi a antreprenorilor în privinţa cărora s-a constatat încălcarea drepturilor şi intereselor legitime;</w:t>
            </w:r>
          </w:p>
          <w:p w14:paraId="1367CC4D" w14:textId="77777777" w:rsidR="001F78B0" w:rsidRPr="00A163A8" w:rsidRDefault="00524CD2" w:rsidP="00524CD2">
            <w:pPr>
              <w:ind w:firstLine="373"/>
              <w:jc w:val="both"/>
              <w:rPr>
                <w:rFonts w:eastAsia="Times New Roman"/>
                <w:lang w:val="ro-RO"/>
              </w:rPr>
            </w:pPr>
            <w:r w:rsidRPr="00A163A8">
              <w:rPr>
                <w:rFonts w:eastAsia="Times New Roman"/>
                <w:lang w:val="ro-RO"/>
              </w:rPr>
              <w:t>3</w:t>
            </w:r>
            <w:r w:rsidR="001F78B0" w:rsidRPr="00A163A8">
              <w:rPr>
                <w:rFonts w:eastAsia="Times New Roman"/>
                <w:lang w:val="ro-RO"/>
              </w:rPr>
              <w:t>) contribuie la soluţionarea pe cale amiabilă a conflictelor între autorităţile publice şi antreprenori;</w:t>
            </w:r>
          </w:p>
          <w:p w14:paraId="10155209" w14:textId="77777777" w:rsidR="001F78B0" w:rsidRPr="00A163A8" w:rsidRDefault="00524CD2" w:rsidP="00524CD2">
            <w:pPr>
              <w:ind w:firstLine="373"/>
              <w:jc w:val="both"/>
              <w:rPr>
                <w:rFonts w:eastAsia="Times New Roman"/>
                <w:lang w:val="ro-RO"/>
              </w:rPr>
            </w:pPr>
            <w:r w:rsidRPr="00A163A8">
              <w:rPr>
                <w:rFonts w:eastAsia="Times New Roman"/>
                <w:lang w:val="ro-RO"/>
              </w:rPr>
              <w:t>4</w:t>
            </w:r>
            <w:r w:rsidR="001F78B0" w:rsidRPr="00A163A8">
              <w:rPr>
                <w:rFonts w:eastAsia="Times New Roman"/>
                <w:lang w:val="ro-RO"/>
              </w:rPr>
              <w:t>) contribuie la perfecţionarea legislaţiei în domeniul drepturilor şi intereselor legitime ale antreprenorilor;</w:t>
            </w:r>
          </w:p>
          <w:p w14:paraId="1CF8CF41" w14:textId="77777777" w:rsidR="001F78B0" w:rsidRPr="00A163A8" w:rsidRDefault="00524CD2" w:rsidP="00524CD2">
            <w:pPr>
              <w:ind w:firstLine="373"/>
              <w:jc w:val="both"/>
              <w:rPr>
                <w:rFonts w:eastAsia="Times New Roman"/>
                <w:lang w:val="ro-RO"/>
              </w:rPr>
            </w:pPr>
            <w:r w:rsidRPr="00A163A8">
              <w:rPr>
                <w:rFonts w:eastAsia="Times New Roman"/>
                <w:lang w:val="ro-RO"/>
              </w:rPr>
              <w:t>5</w:t>
            </w:r>
            <w:r w:rsidR="001F78B0" w:rsidRPr="00A163A8">
              <w:rPr>
                <w:rFonts w:eastAsia="Times New Roman"/>
                <w:lang w:val="ro-RO"/>
              </w:rPr>
              <w:t>) promovează drepturile antreprenorilor;</w:t>
            </w:r>
          </w:p>
          <w:p w14:paraId="1033BBFF" w14:textId="77777777" w:rsidR="001F78B0" w:rsidRPr="00A163A8" w:rsidRDefault="00524CD2" w:rsidP="00524CD2">
            <w:pPr>
              <w:ind w:firstLine="373"/>
              <w:jc w:val="both"/>
              <w:rPr>
                <w:rFonts w:eastAsia="Times New Roman"/>
                <w:lang w:val="ro-RO"/>
              </w:rPr>
            </w:pPr>
            <w:r w:rsidRPr="00A163A8">
              <w:rPr>
                <w:rFonts w:eastAsia="Times New Roman"/>
                <w:lang w:val="ro-RO"/>
              </w:rPr>
              <w:t xml:space="preserve">6) </w:t>
            </w:r>
            <w:r w:rsidR="001F78B0" w:rsidRPr="00A163A8">
              <w:rPr>
                <w:rFonts w:eastAsia="Times New Roman"/>
                <w:lang w:val="ro-RO"/>
              </w:rPr>
              <w:t>prezintă propuneri şi recomandări de ratificare sau aderare la instrumentele internaţionale în domeniul drepturilor şi intereselor legitime ale antreprenorilor şi acordă suport metodologic pentru asigurarea implementării lor;</w:t>
            </w:r>
          </w:p>
          <w:p w14:paraId="2BBFCEC6" w14:textId="77777777" w:rsidR="001F78B0" w:rsidRPr="00A163A8" w:rsidRDefault="00524CD2" w:rsidP="00524CD2">
            <w:pPr>
              <w:ind w:firstLine="373"/>
              <w:jc w:val="both"/>
              <w:rPr>
                <w:rFonts w:eastAsia="Times New Roman"/>
                <w:lang w:val="ro-RO"/>
              </w:rPr>
            </w:pPr>
            <w:r w:rsidRPr="00A163A8">
              <w:rPr>
                <w:rFonts w:eastAsia="Times New Roman"/>
                <w:lang w:val="ro-RO"/>
              </w:rPr>
              <w:t>7</w:t>
            </w:r>
            <w:r w:rsidR="001F78B0" w:rsidRPr="00A163A8">
              <w:rPr>
                <w:rFonts w:eastAsia="Times New Roman"/>
                <w:lang w:val="ro-RO"/>
              </w:rPr>
              <w:t>) intervine, în caz de necesitate, în cadrul controalelor autorităților publice abilitate, în cadrul perchezițiilor și ridicării de documente contabile și a bunurilor antreprenorilor;</w:t>
            </w:r>
          </w:p>
          <w:p w14:paraId="786C510D" w14:textId="77777777" w:rsidR="001F78B0" w:rsidRPr="00A163A8" w:rsidRDefault="00524CD2" w:rsidP="00524CD2">
            <w:pPr>
              <w:ind w:firstLine="373"/>
              <w:jc w:val="both"/>
              <w:rPr>
                <w:rFonts w:eastAsia="Times New Roman"/>
                <w:lang w:val="ro-RO"/>
              </w:rPr>
            </w:pPr>
            <w:r w:rsidRPr="00A163A8">
              <w:rPr>
                <w:rFonts w:eastAsia="Times New Roman"/>
                <w:lang w:val="ro-RO"/>
              </w:rPr>
              <w:t>8</w:t>
            </w:r>
            <w:r w:rsidR="001F78B0" w:rsidRPr="00A163A8">
              <w:rPr>
                <w:rFonts w:eastAsia="Times New Roman"/>
                <w:lang w:val="ro-RO"/>
              </w:rPr>
              <w:t>) sesizează Curtea Constituţională şi înaintează acţiuni în instanţele judecătoreşti, prezintă opinii la cererea Curţii Constituţionale; ș.a.</w:t>
            </w:r>
          </w:p>
          <w:p w14:paraId="6E6E58BB" w14:textId="77777777" w:rsidR="00524CD2" w:rsidRPr="00A163A8" w:rsidRDefault="00524CD2" w:rsidP="00524CD2">
            <w:pPr>
              <w:ind w:firstLine="567"/>
              <w:jc w:val="both"/>
              <w:rPr>
                <w:rFonts w:eastAsia="Times New Roman"/>
                <w:lang w:val="ro-RO"/>
              </w:rPr>
            </w:pPr>
            <w:r w:rsidRPr="00A163A8">
              <w:rPr>
                <w:rFonts w:eastAsia="Times New Roman"/>
                <w:lang w:val="ro-RO"/>
              </w:rPr>
              <w:t>În situaţiile în care se constată încălcări ale drepturilor sau intereselor petiţionarului, Avocatul Antreprenorilor prezintă autorităţii sau persoanei cu funcţie de răspundere ale cărei decizii, acţiuni sau inacţiuni, după părerea sa, încalcă drepturile şi interesele petiționarului un aviz ce va cuprinde recomandări privind măsurile ce urmează a fi întreprinse pentru repunerea imediată în drepturi a petiţionarului.</w:t>
            </w:r>
          </w:p>
          <w:p w14:paraId="1A4EE543" w14:textId="77777777" w:rsidR="00524CD2" w:rsidRPr="00A163A8" w:rsidRDefault="00524CD2" w:rsidP="00524CD2">
            <w:pPr>
              <w:ind w:firstLine="567"/>
              <w:jc w:val="both"/>
              <w:rPr>
                <w:rFonts w:eastAsia="Times New Roman"/>
                <w:lang w:val="ro-RO"/>
              </w:rPr>
            </w:pPr>
            <w:r w:rsidRPr="00A163A8">
              <w:rPr>
                <w:rFonts w:eastAsia="Times New Roman"/>
                <w:lang w:val="ro-RO"/>
              </w:rPr>
              <w:t>În baza rezultatelor examinării sesizării de la antreprenori, Avocatul Antreprenorilor este în drept:</w:t>
            </w:r>
          </w:p>
          <w:p w14:paraId="5FBE0165" w14:textId="77777777" w:rsidR="00524CD2" w:rsidRPr="00A163A8" w:rsidRDefault="00524CD2" w:rsidP="00524CD2">
            <w:pPr>
              <w:ind w:firstLine="567"/>
              <w:jc w:val="both"/>
              <w:rPr>
                <w:rFonts w:eastAsia="Times New Roman"/>
                <w:lang w:val="ro-RO"/>
              </w:rPr>
            </w:pPr>
            <w:r w:rsidRPr="00A163A8">
              <w:rPr>
                <w:rFonts w:eastAsia="Times New Roman"/>
                <w:lang w:val="ro-RO"/>
              </w:rPr>
              <w:t>a) să adreseze în instanţa de judecată o cerere în apărarea intereselor antreprenorilor ale căror drepturi au fost încălcate;</w:t>
            </w:r>
          </w:p>
          <w:p w14:paraId="17487987" w14:textId="77777777" w:rsidR="00524CD2" w:rsidRPr="00A163A8" w:rsidRDefault="00524CD2" w:rsidP="00524CD2">
            <w:pPr>
              <w:ind w:firstLine="567"/>
              <w:jc w:val="both"/>
              <w:rPr>
                <w:rFonts w:eastAsia="Times New Roman"/>
                <w:lang w:val="ro-RO"/>
              </w:rPr>
            </w:pPr>
            <w:r w:rsidRPr="00A163A8">
              <w:rPr>
                <w:rFonts w:eastAsia="Times New Roman"/>
                <w:lang w:val="ro-RO"/>
              </w:rPr>
              <w:t xml:space="preserve">b) să intervină pe </w:t>
            </w:r>
            <w:proofErr w:type="spellStart"/>
            <w:r w:rsidRPr="00A163A8">
              <w:rPr>
                <w:rFonts w:eastAsia="Times New Roman"/>
                <w:lang w:val="ro-RO"/>
              </w:rPr>
              <w:t>lîngă</w:t>
            </w:r>
            <w:proofErr w:type="spellEnd"/>
            <w:r w:rsidRPr="00A163A8">
              <w:rPr>
                <w:rFonts w:eastAsia="Times New Roman"/>
                <w:lang w:val="ro-RO"/>
              </w:rPr>
              <w:t xml:space="preserve"> autorităţile competente cu un demers pentru intentarea unei proceduri disciplinare sau penale în privinţa persoanei cu funcţie de răspundere care a comis încălcări ce au generat lezarea drepturilor şi intereselor antreprenorilor;</w:t>
            </w:r>
          </w:p>
          <w:p w14:paraId="526AF0DB" w14:textId="77777777" w:rsidR="00524CD2" w:rsidRPr="00A163A8" w:rsidRDefault="00524CD2" w:rsidP="00524CD2">
            <w:pPr>
              <w:ind w:firstLine="567"/>
              <w:jc w:val="both"/>
              <w:rPr>
                <w:rFonts w:eastAsia="Times New Roman"/>
                <w:lang w:val="ro-RO"/>
              </w:rPr>
            </w:pPr>
            <w:r w:rsidRPr="00A163A8">
              <w:rPr>
                <w:rFonts w:eastAsia="Times New Roman"/>
                <w:lang w:val="ro-RO"/>
              </w:rPr>
              <w:t>c) să sesizeze persoanele cu funcţii de răspundere asupra cazurilor de neglijenţă în serviciu, de încălcare a eticii de serviciu, de tergiversare şi birocratism.</w:t>
            </w:r>
          </w:p>
          <w:p w14:paraId="6BA6DFF7" w14:textId="77777777" w:rsidR="003303EC" w:rsidRPr="00A163A8" w:rsidRDefault="00524CD2" w:rsidP="00524CD2">
            <w:pPr>
              <w:ind w:firstLine="567"/>
              <w:jc w:val="both"/>
              <w:rPr>
                <w:rFonts w:eastAsia="Times New Roman"/>
                <w:lang w:val="ro-RO"/>
              </w:rPr>
            </w:pPr>
            <w:r w:rsidRPr="00A163A8">
              <w:rPr>
                <w:rFonts w:eastAsia="Times New Roman"/>
                <w:lang w:val="ro-RO"/>
              </w:rPr>
              <w:t xml:space="preserve"> Avocatul Antreprenorilor poate interveni în proces pentru a prezenta concluzii în vederea apărării drepturilor şi intereselor legitime ale antreprenorilor.</w:t>
            </w:r>
          </w:p>
          <w:p w14:paraId="7BEB01D6" w14:textId="77777777" w:rsidR="00524CD2" w:rsidRPr="00A163A8" w:rsidRDefault="00524CD2" w:rsidP="00524CD2">
            <w:pPr>
              <w:ind w:firstLine="567"/>
              <w:jc w:val="both"/>
              <w:rPr>
                <w:rFonts w:eastAsia="Times New Roman"/>
                <w:lang w:val="ro-RO"/>
              </w:rPr>
            </w:pPr>
            <w:r w:rsidRPr="00A163A8">
              <w:rPr>
                <w:rFonts w:eastAsia="Times New Roman"/>
                <w:lang w:val="ro-RO"/>
              </w:rPr>
              <w:t xml:space="preserve">În exercitarea mandatului său, Avocatul Antreprenorilor are dreptul: </w:t>
            </w:r>
          </w:p>
          <w:p w14:paraId="01B2595F" w14:textId="77777777" w:rsidR="00524CD2" w:rsidRPr="00A163A8" w:rsidRDefault="00524CD2" w:rsidP="00524CD2">
            <w:pPr>
              <w:ind w:firstLine="567"/>
              <w:jc w:val="both"/>
              <w:rPr>
                <w:rFonts w:eastAsia="Times New Roman"/>
                <w:lang w:val="ro-RO"/>
              </w:rPr>
            </w:pPr>
            <w:r w:rsidRPr="00A163A8">
              <w:rPr>
                <w:rFonts w:eastAsia="Times New Roman"/>
                <w:lang w:val="ro-RO"/>
              </w:rPr>
              <w:t xml:space="preserve">a) să fie primit în audienţă prioritară de către Preşedintele Republicii Moldova, de către Preşedintele </w:t>
            </w:r>
            <w:r w:rsidRPr="00A163A8">
              <w:rPr>
                <w:rFonts w:eastAsia="Times New Roman"/>
                <w:lang w:val="ro-RO"/>
              </w:rPr>
              <w:lastRenderedPageBreak/>
              <w:t xml:space="preserve">Parlamentului şi de către Prim-ministru </w:t>
            </w:r>
            <w:proofErr w:type="spellStart"/>
            <w:r w:rsidRPr="00A163A8">
              <w:rPr>
                <w:rFonts w:eastAsia="Times New Roman"/>
                <w:lang w:val="ro-RO"/>
              </w:rPr>
              <w:t>atît</w:t>
            </w:r>
            <w:proofErr w:type="spellEnd"/>
            <w:r w:rsidRPr="00A163A8">
              <w:rPr>
                <w:rFonts w:eastAsia="Times New Roman"/>
                <w:lang w:val="ro-RO"/>
              </w:rPr>
              <w:t xml:space="preserve"> în cadrul orelor de audienţă, </w:t>
            </w:r>
            <w:proofErr w:type="spellStart"/>
            <w:r w:rsidRPr="00A163A8">
              <w:rPr>
                <w:rFonts w:eastAsia="Times New Roman"/>
                <w:lang w:val="ro-RO"/>
              </w:rPr>
              <w:t>cît</w:t>
            </w:r>
            <w:proofErr w:type="spellEnd"/>
            <w:r w:rsidRPr="00A163A8">
              <w:rPr>
                <w:rFonts w:eastAsia="Times New Roman"/>
                <w:lang w:val="ro-RO"/>
              </w:rPr>
              <w:t xml:space="preserve"> şi în afara lor;</w:t>
            </w:r>
          </w:p>
          <w:p w14:paraId="321B30E8" w14:textId="77777777" w:rsidR="00524CD2" w:rsidRPr="00A163A8" w:rsidRDefault="00524CD2" w:rsidP="00524CD2">
            <w:pPr>
              <w:ind w:firstLine="567"/>
              <w:jc w:val="both"/>
              <w:rPr>
                <w:rFonts w:eastAsia="Times New Roman"/>
                <w:lang w:val="ro-RO"/>
              </w:rPr>
            </w:pPr>
            <w:r w:rsidRPr="00A163A8">
              <w:rPr>
                <w:rFonts w:eastAsia="Times New Roman"/>
                <w:lang w:val="ro-RO"/>
              </w:rPr>
              <w:t xml:space="preserve">b) să fie primit imediat şi fără nici o formă de obstrucţiune sau </w:t>
            </w:r>
            <w:proofErr w:type="spellStart"/>
            <w:r w:rsidRPr="00A163A8">
              <w:rPr>
                <w:rFonts w:eastAsia="Times New Roman"/>
                <w:lang w:val="ro-RO"/>
              </w:rPr>
              <w:t>întîrziere</w:t>
            </w:r>
            <w:proofErr w:type="spellEnd"/>
            <w:r w:rsidRPr="00A163A8">
              <w:rPr>
                <w:rFonts w:eastAsia="Times New Roman"/>
                <w:lang w:val="ro-RO"/>
              </w:rPr>
              <w:t xml:space="preserve"> în audienţă de către conducători şi alte persoane cu funcţii de răspundere de toate nivelurile ale autorităţilor publice, instituţiilor, organizaţiilor şi întreprinderilor;</w:t>
            </w:r>
          </w:p>
          <w:p w14:paraId="5830123E" w14:textId="77777777" w:rsidR="00524CD2" w:rsidRPr="00A163A8" w:rsidRDefault="00524CD2" w:rsidP="00524CD2">
            <w:pPr>
              <w:ind w:firstLine="567"/>
              <w:jc w:val="both"/>
              <w:rPr>
                <w:rFonts w:eastAsia="Times New Roman"/>
                <w:lang w:val="ro-RO"/>
              </w:rPr>
            </w:pPr>
            <w:r w:rsidRPr="00A163A8">
              <w:rPr>
                <w:rFonts w:eastAsia="Times New Roman"/>
                <w:lang w:val="ro-RO"/>
              </w:rPr>
              <w:t xml:space="preserve">c) să asiste şi să ia </w:t>
            </w:r>
            <w:proofErr w:type="spellStart"/>
            <w:r w:rsidRPr="00A163A8">
              <w:rPr>
                <w:rFonts w:eastAsia="Times New Roman"/>
                <w:lang w:val="ro-RO"/>
              </w:rPr>
              <w:t>cuvîntul</w:t>
            </w:r>
            <w:proofErr w:type="spellEnd"/>
            <w:r w:rsidRPr="00A163A8">
              <w:rPr>
                <w:rFonts w:eastAsia="Times New Roman"/>
                <w:lang w:val="ro-RO"/>
              </w:rPr>
              <w:t xml:space="preserve"> la şedinţele Parlamentului, ale Guvernului, ale Curţii Constituţionale, ale Consiliului Superior al Magistraturii, ale Consiliului Superior al Procurorilor;</w:t>
            </w:r>
          </w:p>
          <w:p w14:paraId="4738BCD3" w14:textId="77777777" w:rsidR="00524CD2" w:rsidRPr="00A163A8" w:rsidRDefault="00524CD2" w:rsidP="00524CD2">
            <w:pPr>
              <w:ind w:firstLine="567"/>
              <w:jc w:val="both"/>
              <w:rPr>
                <w:rFonts w:eastAsia="Times New Roman"/>
                <w:lang w:val="ro-RO"/>
              </w:rPr>
            </w:pPr>
            <w:r w:rsidRPr="00A163A8">
              <w:rPr>
                <w:rFonts w:eastAsia="Times New Roman"/>
                <w:lang w:val="ro-RO"/>
              </w:rPr>
              <w:t>d) să prezinte Parlamentului sau Guvernului recomandări în vederea perfecţionării legislaţiei în domeniul asigurării drepturilor şi intereselor legitime ale antreprenorilor;</w:t>
            </w:r>
          </w:p>
          <w:p w14:paraId="66B0BE7F" w14:textId="77777777" w:rsidR="00524CD2" w:rsidRPr="00A163A8" w:rsidRDefault="00524CD2" w:rsidP="00524CD2">
            <w:pPr>
              <w:ind w:firstLine="567"/>
              <w:jc w:val="both"/>
              <w:rPr>
                <w:rFonts w:eastAsia="Times New Roman"/>
                <w:lang w:val="ro-RO"/>
              </w:rPr>
            </w:pPr>
            <w:r w:rsidRPr="00A163A8">
              <w:rPr>
                <w:rFonts w:eastAsia="Times New Roman"/>
                <w:lang w:val="ro-RO"/>
              </w:rPr>
              <w:t>e) să verifice respectarea şi exercitarea conformă de către autorităţile publice, de către organizaţii şi întreprinderi, de către organizaţiile necomerciale, de către persoanele cu funcţii de răspundere de toate nivelurile a atribuţiilor acestora privind respectarea drepturilor şi intereselor antreprenorilor;</w:t>
            </w:r>
          </w:p>
          <w:p w14:paraId="2588F1CB" w14:textId="77777777" w:rsidR="00524CD2" w:rsidRPr="00A163A8" w:rsidRDefault="00524CD2" w:rsidP="00524CD2">
            <w:pPr>
              <w:ind w:firstLine="567"/>
              <w:jc w:val="both"/>
              <w:rPr>
                <w:rFonts w:eastAsia="Times New Roman"/>
                <w:lang w:val="ro-RO"/>
              </w:rPr>
            </w:pPr>
            <w:r w:rsidRPr="00A163A8">
              <w:rPr>
                <w:rFonts w:eastAsia="Times New Roman"/>
                <w:lang w:val="ro-RO"/>
              </w:rPr>
              <w:t>f) să contribuie la soluționarea pe cale amiabilă a conflictelor iscate între antreprenori și autoritățile publice;</w:t>
            </w:r>
          </w:p>
          <w:p w14:paraId="11B0C28E" w14:textId="77777777" w:rsidR="00524CD2" w:rsidRPr="00A163A8" w:rsidRDefault="00524CD2" w:rsidP="00524CD2">
            <w:pPr>
              <w:ind w:firstLine="567"/>
              <w:jc w:val="both"/>
              <w:rPr>
                <w:rFonts w:eastAsia="Times New Roman"/>
                <w:lang w:val="ro-RO"/>
              </w:rPr>
            </w:pPr>
            <w:r w:rsidRPr="00A163A8">
              <w:rPr>
                <w:rFonts w:eastAsia="Times New Roman"/>
                <w:lang w:val="ro-RO"/>
              </w:rPr>
              <w:t>g) să acţioneze din oficiu în cazurile stabilite de lege;</w:t>
            </w:r>
          </w:p>
          <w:p w14:paraId="452471D7" w14:textId="77777777" w:rsidR="00524CD2" w:rsidRPr="00A163A8" w:rsidRDefault="00524CD2" w:rsidP="00524CD2">
            <w:pPr>
              <w:ind w:firstLine="567"/>
              <w:jc w:val="both"/>
              <w:rPr>
                <w:rFonts w:eastAsia="Times New Roman"/>
                <w:lang w:val="ro-RO"/>
              </w:rPr>
            </w:pPr>
            <w:r w:rsidRPr="00A163A8">
              <w:rPr>
                <w:rFonts w:eastAsia="Times New Roman"/>
                <w:lang w:val="ro-RO"/>
              </w:rPr>
              <w:t>h) să aibă acces liber la toate autorităţile publice, să asiste la şedinţele subdiviziunilor lor, inclusiv la şedinţele organelor colegiale ale acestora;</w:t>
            </w:r>
          </w:p>
          <w:p w14:paraId="22301E0C" w14:textId="77777777" w:rsidR="00524CD2" w:rsidRPr="00A163A8" w:rsidRDefault="00524CD2" w:rsidP="00524CD2">
            <w:pPr>
              <w:ind w:firstLine="567"/>
              <w:jc w:val="both"/>
              <w:rPr>
                <w:rFonts w:eastAsia="Times New Roman"/>
                <w:lang w:val="ro-RO"/>
              </w:rPr>
            </w:pPr>
            <w:r w:rsidRPr="00A163A8">
              <w:rPr>
                <w:rFonts w:eastAsia="Times New Roman"/>
                <w:lang w:val="ro-RO"/>
              </w:rPr>
              <w:t>i) să solicite şi să primească de la autorităţile publice, de la persoanele cu funcţii de răspundere informaţiile, documentele şi materialele necesare pentru exercitarea atribuţiilor, inclusiv informaţiile oficiale cu accesibilitate limitată şi informaţiile atribuite la secret de stat în condiţiile legii;</w:t>
            </w:r>
          </w:p>
          <w:p w14:paraId="2AFD7D24" w14:textId="77777777" w:rsidR="00524CD2" w:rsidRPr="00A163A8" w:rsidRDefault="00524CD2" w:rsidP="00524CD2">
            <w:pPr>
              <w:ind w:firstLine="567"/>
              <w:jc w:val="both"/>
              <w:rPr>
                <w:rFonts w:eastAsia="Times New Roman"/>
                <w:lang w:val="ro-RO"/>
              </w:rPr>
            </w:pPr>
            <w:r w:rsidRPr="00A163A8">
              <w:rPr>
                <w:rFonts w:eastAsia="Times New Roman"/>
                <w:lang w:val="ro-RO"/>
              </w:rPr>
              <w:t>j) să invite pentru audieri şi să primească de la persoanele cu funcţii de răspundere explicaţiile şi informaţiile necesare pentru elucidarea circumstanţelor cazului examinat; ș.a.</w:t>
            </w:r>
          </w:p>
        </w:tc>
      </w:tr>
      <w:tr w:rsidR="003303EC" w:rsidRPr="00D171DB" w14:paraId="7053302A" w14:textId="77777777" w:rsidTr="007019CD">
        <w:trPr>
          <w:jc w:val="center"/>
        </w:trPr>
        <w:tc>
          <w:tcPr>
            <w:tcW w:w="492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2D23E5" w14:textId="77777777" w:rsidR="003303EC" w:rsidRPr="00D263BF" w:rsidRDefault="007E491E" w:rsidP="007019CD">
            <w:pPr>
              <w:rPr>
                <w:rFonts w:eastAsia="Times New Roman"/>
                <w:i/>
                <w:sz w:val="20"/>
                <w:szCs w:val="20"/>
                <w:lang w:val="ro-RO"/>
              </w:rPr>
            </w:pPr>
            <w:r w:rsidRPr="00D263BF">
              <w:rPr>
                <w:rFonts w:eastAsia="Times New Roman"/>
                <w:i/>
                <w:sz w:val="20"/>
                <w:szCs w:val="20"/>
                <w:lang w:val="ro-RO"/>
              </w:rPr>
              <w:lastRenderedPageBreak/>
              <w:t>c) Expuneţi opţiunile alternative analizate sau explicaţi motivul de ce acestea nu au fost luate în considerare</w:t>
            </w:r>
          </w:p>
        </w:tc>
        <w:tc>
          <w:tcPr>
            <w:tcW w:w="76"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1DC6D7D8" w14:textId="77777777" w:rsidR="003303EC" w:rsidRPr="00A163A8" w:rsidRDefault="003303EC" w:rsidP="007019CD">
            <w:pPr>
              <w:rPr>
                <w:rFonts w:eastAsia="Times New Roman"/>
                <w:sz w:val="20"/>
                <w:szCs w:val="20"/>
                <w:lang w:val="ro-RO"/>
              </w:rPr>
            </w:pPr>
          </w:p>
        </w:tc>
      </w:tr>
      <w:tr w:rsidR="003303EC" w:rsidRPr="00D171DB" w14:paraId="743484EA" w14:textId="77777777" w:rsidTr="007019CD">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426BAC06" w14:textId="77777777" w:rsidR="003303EC" w:rsidRPr="00A163A8" w:rsidRDefault="00A0099C" w:rsidP="00A0099C">
            <w:pPr>
              <w:pStyle w:val="Default"/>
              <w:ind w:firstLine="514"/>
              <w:jc w:val="both"/>
              <w:rPr>
                <w:lang w:val="ro-RO"/>
              </w:rPr>
            </w:pPr>
            <w:r w:rsidRPr="00A163A8">
              <w:rPr>
                <w:lang w:val="ro-RO"/>
              </w:rPr>
              <w:t xml:space="preserve">Urmare a examinării problemei, riscuri relevante care pot cauza eşecul opţiunii recomandate nu au fost identificate. Respectiv, alte modalități de a elimina carențele în cadrul normative și instituțional în vigoare nu sunt realizabile, cel puțin pe perioada realizării și implementării reformelor </w:t>
            </w:r>
            <w:r w:rsidR="0081305C" w:rsidRPr="00A163A8">
              <w:rPr>
                <w:lang w:val="ro-RO"/>
              </w:rPr>
              <w:t>în derulare cu privire la justiție și sistemul organelor de control de stat</w:t>
            </w:r>
            <w:r w:rsidRPr="00A163A8">
              <w:rPr>
                <w:lang w:val="ro-RO"/>
              </w:rPr>
              <w:t xml:space="preserve">. </w:t>
            </w:r>
          </w:p>
          <w:p w14:paraId="37B34A42" w14:textId="77777777" w:rsidR="003303EC" w:rsidRPr="00A163A8" w:rsidRDefault="007E491E" w:rsidP="007019CD">
            <w:pPr>
              <w:pStyle w:val="NormalWeb"/>
              <w:rPr>
                <w:sz w:val="20"/>
                <w:szCs w:val="20"/>
                <w:lang w:val="ro-RO"/>
              </w:rPr>
            </w:pPr>
            <w:r w:rsidRPr="00A163A8">
              <w:rPr>
                <w:sz w:val="20"/>
                <w:szCs w:val="20"/>
                <w:lang w:val="ro-RO"/>
              </w:rPr>
              <w:t> </w:t>
            </w:r>
          </w:p>
        </w:tc>
      </w:tr>
      <w:tr w:rsidR="003303EC" w:rsidRPr="00A163A8" w14:paraId="1A53D64D" w14:textId="77777777" w:rsidTr="007019CD">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DBF507" w14:textId="77777777" w:rsidR="003303EC" w:rsidRPr="00A163A8" w:rsidRDefault="007E491E" w:rsidP="007019CD">
            <w:pPr>
              <w:rPr>
                <w:rFonts w:eastAsia="Times New Roman"/>
                <w:sz w:val="20"/>
                <w:szCs w:val="20"/>
                <w:lang w:val="ro-RO"/>
              </w:rPr>
            </w:pPr>
            <w:r w:rsidRPr="00A163A8">
              <w:rPr>
                <w:rFonts w:eastAsia="Times New Roman"/>
                <w:b/>
                <w:bCs/>
                <w:sz w:val="20"/>
                <w:szCs w:val="20"/>
                <w:lang w:val="ro-RO"/>
              </w:rPr>
              <w:t>4. Analiza impacturilor opţiunilor</w:t>
            </w:r>
          </w:p>
        </w:tc>
      </w:tr>
      <w:tr w:rsidR="003303EC" w:rsidRPr="00A163A8" w14:paraId="4463E249" w14:textId="77777777" w:rsidTr="007019CD">
        <w:trPr>
          <w:jc w:val="center"/>
        </w:trPr>
        <w:tc>
          <w:tcPr>
            <w:tcW w:w="492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5109C3" w14:textId="77777777" w:rsidR="003303EC" w:rsidRPr="00D263BF" w:rsidRDefault="007E491E" w:rsidP="007019CD">
            <w:pPr>
              <w:rPr>
                <w:rFonts w:eastAsia="Times New Roman"/>
                <w:i/>
                <w:sz w:val="20"/>
                <w:szCs w:val="20"/>
                <w:lang w:val="ro-RO"/>
              </w:rPr>
            </w:pPr>
            <w:r w:rsidRPr="00D263BF">
              <w:rPr>
                <w:rFonts w:eastAsia="Times New Roman"/>
                <w:i/>
                <w:sz w:val="20"/>
                <w:szCs w:val="20"/>
                <w:lang w:val="ro-RO"/>
              </w:rPr>
              <w:t>a) Expuneţi efectele negative şi pozitive ale stării actuale şi evoluţia acestora în viitor, care vor sta la baza calculării impacturilor opţiunii recomandate</w:t>
            </w:r>
          </w:p>
        </w:tc>
        <w:tc>
          <w:tcPr>
            <w:tcW w:w="76"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48F043BF" w14:textId="77777777" w:rsidR="003303EC" w:rsidRPr="00A163A8" w:rsidRDefault="003303EC" w:rsidP="007019CD">
            <w:pPr>
              <w:rPr>
                <w:rFonts w:eastAsia="Times New Roman"/>
                <w:sz w:val="20"/>
                <w:szCs w:val="20"/>
                <w:lang w:val="ro-RO"/>
              </w:rPr>
            </w:pPr>
          </w:p>
        </w:tc>
      </w:tr>
      <w:tr w:rsidR="003303EC" w:rsidRPr="00D171DB" w14:paraId="19731D9A" w14:textId="77777777" w:rsidTr="007019CD">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283D04DA" w14:textId="28B56320" w:rsidR="003303EC" w:rsidRPr="00A163A8" w:rsidRDefault="007E491E" w:rsidP="0079028C">
            <w:pPr>
              <w:pStyle w:val="NormalWeb"/>
              <w:ind w:firstLine="373"/>
              <w:rPr>
                <w:rFonts w:eastAsia="Times New Roman"/>
                <w:color w:val="000000"/>
                <w:lang w:val="ro-RO"/>
              </w:rPr>
            </w:pPr>
            <w:r w:rsidRPr="00A163A8">
              <w:rPr>
                <w:sz w:val="20"/>
                <w:szCs w:val="20"/>
                <w:lang w:val="ro-RO"/>
              </w:rPr>
              <w:t> </w:t>
            </w:r>
            <w:r w:rsidR="00FD7E64" w:rsidRPr="00A163A8">
              <w:rPr>
                <w:rFonts w:eastAsia="Times New Roman"/>
                <w:color w:val="000000"/>
                <w:lang w:val="ro-RO"/>
              </w:rPr>
              <w:t xml:space="preserve">Așa cum a fost examinat la definirea problemei, complexul de probleme și lacune în procesul de reglementare, control de stat și justiție </w:t>
            </w:r>
            <w:r w:rsidR="00465FC2" w:rsidRPr="00A163A8">
              <w:rPr>
                <w:rFonts w:eastAsia="Times New Roman"/>
                <w:color w:val="000000"/>
                <w:lang w:val="ro-RO"/>
              </w:rPr>
              <w:t>creează</w:t>
            </w:r>
            <w:r w:rsidR="00FD7E64" w:rsidRPr="00A163A8">
              <w:rPr>
                <w:rFonts w:eastAsia="Times New Roman"/>
                <w:color w:val="000000"/>
                <w:lang w:val="ro-RO"/>
              </w:rPr>
              <w:t xml:space="preserve"> pentru mediul de afaceri cheltuieli nejustificate în valoarea de zeci și sute de milioane de lei anual. </w:t>
            </w:r>
            <w:r w:rsidR="0079028C" w:rsidRPr="00A163A8">
              <w:rPr>
                <w:rFonts w:eastAsia="Times New Roman"/>
                <w:color w:val="000000"/>
                <w:lang w:val="ro-RO"/>
              </w:rPr>
              <w:t>Doar în domeniul construcțiilor, barierele existente impun un cost majorat cu cel puțin 50 milioane de lei pe an (pentru antreprenorii din domeniul dat). Totuși c</w:t>
            </w:r>
            <w:r w:rsidR="00FD7E64" w:rsidRPr="00A163A8">
              <w:rPr>
                <w:rFonts w:eastAsia="Times New Roman"/>
                <w:color w:val="000000"/>
                <w:lang w:val="ro-RO"/>
              </w:rPr>
              <w:t xml:space="preserve">osturile din ziua de azi, descrise și analizate la definirea problemei, care se datorează deficiențelor în cadrul normativ și instituțional probabil vor scădea în timp, odată cu implementarea reformei actelor permisive, controlului de stat și probabil inițierii unor reforme efective în domeniul justiției. În această scădere poate apărea doar în raport cu efectele acestor reforme, care vor apărea mai mult în termen lung, </w:t>
            </w:r>
            <w:proofErr w:type="spellStart"/>
            <w:r w:rsidR="00FD7E64" w:rsidRPr="00A163A8">
              <w:rPr>
                <w:rFonts w:eastAsia="Times New Roman"/>
                <w:color w:val="000000"/>
                <w:lang w:val="ro-RO"/>
              </w:rPr>
              <w:t>decît</w:t>
            </w:r>
            <w:proofErr w:type="spellEnd"/>
            <w:r w:rsidR="00FD7E64" w:rsidRPr="00A163A8">
              <w:rPr>
                <w:rFonts w:eastAsia="Times New Roman"/>
                <w:color w:val="000000"/>
                <w:lang w:val="ro-RO"/>
              </w:rPr>
              <w:t xml:space="preserve"> în termen mediu sau scurt. De aceea între timp, se impun soluții viabile și practice care ar putea acoperi eficient lacunele existente.</w:t>
            </w:r>
          </w:p>
          <w:p w14:paraId="654A1D19" w14:textId="6E5AB19E" w:rsidR="0079028C" w:rsidRPr="00A163A8" w:rsidRDefault="0079028C" w:rsidP="0079028C">
            <w:pPr>
              <w:pStyle w:val="NormalWeb"/>
              <w:ind w:firstLine="373"/>
              <w:rPr>
                <w:rFonts w:eastAsia="Times New Roman"/>
                <w:color w:val="000000"/>
                <w:lang w:val="ro-RO"/>
              </w:rPr>
            </w:pPr>
            <w:r w:rsidRPr="00A163A8">
              <w:rPr>
                <w:rFonts w:eastAsia="Times New Roman"/>
                <w:color w:val="000000"/>
                <w:lang w:val="ro-RO"/>
              </w:rPr>
              <w:t xml:space="preserve">Beneficiul evident al situației existente constă în </w:t>
            </w:r>
            <w:proofErr w:type="spellStart"/>
            <w:r w:rsidRPr="00A163A8">
              <w:rPr>
                <w:rFonts w:eastAsia="Times New Roman"/>
                <w:color w:val="000000"/>
                <w:lang w:val="ro-RO"/>
              </w:rPr>
              <w:t>mentenanța</w:t>
            </w:r>
            <w:proofErr w:type="spellEnd"/>
            <w:r w:rsidRPr="00A163A8">
              <w:rPr>
                <w:rFonts w:eastAsia="Times New Roman"/>
                <w:color w:val="000000"/>
                <w:lang w:val="ro-RO"/>
              </w:rPr>
              <w:t xml:space="preserve"> unei structuri instituționale publice mai simple și mai ieftine, ceea ce nu impune mai multe cheltuieli pentru audit și controale interne mai sofisticate, pentru registre mai complexe, pentru structuri și resurse mai calitative în cadrul autorităților ce elaborează politici ș.a.m.d. Deci economia resurselor bugetare pentru dezvoltarea structurii instituționale.</w:t>
            </w:r>
          </w:p>
          <w:p w14:paraId="067D8C11" w14:textId="5A812A34" w:rsidR="0079028C" w:rsidRPr="00A163A8" w:rsidRDefault="0079028C" w:rsidP="0079028C">
            <w:pPr>
              <w:pStyle w:val="NormalWeb"/>
              <w:rPr>
                <w:sz w:val="20"/>
                <w:szCs w:val="20"/>
                <w:lang w:val="ro-RO"/>
              </w:rPr>
            </w:pPr>
          </w:p>
        </w:tc>
      </w:tr>
      <w:tr w:rsidR="003303EC" w:rsidRPr="00D171DB" w14:paraId="376C6336" w14:textId="77777777" w:rsidTr="007019CD">
        <w:trPr>
          <w:jc w:val="center"/>
        </w:trPr>
        <w:tc>
          <w:tcPr>
            <w:tcW w:w="492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4363FA" w14:textId="77777777" w:rsidR="003303EC" w:rsidRPr="00D263BF" w:rsidRDefault="007E491E" w:rsidP="007019CD">
            <w:pPr>
              <w:rPr>
                <w:rFonts w:eastAsia="Times New Roman"/>
                <w:i/>
                <w:sz w:val="20"/>
                <w:szCs w:val="20"/>
                <w:lang w:val="ro-RO"/>
              </w:rPr>
            </w:pPr>
            <w:r w:rsidRPr="00D263BF">
              <w:rPr>
                <w:rFonts w:eastAsia="Times New Roman"/>
                <w:i/>
                <w:sz w:val="20"/>
                <w:szCs w:val="20"/>
                <w:lang w:val="ro-RO"/>
              </w:rPr>
              <w:t>b</w:t>
            </w:r>
            <w:r w:rsidRPr="00D263BF">
              <w:rPr>
                <w:rFonts w:eastAsia="Times New Roman"/>
                <w:i/>
                <w:sz w:val="20"/>
                <w:szCs w:val="20"/>
                <w:vertAlign w:val="superscript"/>
                <w:lang w:val="ro-RO"/>
              </w:rPr>
              <w:t>1</w:t>
            </w:r>
            <w:r w:rsidRPr="00D263BF">
              <w:rPr>
                <w:rFonts w:eastAsia="Times New Roman"/>
                <w:i/>
                <w:sz w:val="20"/>
                <w:szCs w:val="20"/>
                <w:lang w:val="ro-RO"/>
              </w:rPr>
              <w:t xml:space="preserve">) Pentru opţiunea recomandată, identificaţi impacturile </w:t>
            </w:r>
            <w:proofErr w:type="spellStart"/>
            <w:r w:rsidRPr="00D263BF">
              <w:rPr>
                <w:rFonts w:eastAsia="Times New Roman"/>
                <w:i/>
                <w:sz w:val="20"/>
                <w:szCs w:val="20"/>
                <w:lang w:val="ro-RO"/>
              </w:rPr>
              <w:t>completînd</w:t>
            </w:r>
            <w:proofErr w:type="spellEnd"/>
            <w:r w:rsidRPr="00D263BF">
              <w:rPr>
                <w:rFonts w:eastAsia="Times New Roman"/>
                <w:i/>
                <w:sz w:val="20"/>
                <w:szCs w:val="20"/>
                <w:lang w:val="ro-RO"/>
              </w:rPr>
              <w:t xml:space="preserve"> tabelul din anexa la prezentul formular. Descrieţi pe larg impacturile sub formă de costuri sau beneficii, inclusiv părţile interesate care ar putea fi afectate pozitiv şi negativ de acestea</w:t>
            </w:r>
          </w:p>
        </w:tc>
        <w:tc>
          <w:tcPr>
            <w:tcW w:w="76"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645F4F26" w14:textId="77777777" w:rsidR="003303EC" w:rsidRPr="00A163A8" w:rsidRDefault="003303EC" w:rsidP="007019CD">
            <w:pPr>
              <w:rPr>
                <w:rFonts w:eastAsia="Times New Roman"/>
                <w:sz w:val="20"/>
                <w:szCs w:val="20"/>
                <w:lang w:val="ro-RO"/>
              </w:rPr>
            </w:pPr>
          </w:p>
        </w:tc>
      </w:tr>
      <w:tr w:rsidR="003303EC" w:rsidRPr="00D171DB" w14:paraId="36E866AB" w14:textId="77777777" w:rsidTr="007019CD">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5426D280" w14:textId="0ADF92F2" w:rsidR="003303EC" w:rsidRPr="00A163A8" w:rsidRDefault="00D50207" w:rsidP="003E177D">
            <w:pPr>
              <w:pStyle w:val="NormalWeb"/>
              <w:ind w:firstLine="0"/>
              <w:rPr>
                <w:b/>
                <w:u w:val="single"/>
                <w:lang w:val="ro-RO"/>
              </w:rPr>
            </w:pPr>
            <w:r w:rsidRPr="00A163A8">
              <w:rPr>
                <w:b/>
                <w:u w:val="single"/>
                <w:lang w:val="ro-RO"/>
              </w:rPr>
              <w:t>Beneficii</w:t>
            </w:r>
          </w:p>
          <w:p w14:paraId="25539A80" w14:textId="6892F3D0" w:rsidR="00777802" w:rsidRPr="00A163A8" w:rsidRDefault="0010434A" w:rsidP="00777802">
            <w:pPr>
              <w:pStyle w:val="NormalWeb"/>
              <w:ind w:firstLine="373"/>
              <w:rPr>
                <w:lang w:val="ro-RO"/>
              </w:rPr>
            </w:pPr>
            <w:r w:rsidRPr="00A163A8">
              <w:rPr>
                <w:lang w:val="ro-RO"/>
              </w:rPr>
              <w:t xml:space="preserve">Instituția avocatului antreprenorilor este menită să asiste agenții economici în contracararea abuzurilor comise în special de autorități și instituții publice și eliminarea carențelor din cadrul normativ. </w:t>
            </w:r>
            <w:r w:rsidR="00777802" w:rsidRPr="00A163A8">
              <w:rPr>
                <w:lang w:val="ro-RO"/>
              </w:rPr>
              <w:t xml:space="preserve">Această asistență în cel mai direct mod va duce la scăderea cheltuielilor existente pentru desfășurarea afacerii și, corespunzător, creșterea veniturilor. </w:t>
            </w:r>
            <w:r w:rsidR="00D50207" w:rsidRPr="00A163A8">
              <w:rPr>
                <w:lang w:val="ro-RO"/>
              </w:rPr>
              <w:t xml:space="preserve">Dacă datorită funcționării avocatului antreprenorilor s-ar putea ca cheltuielile și efortul agenților economici să scadă așa </w:t>
            </w:r>
            <w:proofErr w:type="spellStart"/>
            <w:r w:rsidR="00D50207" w:rsidRPr="00A163A8">
              <w:rPr>
                <w:lang w:val="ro-RO"/>
              </w:rPr>
              <w:t>încît</w:t>
            </w:r>
            <w:proofErr w:type="spellEnd"/>
            <w:r w:rsidR="00D50207" w:rsidRPr="00A163A8">
              <w:rPr>
                <w:lang w:val="ro-RO"/>
              </w:rPr>
              <w:t xml:space="preserve"> veniturile brute să se mărească cu cel puțin </w:t>
            </w:r>
            <w:r w:rsidR="00D50207" w:rsidRPr="00A163A8">
              <w:rPr>
                <w:lang w:val="ro-RO"/>
              </w:rPr>
              <w:lastRenderedPageBreak/>
              <w:t>0,001%</w:t>
            </w:r>
            <w:r w:rsidR="00777802" w:rsidRPr="00A163A8">
              <w:rPr>
                <w:lang w:val="ro-RO"/>
              </w:rPr>
              <w:t xml:space="preserve"> (aceasta fiind o estimare extrem de pesimistă)</w:t>
            </w:r>
            <w:r w:rsidR="00D50207" w:rsidRPr="00A163A8">
              <w:rPr>
                <w:lang w:val="ro-RO"/>
              </w:rPr>
              <w:t xml:space="preserve">, atunci beneficiul pentru întreaga economie ar fi deja cel puțin </w:t>
            </w:r>
            <w:r w:rsidR="00D50207" w:rsidRPr="0051751D">
              <w:rPr>
                <w:b/>
                <w:lang w:val="ro-RO"/>
              </w:rPr>
              <w:t>35,6 milioane lei pe an</w:t>
            </w:r>
            <w:r w:rsidR="00D50207" w:rsidRPr="00A163A8">
              <w:rPr>
                <w:lang w:val="ro-RO"/>
              </w:rPr>
              <w:t>.</w:t>
            </w:r>
            <w:r w:rsidR="00777802" w:rsidRPr="00A163A8">
              <w:rPr>
                <w:lang w:val="ro-RO"/>
              </w:rPr>
              <w:t xml:space="preserve"> Doar această sumă, care este probabil scenariul cel mai pesimist posibil, poate contribui numai</w:t>
            </w:r>
            <w:r w:rsidR="00DE39E6" w:rsidRPr="00A163A8">
              <w:rPr>
                <w:lang w:val="ro-RO"/>
              </w:rPr>
              <w:t xml:space="preserve"> </w:t>
            </w:r>
            <w:r w:rsidR="00777802" w:rsidRPr="00A163A8">
              <w:rPr>
                <w:lang w:val="ro-RO"/>
              </w:rPr>
              <w:t>prin</w:t>
            </w:r>
            <w:r w:rsidR="00DE39E6" w:rsidRPr="00A163A8">
              <w:rPr>
                <w:lang w:val="ro-RO"/>
              </w:rPr>
              <w:t xml:space="preserve"> impozit pe venit </w:t>
            </w:r>
            <w:r w:rsidR="00777802" w:rsidRPr="00A163A8">
              <w:rPr>
                <w:lang w:val="ro-RO"/>
              </w:rPr>
              <w:t>(</w:t>
            </w:r>
            <w:r w:rsidR="00DE39E6" w:rsidRPr="00A163A8">
              <w:rPr>
                <w:lang w:val="ro-RO"/>
              </w:rPr>
              <w:t>12%</w:t>
            </w:r>
            <w:r w:rsidR="00777802" w:rsidRPr="00A163A8">
              <w:rPr>
                <w:lang w:val="ro-RO"/>
              </w:rPr>
              <w:t>)</w:t>
            </w:r>
            <w:r w:rsidR="00DE39E6" w:rsidRPr="00A163A8">
              <w:rPr>
                <w:lang w:val="ro-RO"/>
              </w:rPr>
              <w:t xml:space="preserve"> la buget</w:t>
            </w:r>
            <w:r w:rsidR="00777802" w:rsidRPr="00A163A8">
              <w:rPr>
                <w:lang w:val="ro-RO"/>
              </w:rPr>
              <w:t>ul național cu</w:t>
            </w:r>
            <w:r w:rsidR="00465FC2" w:rsidRPr="00A163A8">
              <w:rPr>
                <w:lang w:val="ro-RO"/>
              </w:rPr>
              <w:t xml:space="preserve"> minim</w:t>
            </w:r>
            <w:r w:rsidR="00DE39E6" w:rsidRPr="00A163A8">
              <w:rPr>
                <w:lang w:val="ro-RO"/>
              </w:rPr>
              <w:t xml:space="preserve"> </w:t>
            </w:r>
            <w:r w:rsidR="00DE39E6" w:rsidRPr="0051751D">
              <w:rPr>
                <w:b/>
                <w:lang w:val="ro-RO"/>
              </w:rPr>
              <w:t>4,2 mil lei</w:t>
            </w:r>
            <w:r w:rsidR="00777802" w:rsidRPr="0051751D">
              <w:rPr>
                <w:b/>
                <w:lang w:val="ro-RO"/>
              </w:rPr>
              <w:t xml:space="preserve"> pe an</w:t>
            </w:r>
            <w:r w:rsidR="00777802" w:rsidRPr="00A163A8">
              <w:rPr>
                <w:lang w:val="ro-RO"/>
              </w:rPr>
              <w:t>, ceea ce este de două</w:t>
            </w:r>
            <w:r w:rsidR="00DE39E6" w:rsidRPr="00A163A8">
              <w:rPr>
                <w:lang w:val="ro-RO"/>
              </w:rPr>
              <w:t xml:space="preserve"> ori mai mult </w:t>
            </w:r>
            <w:proofErr w:type="spellStart"/>
            <w:r w:rsidR="00DE39E6" w:rsidRPr="00A163A8">
              <w:rPr>
                <w:lang w:val="ro-RO"/>
              </w:rPr>
              <w:t>decît</w:t>
            </w:r>
            <w:proofErr w:type="spellEnd"/>
            <w:r w:rsidR="00DE39E6" w:rsidRPr="00A163A8">
              <w:rPr>
                <w:lang w:val="ro-RO"/>
              </w:rPr>
              <w:t xml:space="preserve"> necesar</w:t>
            </w:r>
            <w:r w:rsidR="00777802" w:rsidRPr="00A163A8">
              <w:rPr>
                <w:lang w:val="ro-RO"/>
              </w:rPr>
              <w:t>ul pentru întreținerea oficiului avocatului antreprenorilor (așa cum este prezentat în continuare)</w:t>
            </w:r>
            <w:r w:rsidR="003E177D" w:rsidRPr="00A163A8">
              <w:rPr>
                <w:lang w:val="ro-RO"/>
              </w:rPr>
              <w:t>.</w:t>
            </w:r>
            <w:r w:rsidR="00777802" w:rsidRPr="00A163A8">
              <w:rPr>
                <w:lang w:val="ro-RO"/>
              </w:rPr>
              <w:t xml:space="preserve"> Însă creșterea venitului brut din </w:t>
            </w:r>
            <w:proofErr w:type="spellStart"/>
            <w:r w:rsidR="00777802" w:rsidRPr="00A163A8">
              <w:rPr>
                <w:lang w:val="ro-RO"/>
              </w:rPr>
              <w:t>vînzări</w:t>
            </w:r>
            <w:proofErr w:type="spellEnd"/>
            <w:r w:rsidR="00777802" w:rsidRPr="00A163A8">
              <w:rPr>
                <w:lang w:val="ro-RO"/>
              </w:rPr>
              <w:t xml:space="preserve"> presupune mai multe beneficii pentru bugetul național, pe baza de TVA, operațiuni de import-export, achitările din fondul de salarii ș.a.m.d. Astfel activitatea avocatului antreprenorilor poate real contribui în mod benefic la fluxurile comerciale şi investiționale, competitivitatea afacerilor, situația social-economică în </w:t>
            </w:r>
            <w:r w:rsidR="00465FC2" w:rsidRPr="00A163A8">
              <w:rPr>
                <w:lang w:val="ro-RO"/>
              </w:rPr>
              <w:t>anumite regiuni și chiar amelio</w:t>
            </w:r>
            <w:r w:rsidR="00777802" w:rsidRPr="00A163A8">
              <w:rPr>
                <w:lang w:val="ro-RO"/>
              </w:rPr>
              <w:t>ra în termen mai lung și situația macroeconomică</w:t>
            </w:r>
            <w:r w:rsidR="00465FC2" w:rsidRPr="00A163A8">
              <w:rPr>
                <w:lang w:val="ro-RO"/>
              </w:rPr>
              <w:t xml:space="preserve"> în întreaga țară</w:t>
            </w:r>
            <w:r w:rsidR="00777802" w:rsidRPr="00A163A8">
              <w:rPr>
                <w:lang w:val="ro-RO"/>
              </w:rPr>
              <w:t>.</w:t>
            </w:r>
          </w:p>
          <w:p w14:paraId="51A88A55" w14:textId="77777777" w:rsidR="00465FC2" w:rsidRPr="00A163A8" w:rsidRDefault="00465FC2" w:rsidP="00777802">
            <w:pPr>
              <w:pStyle w:val="NormalWeb"/>
              <w:ind w:firstLine="373"/>
              <w:rPr>
                <w:lang w:val="ro-RO"/>
              </w:rPr>
            </w:pPr>
          </w:p>
          <w:p w14:paraId="2F9281BC" w14:textId="65E56ABA" w:rsidR="000A4733" w:rsidRPr="00A163A8" w:rsidRDefault="0038625A" w:rsidP="000A4733">
            <w:pPr>
              <w:pStyle w:val="NormalWeb"/>
              <w:ind w:firstLine="0"/>
              <w:rPr>
                <w:b/>
                <w:u w:val="single"/>
                <w:lang w:val="ro-RO"/>
              </w:rPr>
            </w:pPr>
            <w:r w:rsidRPr="00A163A8">
              <w:rPr>
                <w:b/>
                <w:u w:val="single"/>
                <w:lang w:val="ro-RO"/>
              </w:rPr>
              <w:t>Costuri</w:t>
            </w:r>
          </w:p>
          <w:p w14:paraId="08291EB1" w14:textId="71C23D37" w:rsidR="00A96429" w:rsidRPr="00A163A8" w:rsidRDefault="00A96429" w:rsidP="00777802">
            <w:pPr>
              <w:pStyle w:val="NormalWeb"/>
              <w:ind w:firstLine="373"/>
              <w:rPr>
                <w:lang w:val="ro-RO"/>
              </w:rPr>
            </w:pPr>
            <w:r w:rsidRPr="00A163A8">
              <w:rPr>
                <w:lang w:val="ro-RO"/>
              </w:rPr>
              <w:t xml:space="preserve">În ceea ce ține costurile opțiunii recomandate, se conturează în principal costurile pentru fondarea și întreținerea entității publice a avocatului antreprenorilor. </w:t>
            </w:r>
            <w:proofErr w:type="spellStart"/>
            <w:r w:rsidRPr="00A163A8">
              <w:rPr>
                <w:lang w:val="ro-RO"/>
              </w:rPr>
              <w:t>Luînd</w:t>
            </w:r>
            <w:proofErr w:type="spellEnd"/>
            <w:r w:rsidRPr="00A163A8">
              <w:rPr>
                <w:lang w:val="ro-RO"/>
              </w:rPr>
              <w:t xml:space="preserve"> în calcul atribuțiile și funcțiile propuse în proiectul de lege, este pertinentă următoarea structură instituțională:</w:t>
            </w:r>
          </w:p>
          <w:p w14:paraId="15162074" w14:textId="77777777" w:rsidR="00A96429" w:rsidRPr="00A163A8" w:rsidRDefault="00A96429" w:rsidP="00A96429">
            <w:pPr>
              <w:pStyle w:val="NormalWeb"/>
              <w:rPr>
                <w:lang w:val="ro-RO"/>
              </w:rPr>
            </w:pPr>
          </w:p>
          <w:p w14:paraId="0CE7AE80" w14:textId="1D94AFAD" w:rsidR="00A96429" w:rsidRPr="00A163A8" w:rsidRDefault="00A96429" w:rsidP="00A96429">
            <w:pPr>
              <w:pStyle w:val="NormalWeb"/>
              <w:rPr>
                <w:lang w:val="ro-RO"/>
              </w:rPr>
            </w:pPr>
            <w:r w:rsidRPr="00A163A8">
              <w:rPr>
                <w:noProof/>
                <w:lang w:val="ro-RO" w:eastAsia="ro-RO"/>
              </w:rPr>
              <w:drawing>
                <wp:inline distT="0" distB="0" distL="0" distR="0" wp14:anchorId="6C244B00" wp14:editId="6323E455">
                  <wp:extent cx="5311140" cy="1615440"/>
                  <wp:effectExtent l="0" t="0" r="0" b="6096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F1E2C5C" w14:textId="77777777" w:rsidR="00A96429" w:rsidRPr="00A163A8" w:rsidRDefault="00A96429" w:rsidP="00A96429">
            <w:pPr>
              <w:pStyle w:val="NormalWeb"/>
              <w:rPr>
                <w:lang w:val="ro-RO"/>
              </w:rPr>
            </w:pPr>
          </w:p>
          <w:p w14:paraId="33988051" w14:textId="7712952F" w:rsidR="00A96429" w:rsidRPr="00A163A8" w:rsidRDefault="0038625A" w:rsidP="0038625A">
            <w:pPr>
              <w:pStyle w:val="NormalWeb"/>
              <w:ind w:firstLine="514"/>
              <w:rPr>
                <w:lang w:val="ro-RO"/>
              </w:rPr>
            </w:pPr>
            <w:r w:rsidRPr="00A163A8">
              <w:rPr>
                <w:lang w:val="ro-RO"/>
              </w:rPr>
              <w:t xml:space="preserve">Cheltuielile anuale pentru resurse umane sunt analizate reieșind din structura organizatorică a entității, calculate conform prevederilor Legii nr.270/2018 privind sistemul unitar de salarizare în sectorul bugetar. Totodată </w:t>
            </w:r>
            <w:r w:rsidRPr="00A163A8">
              <w:rPr>
                <w:rFonts w:eastAsia="Times New Roman"/>
                <w:lang w:val="ro-RO"/>
              </w:rPr>
              <w:t>cheltuielile operaționale și de întreținere sunt raportate la numărul de personal implicat în activitatea instituție și au fost stabilite inclusiv în corespundere cu cheltuielile reflectate la instituții similare</w:t>
            </w:r>
            <w:r w:rsidRPr="00A163A8">
              <w:rPr>
                <w:rStyle w:val="FootnoteReference"/>
                <w:rFonts w:eastAsia="Times New Roman"/>
                <w:lang w:val="ro-RO"/>
              </w:rPr>
              <w:footnoteReference w:id="16"/>
            </w:r>
            <w:r w:rsidRPr="00A163A8">
              <w:rPr>
                <w:rFonts w:eastAsia="Times New Roman"/>
                <w:lang w:val="ro-RO"/>
              </w:rPr>
              <w:t>.</w:t>
            </w:r>
            <w:r w:rsidR="0078371B" w:rsidRPr="00A163A8">
              <w:rPr>
                <w:rFonts w:eastAsia="Times New Roman"/>
                <w:lang w:val="ro-RO"/>
              </w:rPr>
              <w:t xml:space="preserve"> Astfel pentru întreținerea entității avocatului antreprenorilor sunt necesare următoarele cheltuieli:</w:t>
            </w:r>
          </w:p>
          <w:tbl>
            <w:tblPr>
              <w:tblpPr w:leftFromText="180" w:rightFromText="180" w:vertAnchor="text" w:horzAnchor="margin" w:tblpXSpec="center" w:tblpY="494"/>
              <w:tblOverlap w:val="never"/>
              <w:tblW w:w="4000" w:type="pct"/>
              <w:tblCellMar>
                <w:top w:w="15" w:type="dxa"/>
                <w:left w:w="15" w:type="dxa"/>
                <w:bottom w:w="15" w:type="dxa"/>
                <w:right w:w="15" w:type="dxa"/>
              </w:tblCellMar>
              <w:tblLook w:val="04A0" w:firstRow="1" w:lastRow="0" w:firstColumn="1" w:lastColumn="0" w:noHBand="0" w:noVBand="1"/>
            </w:tblPr>
            <w:tblGrid>
              <w:gridCol w:w="384"/>
              <w:gridCol w:w="7168"/>
              <w:gridCol w:w="745"/>
            </w:tblGrid>
            <w:tr w:rsidR="0038625A" w:rsidRPr="00A163A8" w14:paraId="5C0E3F84" w14:textId="77777777" w:rsidTr="0078371B">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9BB9ED" w14:textId="77777777" w:rsidR="0038625A" w:rsidRPr="00A163A8" w:rsidRDefault="0038625A" w:rsidP="0038625A">
                  <w:pPr>
                    <w:jc w:val="center"/>
                    <w:rPr>
                      <w:rFonts w:eastAsia="Times New Roman"/>
                      <w:sz w:val="22"/>
                      <w:szCs w:val="22"/>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388107" w14:textId="77777777" w:rsidR="0038625A" w:rsidRPr="00A163A8" w:rsidRDefault="0038625A" w:rsidP="0038625A">
                  <w:pPr>
                    <w:rPr>
                      <w:rFonts w:eastAsia="Times New Roman"/>
                      <w:sz w:val="22"/>
                      <w:szCs w:val="22"/>
                      <w:lang w:val="ro-RO"/>
                    </w:rPr>
                  </w:pPr>
                  <w:r w:rsidRPr="00A163A8">
                    <w:rPr>
                      <w:rFonts w:eastAsia="Times New Roman"/>
                      <w:b/>
                      <w:bCs/>
                      <w:sz w:val="22"/>
                      <w:szCs w:val="22"/>
                      <w:lang w:val="ro-RO"/>
                    </w:rPr>
                    <w:t>CHELTUIELI, total, mii lei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BAD1C5" w14:textId="77777777" w:rsidR="0038625A" w:rsidRPr="00A163A8" w:rsidRDefault="0038625A" w:rsidP="0038625A">
                  <w:pPr>
                    <w:jc w:val="right"/>
                    <w:rPr>
                      <w:rFonts w:eastAsia="Times New Roman"/>
                      <w:sz w:val="22"/>
                      <w:szCs w:val="22"/>
                      <w:lang w:val="ro-RO"/>
                    </w:rPr>
                  </w:pPr>
                  <w:r w:rsidRPr="00A163A8">
                    <w:rPr>
                      <w:rFonts w:eastAsia="Times New Roman"/>
                      <w:b/>
                      <w:bCs/>
                      <w:sz w:val="22"/>
                      <w:szCs w:val="22"/>
                      <w:lang w:val="ro-RO"/>
                    </w:rPr>
                    <w:t>2276,5</w:t>
                  </w:r>
                </w:p>
              </w:tc>
            </w:tr>
            <w:tr w:rsidR="0038625A" w:rsidRPr="00A163A8" w14:paraId="15ADD424" w14:textId="77777777" w:rsidTr="0078371B">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A799B3" w14:textId="77777777" w:rsidR="0038625A" w:rsidRPr="00A163A8" w:rsidRDefault="0038625A" w:rsidP="0038625A">
                  <w:pPr>
                    <w:jc w:val="center"/>
                    <w:rPr>
                      <w:rFonts w:eastAsia="Times New Roman"/>
                      <w:sz w:val="22"/>
                      <w:szCs w:val="22"/>
                      <w:lang w:val="ro-RO"/>
                    </w:rPr>
                  </w:pPr>
                  <w:r w:rsidRPr="00A163A8">
                    <w:rPr>
                      <w:rFonts w:eastAsia="Times New Roman"/>
                      <w:sz w:val="22"/>
                      <w:szCs w:val="22"/>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C02D57" w14:textId="77777777" w:rsidR="0038625A" w:rsidRPr="00A163A8" w:rsidRDefault="0038625A" w:rsidP="0038625A">
                  <w:pPr>
                    <w:rPr>
                      <w:rFonts w:eastAsia="Times New Roman"/>
                      <w:sz w:val="22"/>
                      <w:szCs w:val="22"/>
                      <w:lang w:val="ro-RO"/>
                    </w:rPr>
                  </w:pPr>
                  <w:r w:rsidRPr="00A163A8">
                    <w:rPr>
                      <w:rFonts w:eastAsia="Times New Roman"/>
                      <w:sz w:val="22"/>
                      <w:szCs w:val="22"/>
                      <w:lang w:val="ro-RO"/>
                    </w:rPr>
                    <w:t>Cheltuieli de personal (remunerarea muncii, contribuţii de asigurări sociale de stat obligatorii şi prime de asigurări obligatorii de asistenţă medicală)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9816C1" w14:textId="77777777" w:rsidR="0038625A" w:rsidRPr="00A163A8" w:rsidRDefault="0038625A" w:rsidP="0038625A">
                  <w:pPr>
                    <w:jc w:val="right"/>
                    <w:rPr>
                      <w:rFonts w:eastAsia="Times New Roman"/>
                      <w:sz w:val="22"/>
                      <w:szCs w:val="22"/>
                      <w:lang w:val="ro-RO"/>
                    </w:rPr>
                  </w:pPr>
                  <w:r w:rsidRPr="00A163A8">
                    <w:rPr>
                      <w:rFonts w:eastAsia="Times New Roman"/>
                      <w:sz w:val="22"/>
                      <w:szCs w:val="22"/>
                      <w:lang w:val="ro-RO"/>
                    </w:rPr>
                    <w:t>1955,1</w:t>
                  </w:r>
                </w:p>
              </w:tc>
            </w:tr>
            <w:tr w:rsidR="0078371B" w:rsidRPr="00D171DB" w14:paraId="3710BDF9" w14:textId="77777777" w:rsidTr="00090118">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DC7E0D" w14:textId="77777777" w:rsidR="0078371B" w:rsidRPr="00A163A8" w:rsidRDefault="0078371B" w:rsidP="0038625A">
                  <w:pPr>
                    <w:jc w:val="center"/>
                    <w:rPr>
                      <w:rFonts w:eastAsia="Times New Roman"/>
                      <w:sz w:val="22"/>
                      <w:szCs w:val="22"/>
                      <w:lang w:val="ro-RO"/>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BD5650" w14:textId="77777777" w:rsidR="0078371B" w:rsidRPr="00A163A8" w:rsidRDefault="0078371B" w:rsidP="00DF5602">
                  <w:pPr>
                    <w:pStyle w:val="NormalWeb"/>
                    <w:ind w:firstLine="130"/>
                    <w:rPr>
                      <w:sz w:val="22"/>
                      <w:szCs w:val="22"/>
                      <w:lang w:val="ro-RO"/>
                    </w:rPr>
                  </w:pPr>
                  <w:r w:rsidRPr="00A163A8">
                    <w:rPr>
                      <w:sz w:val="22"/>
                      <w:szCs w:val="22"/>
                      <w:lang w:val="ro-RO"/>
                    </w:rPr>
                    <w:t>Ombudsman – 1 persoană, cu salariul lunar de 17000 lei</w:t>
                  </w:r>
                </w:p>
                <w:p w14:paraId="4BA4F86E" w14:textId="5FC16694" w:rsidR="0078371B" w:rsidRPr="00A163A8" w:rsidRDefault="00DF5602" w:rsidP="00DF5602">
                  <w:pPr>
                    <w:pStyle w:val="NormalWeb"/>
                    <w:ind w:firstLine="130"/>
                    <w:rPr>
                      <w:sz w:val="22"/>
                      <w:szCs w:val="22"/>
                      <w:lang w:val="ro-RO"/>
                    </w:rPr>
                  </w:pPr>
                  <w:r w:rsidRPr="00A163A8">
                    <w:rPr>
                      <w:sz w:val="22"/>
                      <w:szCs w:val="22"/>
                      <w:lang w:val="ro-RO"/>
                    </w:rPr>
                    <w:t xml:space="preserve">3 Direcții </w:t>
                  </w:r>
                  <w:r w:rsidR="0078371B" w:rsidRPr="00A163A8">
                    <w:rPr>
                      <w:sz w:val="22"/>
                      <w:szCs w:val="22"/>
                      <w:lang w:val="ro-RO"/>
                    </w:rPr>
                    <w:t>– 2 pers. (șef direcție, consultant) cu salariile lunare de 11000 lei și 7000 lei</w:t>
                  </w:r>
                </w:p>
                <w:p w14:paraId="12DB64BD" w14:textId="77777777" w:rsidR="0078371B" w:rsidRPr="00A163A8" w:rsidRDefault="0078371B" w:rsidP="00DF5602">
                  <w:pPr>
                    <w:pStyle w:val="NormalWeb"/>
                    <w:ind w:firstLine="130"/>
                    <w:rPr>
                      <w:sz w:val="22"/>
                      <w:szCs w:val="22"/>
                      <w:lang w:val="ro-RO"/>
                    </w:rPr>
                  </w:pPr>
                  <w:r w:rsidRPr="00A163A8">
                    <w:rPr>
                      <w:sz w:val="22"/>
                      <w:szCs w:val="22"/>
                      <w:lang w:val="ro-RO"/>
                    </w:rPr>
                    <w:t>Reprezentanți în teritoriu (nord și sud) – 2 persoane cu salariile lunare de 11000lei</w:t>
                  </w:r>
                </w:p>
                <w:p w14:paraId="05B452CC" w14:textId="77777777" w:rsidR="0078371B" w:rsidRPr="00A163A8" w:rsidRDefault="0078371B" w:rsidP="00DF5602">
                  <w:pPr>
                    <w:pStyle w:val="NormalWeb"/>
                    <w:ind w:firstLine="130"/>
                    <w:rPr>
                      <w:sz w:val="22"/>
                      <w:szCs w:val="22"/>
                      <w:lang w:val="ro-RO"/>
                    </w:rPr>
                  </w:pPr>
                  <w:r w:rsidRPr="00A163A8">
                    <w:rPr>
                      <w:sz w:val="22"/>
                      <w:szCs w:val="22"/>
                      <w:lang w:val="ro-RO"/>
                    </w:rPr>
                    <w:t>Secția juridică (reprezentare în instanță) – 2 persoane, cu salariile lunare de 10000 lei</w:t>
                  </w:r>
                </w:p>
                <w:p w14:paraId="71D90F0F" w14:textId="77777777" w:rsidR="0078371B" w:rsidRPr="00A163A8" w:rsidRDefault="0078371B" w:rsidP="00DF5602">
                  <w:pPr>
                    <w:pStyle w:val="NormalWeb"/>
                    <w:ind w:firstLine="130"/>
                    <w:rPr>
                      <w:sz w:val="22"/>
                      <w:szCs w:val="22"/>
                      <w:lang w:val="ro-RO"/>
                    </w:rPr>
                  </w:pPr>
                  <w:r w:rsidRPr="00A163A8">
                    <w:rPr>
                      <w:sz w:val="22"/>
                      <w:szCs w:val="22"/>
                      <w:lang w:val="ro-RO"/>
                    </w:rPr>
                    <w:t>Secția administrativ-financiară – 2 persoane cu salariile lunare de 8000 lei și 5000lei</w:t>
                  </w:r>
                </w:p>
                <w:p w14:paraId="2F23A012" w14:textId="77777777" w:rsidR="0078371B" w:rsidRPr="00A163A8" w:rsidRDefault="0078371B" w:rsidP="00DF5602">
                  <w:pPr>
                    <w:pStyle w:val="NormalWeb"/>
                    <w:ind w:firstLine="130"/>
                    <w:rPr>
                      <w:sz w:val="22"/>
                      <w:szCs w:val="22"/>
                      <w:lang w:val="ro-RO"/>
                    </w:rPr>
                  </w:pPr>
                  <w:r w:rsidRPr="00A163A8">
                    <w:rPr>
                      <w:sz w:val="22"/>
                      <w:szCs w:val="22"/>
                      <w:lang w:val="ro-RO"/>
                    </w:rPr>
                    <w:t>Secretariat – 1 persoană cu salariul lunar de 4000 lei</w:t>
                  </w:r>
                </w:p>
                <w:p w14:paraId="22A535E1" w14:textId="5980067A" w:rsidR="0078371B" w:rsidRPr="00A163A8" w:rsidRDefault="0078371B" w:rsidP="00DF5602">
                  <w:pPr>
                    <w:pStyle w:val="NormalWeb"/>
                    <w:ind w:firstLine="130"/>
                    <w:rPr>
                      <w:rFonts w:eastAsia="Times New Roman"/>
                      <w:sz w:val="22"/>
                      <w:szCs w:val="22"/>
                      <w:lang w:val="ro-RO"/>
                    </w:rPr>
                  </w:pPr>
                  <w:r w:rsidRPr="00A163A8">
                    <w:rPr>
                      <w:sz w:val="22"/>
                      <w:szCs w:val="22"/>
                      <w:lang w:val="ro-RO"/>
                    </w:rPr>
                    <w:t>Șofer – 1 persoană cu salariul lunar de 3000 lei</w:t>
                  </w:r>
                </w:p>
              </w:tc>
            </w:tr>
            <w:tr w:rsidR="0038625A" w:rsidRPr="00A163A8" w14:paraId="308A7CCF" w14:textId="77777777" w:rsidTr="0078371B">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B01D74" w14:textId="77777777" w:rsidR="0038625A" w:rsidRPr="00A163A8" w:rsidRDefault="0038625A" w:rsidP="0038625A">
                  <w:pPr>
                    <w:jc w:val="center"/>
                    <w:rPr>
                      <w:rFonts w:eastAsia="Times New Roman"/>
                      <w:sz w:val="22"/>
                      <w:szCs w:val="22"/>
                      <w:lang w:val="ro-RO"/>
                    </w:rPr>
                  </w:pPr>
                  <w:r w:rsidRPr="00A163A8">
                    <w:rPr>
                      <w:rFonts w:eastAsia="Times New Roman"/>
                      <w:sz w:val="22"/>
                      <w:szCs w:val="22"/>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66C3B5" w14:textId="77777777" w:rsidR="0038625A" w:rsidRPr="00A163A8" w:rsidRDefault="0038625A" w:rsidP="0038625A">
                  <w:pPr>
                    <w:rPr>
                      <w:rFonts w:eastAsia="Times New Roman"/>
                      <w:sz w:val="22"/>
                      <w:szCs w:val="22"/>
                      <w:lang w:val="ro-RO"/>
                    </w:rPr>
                  </w:pPr>
                  <w:r w:rsidRPr="00A163A8">
                    <w:rPr>
                      <w:rFonts w:eastAsia="Times New Roman"/>
                      <w:b/>
                      <w:bCs/>
                      <w:sz w:val="22"/>
                      <w:szCs w:val="22"/>
                      <w:lang w:val="ro-RO"/>
                    </w:rPr>
                    <w:t>Cheltuieli curente, inclusiv: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6EC50E" w14:textId="77777777" w:rsidR="0038625A" w:rsidRPr="00A163A8" w:rsidRDefault="0038625A" w:rsidP="0038625A">
                  <w:pPr>
                    <w:jc w:val="right"/>
                    <w:rPr>
                      <w:rFonts w:eastAsia="Times New Roman"/>
                      <w:sz w:val="22"/>
                      <w:szCs w:val="22"/>
                      <w:lang w:val="ro-RO"/>
                    </w:rPr>
                  </w:pPr>
                  <w:r w:rsidRPr="00A163A8">
                    <w:rPr>
                      <w:rFonts w:eastAsia="Times New Roman"/>
                      <w:b/>
                      <w:bCs/>
                      <w:sz w:val="22"/>
                      <w:szCs w:val="22"/>
                      <w:lang w:val="ro-RO"/>
                    </w:rPr>
                    <w:t>321,4</w:t>
                  </w:r>
                </w:p>
              </w:tc>
            </w:tr>
            <w:tr w:rsidR="0038625A" w:rsidRPr="00A163A8" w14:paraId="32EE7222" w14:textId="77777777" w:rsidTr="0078371B">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E2D90E" w14:textId="77777777" w:rsidR="0038625A" w:rsidRPr="00A163A8" w:rsidRDefault="0038625A" w:rsidP="0038625A">
                  <w:pPr>
                    <w:jc w:val="center"/>
                    <w:rPr>
                      <w:rFonts w:eastAsia="Times New Roman"/>
                      <w:sz w:val="22"/>
                      <w:szCs w:val="22"/>
                      <w:lang w:val="ro-RO"/>
                    </w:rPr>
                  </w:pPr>
                  <w:r w:rsidRPr="00A163A8">
                    <w:rPr>
                      <w:rFonts w:eastAsia="Times New Roman"/>
                      <w:sz w:val="22"/>
                      <w:szCs w:val="22"/>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ADCF57" w14:textId="77777777" w:rsidR="0038625A" w:rsidRPr="00A163A8" w:rsidRDefault="0038625A" w:rsidP="0038625A">
                  <w:pPr>
                    <w:rPr>
                      <w:rFonts w:eastAsia="Times New Roman"/>
                      <w:sz w:val="22"/>
                      <w:szCs w:val="22"/>
                      <w:lang w:val="ro-RO"/>
                    </w:rPr>
                  </w:pPr>
                  <w:r w:rsidRPr="00A163A8">
                    <w:rPr>
                      <w:rFonts w:eastAsia="Times New Roman"/>
                      <w:sz w:val="22"/>
                      <w:szCs w:val="22"/>
                      <w:lang w:val="ro-RO"/>
                    </w:rPr>
                    <w:t>Cheltuieli pentru achitarea serviciilor de locaţiune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F833F8" w14:textId="77777777" w:rsidR="0038625A" w:rsidRPr="00A163A8" w:rsidRDefault="0038625A" w:rsidP="0038625A">
                  <w:pPr>
                    <w:jc w:val="right"/>
                    <w:rPr>
                      <w:rFonts w:eastAsia="Times New Roman"/>
                      <w:sz w:val="22"/>
                      <w:szCs w:val="22"/>
                      <w:lang w:val="ro-RO"/>
                    </w:rPr>
                  </w:pPr>
                  <w:r w:rsidRPr="00A163A8">
                    <w:rPr>
                      <w:rFonts w:eastAsia="Times New Roman"/>
                      <w:sz w:val="22"/>
                      <w:szCs w:val="22"/>
                      <w:lang w:val="ro-RO"/>
                    </w:rPr>
                    <w:t>205,2</w:t>
                  </w:r>
                </w:p>
              </w:tc>
            </w:tr>
            <w:tr w:rsidR="0038625A" w:rsidRPr="00A163A8" w14:paraId="138FD4B8" w14:textId="77777777" w:rsidTr="0078371B">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9D4F4F" w14:textId="77777777" w:rsidR="0038625A" w:rsidRPr="00A163A8" w:rsidRDefault="0038625A" w:rsidP="0038625A">
                  <w:pPr>
                    <w:jc w:val="center"/>
                    <w:rPr>
                      <w:rFonts w:eastAsia="Times New Roman"/>
                      <w:sz w:val="22"/>
                      <w:szCs w:val="22"/>
                      <w:lang w:val="ro-RO"/>
                    </w:rPr>
                  </w:pPr>
                  <w:r w:rsidRPr="00A163A8">
                    <w:rPr>
                      <w:rFonts w:eastAsia="Times New Roman"/>
                      <w:sz w:val="22"/>
                      <w:szCs w:val="22"/>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F82BB8" w14:textId="77777777" w:rsidR="0038625A" w:rsidRPr="00A163A8" w:rsidRDefault="0038625A" w:rsidP="0038625A">
                  <w:pPr>
                    <w:rPr>
                      <w:rFonts w:eastAsia="Times New Roman"/>
                      <w:sz w:val="22"/>
                      <w:szCs w:val="22"/>
                      <w:lang w:val="ro-RO"/>
                    </w:rPr>
                  </w:pPr>
                  <w:r w:rsidRPr="00A163A8">
                    <w:rPr>
                      <w:rFonts w:eastAsia="Times New Roman"/>
                      <w:sz w:val="22"/>
                      <w:szCs w:val="22"/>
                      <w:lang w:val="ro-RO"/>
                    </w:rPr>
                    <w:t xml:space="preserve">Cheltuieli pentru procurarea stocurilor de: </w:t>
                  </w:r>
                </w:p>
                <w:p w14:paraId="24B1F728" w14:textId="77777777" w:rsidR="0038625A" w:rsidRPr="00A163A8" w:rsidRDefault="0038625A" w:rsidP="0038625A">
                  <w:pPr>
                    <w:rPr>
                      <w:rFonts w:eastAsia="Times New Roman"/>
                      <w:sz w:val="22"/>
                      <w:szCs w:val="22"/>
                      <w:lang w:val="ro-RO"/>
                    </w:rPr>
                  </w:pPr>
                  <w:r w:rsidRPr="00A163A8">
                    <w:rPr>
                      <w:rFonts w:eastAsia="Times New Roman"/>
                      <w:sz w:val="22"/>
                      <w:szCs w:val="22"/>
                      <w:lang w:val="ro-RO"/>
                    </w:rPr>
                    <w:t xml:space="preserve">- materiale de uz gospodăresc şi rechizite de birou (hârtie, mape pentru documente, suport pentru dosare, stilouri, creioane, radiere, markere, tonere, </w:t>
                  </w:r>
                  <w:proofErr w:type="spellStart"/>
                  <w:r w:rsidRPr="00A163A8">
                    <w:rPr>
                      <w:rFonts w:eastAsia="Times New Roman"/>
                      <w:sz w:val="22"/>
                      <w:szCs w:val="22"/>
                      <w:lang w:val="ro-RO"/>
                    </w:rPr>
                    <w:t>coolere</w:t>
                  </w:r>
                  <w:proofErr w:type="spellEnd"/>
                  <w:r w:rsidRPr="00A163A8">
                    <w:rPr>
                      <w:rFonts w:eastAsia="Times New Roman"/>
                      <w:sz w:val="22"/>
                      <w:szCs w:val="22"/>
                      <w:lang w:val="ro-RO"/>
                    </w:rPr>
                    <w:t xml:space="preserve">); </w:t>
                  </w:r>
                </w:p>
                <w:p w14:paraId="5A63792E" w14:textId="77777777" w:rsidR="0038625A" w:rsidRPr="00A163A8" w:rsidRDefault="0038625A" w:rsidP="0038625A">
                  <w:pPr>
                    <w:rPr>
                      <w:rFonts w:eastAsia="Times New Roman"/>
                      <w:sz w:val="22"/>
                      <w:szCs w:val="22"/>
                      <w:lang w:val="ro-RO"/>
                    </w:rPr>
                  </w:pPr>
                  <w:r w:rsidRPr="00A163A8">
                    <w:rPr>
                      <w:rFonts w:eastAsia="Times New Roman"/>
                      <w:sz w:val="22"/>
                      <w:szCs w:val="22"/>
                      <w:lang w:val="ro-RO"/>
                    </w:rPr>
                    <w:lastRenderedPageBreak/>
                    <w:t>- obiecte de inventar (masă de lucru)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2CD262" w14:textId="77777777" w:rsidR="0038625A" w:rsidRPr="00A163A8" w:rsidRDefault="0038625A" w:rsidP="0038625A">
                  <w:pPr>
                    <w:jc w:val="right"/>
                    <w:rPr>
                      <w:rFonts w:eastAsia="Times New Roman"/>
                      <w:sz w:val="22"/>
                      <w:szCs w:val="22"/>
                      <w:lang w:val="ro-RO"/>
                    </w:rPr>
                  </w:pPr>
                  <w:r w:rsidRPr="00A163A8">
                    <w:rPr>
                      <w:rFonts w:eastAsia="Times New Roman"/>
                      <w:sz w:val="22"/>
                      <w:szCs w:val="22"/>
                      <w:lang w:val="ro-RO"/>
                    </w:rPr>
                    <w:lastRenderedPageBreak/>
                    <w:t>10,6 2,0</w:t>
                  </w:r>
                </w:p>
              </w:tc>
            </w:tr>
            <w:tr w:rsidR="0038625A" w:rsidRPr="00A163A8" w14:paraId="2620B23A" w14:textId="77777777" w:rsidTr="0078371B">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E04587" w14:textId="77777777" w:rsidR="0038625A" w:rsidRPr="00A163A8" w:rsidRDefault="0038625A" w:rsidP="0038625A">
                  <w:pPr>
                    <w:jc w:val="center"/>
                    <w:rPr>
                      <w:rFonts w:eastAsia="Times New Roman"/>
                      <w:sz w:val="22"/>
                      <w:szCs w:val="22"/>
                      <w:lang w:val="ro-RO"/>
                    </w:rPr>
                  </w:pPr>
                  <w:r w:rsidRPr="00A163A8">
                    <w:rPr>
                      <w:rFonts w:eastAsia="Times New Roman"/>
                      <w:sz w:val="22"/>
                      <w:szCs w:val="22"/>
                      <w:lang w:val="ro-RO"/>
                    </w:rPr>
                    <w:lastRenderedPageBreak/>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D805BD" w14:textId="77777777" w:rsidR="0038625A" w:rsidRPr="00A163A8" w:rsidRDefault="0038625A" w:rsidP="0038625A">
                  <w:pPr>
                    <w:rPr>
                      <w:rFonts w:eastAsia="Times New Roman"/>
                      <w:sz w:val="22"/>
                      <w:szCs w:val="22"/>
                      <w:lang w:val="ro-RO"/>
                    </w:rPr>
                  </w:pPr>
                  <w:r w:rsidRPr="00A163A8">
                    <w:rPr>
                      <w:rFonts w:eastAsia="Times New Roman"/>
                      <w:sz w:val="22"/>
                      <w:szCs w:val="22"/>
                      <w:lang w:val="ro-RO"/>
                    </w:rPr>
                    <w:t>Cheltuieli pentru procurarea mijloacelor fixe (calculator)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60F841" w14:textId="77777777" w:rsidR="0038625A" w:rsidRPr="00A163A8" w:rsidRDefault="0038625A" w:rsidP="0038625A">
                  <w:pPr>
                    <w:jc w:val="right"/>
                    <w:rPr>
                      <w:rFonts w:eastAsia="Times New Roman"/>
                      <w:sz w:val="22"/>
                      <w:szCs w:val="22"/>
                      <w:lang w:val="ro-RO"/>
                    </w:rPr>
                  </w:pPr>
                  <w:r w:rsidRPr="00A163A8">
                    <w:rPr>
                      <w:rFonts w:eastAsia="Times New Roman"/>
                      <w:sz w:val="22"/>
                      <w:szCs w:val="22"/>
                      <w:lang w:val="ro-RO"/>
                    </w:rPr>
                    <w:t>16,0</w:t>
                  </w:r>
                </w:p>
              </w:tc>
            </w:tr>
            <w:tr w:rsidR="0038625A" w:rsidRPr="00A163A8" w14:paraId="655A590E" w14:textId="77777777" w:rsidTr="0078371B">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622207" w14:textId="77777777" w:rsidR="0038625A" w:rsidRPr="00A163A8" w:rsidRDefault="0038625A" w:rsidP="0038625A">
                  <w:pPr>
                    <w:jc w:val="center"/>
                    <w:rPr>
                      <w:rFonts w:eastAsia="Times New Roman"/>
                      <w:sz w:val="22"/>
                      <w:szCs w:val="22"/>
                      <w:lang w:val="ro-RO"/>
                    </w:rPr>
                  </w:pPr>
                  <w:r w:rsidRPr="00A163A8">
                    <w:rPr>
                      <w:rFonts w:eastAsia="Times New Roman"/>
                      <w:sz w:val="22"/>
                      <w:szCs w:val="22"/>
                      <w:lang w:val="ro-RO"/>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C040E9" w14:textId="77777777" w:rsidR="0038625A" w:rsidRPr="00A163A8" w:rsidRDefault="0038625A" w:rsidP="0038625A">
                  <w:pPr>
                    <w:rPr>
                      <w:rFonts w:eastAsia="Times New Roman"/>
                      <w:sz w:val="22"/>
                      <w:szCs w:val="22"/>
                      <w:lang w:val="ro-RO"/>
                    </w:rPr>
                  </w:pPr>
                  <w:r w:rsidRPr="00A163A8">
                    <w:rPr>
                      <w:rFonts w:eastAsia="Times New Roman"/>
                      <w:sz w:val="22"/>
                      <w:szCs w:val="22"/>
                      <w:lang w:val="ro-RO"/>
                    </w:rPr>
                    <w:t>Cheltuieli de consum (achitarea serviciilor de Internet şi telefonie fixă, procurarea apei potabile)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86E05F" w14:textId="77777777" w:rsidR="0038625A" w:rsidRPr="00A163A8" w:rsidRDefault="0038625A" w:rsidP="0038625A">
                  <w:pPr>
                    <w:jc w:val="right"/>
                    <w:rPr>
                      <w:rFonts w:eastAsia="Times New Roman"/>
                      <w:sz w:val="22"/>
                      <w:szCs w:val="22"/>
                      <w:lang w:val="ro-RO"/>
                    </w:rPr>
                  </w:pPr>
                  <w:r w:rsidRPr="00A163A8">
                    <w:rPr>
                      <w:rFonts w:eastAsia="Times New Roman"/>
                      <w:sz w:val="22"/>
                      <w:szCs w:val="22"/>
                      <w:lang w:val="ro-RO"/>
                    </w:rPr>
                    <w:t>8,4</w:t>
                  </w:r>
                </w:p>
              </w:tc>
            </w:tr>
            <w:tr w:rsidR="0038625A" w:rsidRPr="00A163A8" w14:paraId="01E86127" w14:textId="77777777" w:rsidTr="0078371B">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1755EF" w14:textId="77777777" w:rsidR="0038625A" w:rsidRPr="00A163A8" w:rsidRDefault="0038625A" w:rsidP="0038625A">
                  <w:pPr>
                    <w:jc w:val="center"/>
                    <w:rPr>
                      <w:rFonts w:eastAsia="Times New Roman"/>
                      <w:sz w:val="22"/>
                      <w:szCs w:val="22"/>
                      <w:lang w:val="ro-RO"/>
                    </w:rPr>
                  </w:pPr>
                  <w:r w:rsidRPr="00A163A8">
                    <w:rPr>
                      <w:rFonts w:eastAsia="Times New Roman"/>
                      <w:sz w:val="22"/>
                      <w:szCs w:val="22"/>
                      <w:lang w:val="ro-RO"/>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48A896" w14:textId="77777777" w:rsidR="0038625A" w:rsidRPr="00A163A8" w:rsidRDefault="0038625A" w:rsidP="0038625A">
                  <w:pPr>
                    <w:rPr>
                      <w:rFonts w:eastAsia="Times New Roman"/>
                      <w:sz w:val="22"/>
                      <w:szCs w:val="22"/>
                      <w:lang w:val="ro-RO"/>
                    </w:rPr>
                  </w:pPr>
                  <w:r w:rsidRPr="00A163A8">
                    <w:rPr>
                      <w:rFonts w:eastAsia="Times New Roman"/>
                      <w:sz w:val="22"/>
                      <w:szCs w:val="22"/>
                      <w:lang w:val="ro-RO"/>
                    </w:rPr>
                    <w:t>Cheltuieli pentru întreţinerea paginii web a entității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785882" w14:textId="77777777" w:rsidR="0038625A" w:rsidRPr="00A163A8" w:rsidRDefault="0038625A" w:rsidP="0038625A">
                  <w:pPr>
                    <w:jc w:val="right"/>
                    <w:rPr>
                      <w:rFonts w:eastAsia="Times New Roman"/>
                      <w:sz w:val="22"/>
                      <w:szCs w:val="22"/>
                      <w:lang w:val="ro-RO"/>
                    </w:rPr>
                  </w:pPr>
                  <w:r w:rsidRPr="00A163A8">
                    <w:rPr>
                      <w:rFonts w:eastAsia="Times New Roman"/>
                      <w:sz w:val="22"/>
                      <w:szCs w:val="22"/>
                      <w:lang w:val="ro-RO"/>
                    </w:rPr>
                    <w:t>36,0</w:t>
                  </w:r>
                </w:p>
              </w:tc>
            </w:tr>
            <w:tr w:rsidR="0038625A" w:rsidRPr="00A163A8" w14:paraId="5FBD4FF7" w14:textId="77777777" w:rsidTr="0078371B">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E3B443" w14:textId="77777777" w:rsidR="0038625A" w:rsidRPr="00A163A8" w:rsidRDefault="0038625A" w:rsidP="0038625A">
                  <w:pPr>
                    <w:jc w:val="center"/>
                    <w:rPr>
                      <w:rFonts w:eastAsia="Times New Roman"/>
                      <w:sz w:val="22"/>
                      <w:szCs w:val="22"/>
                      <w:lang w:val="ro-RO"/>
                    </w:rPr>
                  </w:pPr>
                  <w:r w:rsidRPr="00A163A8">
                    <w:rPr>
                      <w:rFonts w:eastAsia="Times New Roman"/>
                      <w:sz w:val="22"/>
                      <w:szCs w:val="22"/>
                      <w:lang w:val="ro-RO"/>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8756CB" w14:textId="77777777" w:rsidR="0038625A" w:rsidRPr="00A163A8" w:rsidRDefault="0038625A" w:rsidP="0038625A">
                  <w:pPr>
                    <w:rPr>
                      <w:rFonts w:eastAsia="Times New Roman"/>
                      <w:sz w:val="22"/>
                      <w:szCs w:val="22"/>
                      <w:lang w:val="ro-RO"/>
                    </w:rPr>
                  </w:pPr>
                  <w:r w:rsidRPr="00A163A8">
                    <w:rPr>
                      <w:rFonts w:eastAsia="Times New Roman"/>
                      <w:sz w:val="22"/>
                      <w:szCs w:val="22"/>
                      <w:lang w:val="ro-RO"/>
                    </w:rPr>
                    <w:t>Cheltuieli aferente întreţinerii programului informaţional „</w:t>
                  </w:r>
                  <w:proofErr w:type="spellStart"/>
                  <w:r w:rsidRPr="00A163A8">
                    <w:rPr>
                      <w:rFonts w:eastAsia="Times New Roman"/>
                      <w:sz w:val="22"/>
                      <w:szCs w:val="22"/>
                      <w:lang w:val="ro-RO"/>
                    </w:rPr>
                    <w:t>E-Lex</w:t>
                  </w:r>
                  <w:proofErr w:type="spellEnd"/>
                  <w:r w:rsidRPr="00A163A8">
                    <w:rPr>
                      <w:rFonts w:eastAsia="Times New Roman"/>
                      <w:sz w:val="22"/>
                      <w:szCs w:val="22"/>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197C2C" w14:textId="77777777" w:rsidR="0038625A" w:rsidRPr="00A163A8" w:rsidRDefault="0038625A" w:rsidP="0038625A">
                  <w:pPr>
                    <w:jc w:val="right"/>
                    <w:rPr>
                      <w:rFonts w:eastAsia="Times New Roman"/>
                      <w:sz w:val="22"/>
                      <w:szCs w:val="22"/>
                      <w:lang w:val="ro-RO"/>
                    </w:rPr>
                  </w:pPr>
                  <w:r w:rsidRPr="00A163A8">
                    <w:rPr>
                      <w:rFonts w:eastAsia="Times New Roman"/>
                      <w:sz w:val="22"/>
                      <w:szCs w:val="22"/>
                      <w:lang w:val="ro-RO"/>
                    </w:rPr>
                    <w:t>9,0</w:t>
                  </w:r>
                </w:p>
              </w:tc>
            </w:tr>
            <w:tr w:rsidR="0038625A" w:rsidRPr="00A163A8" w14:paraId="1B07EF02" w14:textId="77777777" w:rsidTr="0078371B">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B1A878" w14:textId="77777777" w:rsidR="0038625A" w:rsidRPr="00A163A8" w:rsidRDefault="0038625A" w:rsidP="0038625A">
                  <w:pPr>
                    <w:jc w:val="center"/>
                    <w:rPr>
                      <w:rFonts w:eastAsia="Times New Roman"/>
                      <w:sz w:val="22"/>
                      <w:szCs w:val="22"/>
                      <w:lang w:val="ro-RO"/>
                    </w:rPr>
                  </w:pPr>
                  <w:r w:rsidRPr="00A163A8">
                    <w:rPr>
                      <w:rFonts w:eastAsia="Times New Roman"/>
                      <w:sz w:val="22"/>
                      <w:szCs w:val="22"/>
                      <w:lang w:val="ro-RO"/>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98F975" w14:textId="77777777" w:rsidR="0038625A" w:rsidRPr="00A163A8" w:rsidRDefault="0038625A" w:rsidP="0038625A">
                  <w:pPr>
                    <w:rPr>
                      <w:rFonts w:eastAsia="Times New Roman"/>
                      <w:sz w:val="22"/>
                      <w:szCs w:val="22"/>
                      <w:lang w:val="ro-RO"/>
                    </w:rPr>
                  </w:pPr>
                  <w:r w:rsidRPr="00A163A8">
                    <w:rPr>
                      <w:rFonts w:eastAsia="Times New Roman"/>
                      <w:sz w:val="22"/>
                      <w:szCs w:val="22"/>
                      <w:lang w:val="ro-RO"/>
                    </w:rPr>
                    <w:t>Cheltuieli pentru achitarea serviciilor bancare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A6CCB3" w14:textId="77777777" w:rsidR="0038625A" w:rsidRPr="00A163A8" w:rsidRDefault="0038625A" w:rsidP="0038625A">
                  <w:pPr>
                    <w:jc w:val="right"/>
                    <w:rPr>
                      <w:rFonts w:eastAsia="Times New Roman"/>
                      <w:sz w:val="22"/>
                      <w:szCs w:val="22"/>
                      <w:lang w:val="ro-RO"/>
                    </w:rPr>
                  </w:pPr>
                  <w:r w:rsidRPr="00A163A8">
                    <w:rPr>
                      <w:rFonts w:eastAsia="Times New Roman"/>
                      <w:sz w:val="22"/>
                      <w:szCs w:val="22"/>
                      <w:lang w:val="ro-RO"/>
                    </w:rPr>
                    <w:t>10,0</w:t>
                  </w:r>
                </w:p>
              </w:tc>
            </w:tr>
            <w:tr w:rsidR="0038625A" w:rsidRPr="00A163A8" w14:paraId="5C0CD4C2" w14:textId="77777777" w:rsidTr="0078371B">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68DC7F" w14:textId="77777777" w:rsidR="0038625A" w:rsidRPr="00A163A8" w:rsidRDefault="0038625A" w:rsidP="0038625A">
                  <w:pPr>
                    <w:jc w:val="center"/>
                    <w:rPr>
                      <w:rFonts w:eastAsia="Times New Roman"/>
                      <w:sz w:val="22"/>
                      <w:szCs w:val="22"/>
                      <w:lang w:val="ro-RO"/>
                    </w:rPr>
                  </w:pPr>
                  <w:r w:rsidRPr="00A163A8">
                    <w:rPr>
                      <w:rFonts w:eastAsia="Times New Roman"/>
                      <w:sz w:val="22"/>
                      <w:szCs w:val="22"/>
                      <w:lang w:val="ro-RO"/>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DFB387" w14:textId="77777777" w:rsidR="0038625A" w:rsidRPr="00A163A8" w:rsidRDefault="0038625A" w:rsidP="0038625A">
                  <w:pPr>
                    <w:rPr>
                      <w:rFonts w:eastAsia="Times New Roman"/>
                      <w:sz w:val="22"/>
                      <w:szCs w:val="22"/>
                      <w:lang w:val="ro-RO"/>
                    </w:rPr>
                  </w:pPr>
                  <w:r w:rsidRPr="00A163A8">
                    <w:rPr>
                      <w:rFonts w:eastAsia="Times New Roman"/>
                      <w:sz w:val="22"/>
                      <w:szCs w:val="22"/>
                      <w:lang w:val="ro-RO"/>
                    </w:rPr>
                    <w:t>Cheltuieli aferente întreţinerii programului informaţional „</w:t>
                  </w:r>
                  <w:proofErr w:type="spellStart"/>
                  <w:r w:rsidRPr="00A163A8">
                    <w:rPr>
                      <w:rFonts w:eastAsia="Times New Roman"/>
                      <w:sz w:val="22"/>
                      <w:szCs w:val="22"/>
                      <w:lang w:val="ro-RO"/>
                    </w:rPr>
                    <w:t>Soft-Contabil</w:t>
                  </w:r>
                  <w:proofErr w:type="spellEnd"/>
                  <w:r w:rsidRPr="00A163A8">
                    <w:rPr>
                      <w:rFonts w:eastAsia="Times New Roman"/>
                      <w:sz w:val="22"/>
                      <w:szCs w:val="22"/>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F70F24" w14:textId="77777777" w:rsidR="0038625A" w:rsidRPr="00A163A8" w:rsidRDefault="0038625A" w:rsidP="0038625A">
                  <w:pPr>
                    <w:jc w:val="right"/>
                    <w:rPr>
                      <w:rFonts w:eastAsia="Times New Roman"/>
                      <w:sz w:val="22"/>
                      <w:szCs w:val="22"/>
                      <w:lang w:val="ro-RO"/>
                    </w:rPr>
                  </w:pPr>
                  <w:r w:rsidRPr="00A163A8">
                    <w:rPr>
                      <w:rFonts w:eastAsia="Times New Roman"/>
                      <w:sz w:val="22"/>
                      <w:szCs w:val="22"/>
                      <w:lang w:val="ro-RO"/>
                    </w:rPr>
                    <w:t>10,2</w:t>
                  </w:r>
                </w:p>
              </w:tc>
            </w:tr>
            <w:tr w:rsidR="0038625A" w:rsidRPr="00A163A8" w14:paraId="27540EE1" w14:textId="77777777" w:rsidTr="0078371B">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4AF9E7" w14:textId="77777777" w:rsidR="0038625A" w:rsidRPr="00A163A8" w:rsidRDefault="0038625A" w:rsidP="0038625A">
                  <w:pPr>
                    <w:jc w:val="center"/>
                    <w:rPr>
                      <w:rFonts w:eastAsia="Times New Roman"/>
                      <w:sz w:val="22"/>
                      <w:szCs w:val="22"/>
                      <w:lang w:val="ro-RO"/>
                    </w:rPr>
                  </w:pPr>
                  <w:r w:rsidRPr="00A163A8">
                    <w:rPr>
                      <w:rFonts w:eastAsia="Times New Roman"/>
                      <w:sz w:val="22"/>
                      <w:szCs w:val="22"/>
                      <w:lang w:val="ro-RO"/>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62148C" w14:textId="77777777" w:rsidR="0038625A" w:rsidRPr="00A163A8" w:rsidRDefault="0038625A" w:rsidP="0038625A">
                  <w:pPr>
                    <w:rPr>
                      <w:rFonts w:eastAsia="Times New Roman"/>
                      <w:sz w:val="22"/>
                      <w:szCs w:val="22"/>
                      <w:lang w:val="ro-RO"/>
                    </w:rPr>
                  </w:pPr>
                  <w:r w:rsidRPr="00A163A8">
                    <w:rPr>
                      <w:rFonts w:eastAsia="Times New Roman"/>
                      <w:sz w:val="22"/>
                      <w:szCs w:val="22"/>
                      <w:lang w:val="ro-RO"/>
                    </w:rPr>
                    <w:t>Cheltuieli aferente formării profesionale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BAFBA1" w14:textId="77777777" w:rsidR="0038625A" w:rsidRPr="00A163A8" w:rsidRDefault="0038625A" w:rsidP="0038625A">
                  <w:pPr>
                    <w:jc w:val="right"/>
                    <w:rPr>
                      <w:rFonts w:eastAsia="Times New Roman"/>
                      <w:sz w:val="22"/>
                      <w:szCs w:val="22"/>
                      <w:lang w:val="ro-RO"/>
                    </w:rPr>
                  </w:pPr>
                  <w:r w:rsidRPr="00A163A8">
                    <w:rPr>
                      <w:rFonts w:eastAsia="Times New Roman"/>
                      <w:sz w:val="22"/>
                      <w:szCs w:val="22"/>
                      <w:lang w:val="ro-RO"/>
                    </w:rPr>
                    <w:t>4,0</w:t>
                  </w:r>
                </w:p>
              </w:tc>
            </w:tr>
            <w:tr w:rsidR="0038625A" w:rsidRPr="00D171DB" w14:paraId="2961DF06" w14:textId="77777777" w:rsidTr="0078371B">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CB9AD7" w14:textId="77777777" w:rsidR="0038625A" w:rsidRPr="00A163A8" w:rsidRDefault="0038625A" w:rsidP="0038625A">
                  <w:pPr>
                    <w:jc w:val="center"/>
                    <w:rPr>
                      <w:rFonts w:eastAsia="Times New Roman"/>
                      <w:sz w:val="22"/>
                      <w:szCs w:val="22"/>
                      <w:lang w:val="ro-RO"/>
                    </w:rPr>
                  </w:pPr>
                  <w:r w:rsidRPr="00A163A8">
                    <w:rPr>
                      <w:rFonts w:eastAsia="Times New Roman"/>
                      <w:sz w:val="22"/>
                      <w:szCs w:val="22"/>
                      <w:lang w:val="ro-RO"/>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00006C" w14:textId="77777777" w:rsidR="0038625A" w:rsidRPr="00A163A8" w:rsidRDefault="0038625A" w:rsidP="0038625A">
                  <w:pPr>
                    <w:rPr>
                      <w:rFonts w:eastAsia="Times New Roman"/>
                      <w:sz w:val="22"/>
                      <w:szCs w:val="22"/>
                      <w:lang w:val="ro-RO"/>
                    </w:rPr>
                  </w:pPr>
                  <w:r w:rsidRPr="00A163A8">
                    <w:rPr>
                      <w:rFonts w:eastAsia="Times New Roman"/>
                      <w:sz w:val="22"/>
                      <w:szCs w:val="22"/>
                      <w:lang w:val="ro-RO"/>
                    </w:rPr>
                    <w:t>Cheltuieli aferente deplasărilor în interes de serviciu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1D12AA" w14:textId="77777777" w:rsidR="0038625A" w:rsidRPr="00A163A8" w:rsidRDefault="0038625A" w:rsidP="0038625A">
                  <w:pPr>
                    <w:jc w:val="right"/>
                    <w:rPr>
                      <w:rFonts w:eastAsia="Times New Roman"/>
                      <w:sz w:val="22"/>
                      <w:szCs w:val="22"/>
                      <w:lang w:val="ro-RO"/>
                    </w:rPr>
                  </w:pPr>
                  <w:r w:rsidRPr="00A163A8">
                    <w:rPr>
                      <w:rFonts w:eastAsia="Times New Roman"/>
                      <w:sz w:val="22"/>
                      <w:szCs w:val="22"/>
                      <w:lang w:val="ro-RO"/>
                    </w:rPr>
                    <w:t>10,0</w:t>
                  </w:r>
                </w:p>
              </w:tc>
            </w:tr>
            <w:tr w:rsidR="0038625A" w:rsidRPr="00D171DB" w14:paraId="1EF2C39F" w14:textId="77777777" w:rsidTr="0078371B">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B5A5CC" w14:textId="77777777" w:rsidR="0038625A" w:rsidRPr="00A163A8" w:rsidRDefault="0038625A" w:rsidP="0038625A">
                  <w:pPr>
                    <w:jc w:val="center"/>
                    <w:rPr>
                      <w:rFonts w:eastAsia="Times New Roman"/>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A65AEE" w14:textId="77777777" w:rsidR="0038625A" w:rsidRPr="00A163A8" w:rsidRDefault="0038625A" w:rsidP="0038625A">
                  <w:pPr>
                    <w:rPr>
                      <w:rFonts w:eastAsia="Times New Roman"/>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FB0B71" w14:textId="77777777" w:rsidR="0038625A" w:rsidRPr="00A163A8" w:rsidRDefault="0038625A" w:rsidP="0038625A">
                  <w:pPr>
                    <w:jc w:val="right"/>
                    <w:rPr>
                      <w:rFonts w:eastAsia="Times New Roman"/>
                      <w:sz w:val="20"/>
                      <w:szCs w:val="20"/>
                      <w:lang w:val="ro-RO"/>
                    </w:rPr>
                  </w:pPr>
                </w:p>
              </w:tc>
            </w:tr>
          </w:tbl>
          <w:p w14:paraId="79A75414" w14:textId="77777777" w:rsidR="00777802" w:rsidRPr="00A163A8" w:rsidRDefault="00777802" w:rsidP="00465FC2">
            <w:pPr>
              <w:pStyle w:val="NormalWeb"/>
              <w:ind w:firstLine="0"/>
              <w:rPr>
                <w:sz w:val="20"/>
                <w:szCs w:val="20"/>
                <w:lang w:val="ro-RO"/>
              </w:rPr>
            </w:pPr>
          </w:p>
          <w:p w14:paraId="23517A8E" w14:textId="77777777" w:rsidR="00777802" w:rsidRPr="00A163A8" w:rsidRDefault="00777802" w:rsidP="007019CD">
            <w:pPr>
              <w:pStyle w:val="NormalWeb"/>
              <w:rPr>
                <w:sz w:val="20"/>
                <w:szCs w:val="20"/>
                <w:lang w:val="ro-RO"/>
              </w:rPr>
            </w:pPr>
          </w:p>
          <w:p w14:paraId="6106510B" w14:textId="77777777" w:rsidR="00777802" w:rsidRPr="00A163A8" w:rsidRDefault="00777802" w:rsidP="007019CD">
            <w:pPr>
              <w:pStyle w:val="NormalWeb"/>
              <w:rPr>
                <w:sz w:val="20"/>
                <w:szCs w:val="20"/>
                <w:lang w:val="ro-RO"/>
              </w:rPr>
            </w:pPr>
          </w:p>
          <w:p w14:paraId="4A5FF05B" w14:textId="77777777" w:rsidR="00777802" w:rsidRPr="00A163A8" w:rsidRDefault="00777802" w:rsidP="007019CD">
            <w:pPr>
              <w:pStyle w:val="NormalWeb"/>
              <w:rPr>
                <w:sz w:val="20"/>
                <w:szCs w:val="20"/>
                <w:lang w:val="ro-RO"/>
              </w:rPr>
            </w:pPr>
          </w:p>
          <w:p w14:paraId="5D94B956" w14:textId="77777777" w:rsidR="00777802" w:rsidRPr="00A163A8" w:rsidRDefault="00777802" w:rsidP="007019CD">
            <w:pPr>
              <w:pStyle w:val="NormalWeb"/>
              <w:rPr>
                <w:sz w:val="20"/>
                <w:szCs w:val="20"/>
                <w:lang w:val="ro-RO"/>
              </w:rPr>
            </w:pPr>
          </w:p>
          <w:p w14:paraId="2D96EFC3" w14:textId="77777777" w:rsidR="00777802" w:rsidRPr="00A163A8" w:rsidRDefault="00777802" w:rsidP="007019CD">
            <w:pPr>
              <w:pStyle w:val="NormalWeb"/>
              <w:rPr>
                <w:sz w:val="20"/>
                <w:szCs w:val="20"/>
                <w:lang w:val="ro-RO"/>
              </w:rPr>
            </w:pPr>
          </w:p>
          <w:p w14:paraId="1278C550" w14:textId="77777777" w:rsidR="00777802" w:rsidRPr="00A163A8" w:rsidRDefault="00777802" w:rsidP="007019CD">
            <w:pPr>
              <w:pStyle w:val="NormalWeb"/>
              <w:rPr>
                <w:sz w:val="20"/>
                <w:szCs w:val="20"/>
                <w:lang w:val="ro-RO"/>
              </w:rPr>
            </w:pPr>
          </w:p>
          <w:p w14:paraId="3E364DC1" w14:textId="77777777" w:rsidR="00777802" w:rsidRPr="00A163A8" w:rsidRDefault="00777802" w:rsidP="007019CD">
            <w:pPr>
              <w:pStyle w:val="NormalWeb"/>
              <w:rPr>
                <w:sz w:val="20"/>
                <w:szCs w:val="20"/>
                <w:lang w:val="ro-RO"/>
              </w:rPr>
            </w:pPr>
          </w:p>
          <w:p w14:paraId="4451A7B9" w14:textId="77777777" w:rsidR="00777802" w:rsidRPr="00A163A8" w:rsidRDefault="00777802" w:rsidP="007019CD">
            <w:pPr>
              <w:pStyle w:val="NormalWeb"/>
              <w:rPr>
                <w:sz w:val="20"/>
                <w:szCs w:val="20"/>
                <w:lang w:val="ro-RO"/>
              </w:rPr>
            </w:pPr>
          </w:p>
          <w:p w14:paraId="0B9C5068" w14:textId="77777777" w:rsidR="00777802" w:rsidRPr="00A163A8" w:rsidRDefault="00777802" w:rsidP="007019CD">
            <w:pPr>
              <w:pStyle w:val="NormalWeb"/>
              <w:rPr>
                <w:sz w:val="20"/>
                <w:szCs w:val="20"/>
                <w:lang w:val="ro-RO"/>
              </w:rPr>
            </w:pPr>
          </w:p>
          <w:p w14:paraId="06C5645A" w14:textId="77777777" w:rsidR="00777802" w:rsidRPr="00A163A8" w:rsidRDefault="00777802" w:rsidP="007019CD">
            <w:pPr>
              <w:pStyle w:val="NormalWeb"/>
              <w:rPr>
                <w:sz w:val="20"/>
                <w:szCs w:val="20"/>
                <w:lang w:val="ro-RO"/>
              </w:rPr>
            </w:pPr>
          </w:p>
          <w:p w14:paraId="5DA77782" w14:textId="77777777" w:rsidR="00777802" w:rsidRPr="00A163A8" w:rsidRDefault="00777802" w:rsidP="007019CD">
            <w:pPr>
              <w:pStyle w:val="NormalWeb"/>
              <w:rPr>
                <w:sz w:val="20"/>
                <w:szCs w:val="20"/>
                <w:lang w:val="ro-RO"/>
              </w:rPr>
            </w:pPr>
          </w:p>
          <w:p w14:paraId="7CA09382" w14:textId="77777777" w:rsidR="00777802" w:rsidRPr="00A163A8" w:rsidRDefault="00777802" w:rsidP="007019CD">
            <w:pPr>
              <w:pStyle w:val="NormalWeb"/>
              <w:rPr>
                <w:sz w:val="20"/>
                <w:szCs w:val="20"/>
                <w:lang w:val="ro-RO"/>
              </w:rPr>
            </w:pPr>
          </w:p>
          <w:p w14:paraId="3747E7E6" w14:textId="77777777" w:rsidR="00777802" w:rsidRPr="00A163A8" w:rsidRDefault="00777802" w:rsidP="007019CD">
            <w:pPr>
              <w:pStyle w:val="NormalWeb"/>
              <w:rPr>
                <w:sz w:val="20"/>
                <w:szCs w:val="20"/>
                <w:lang w:val="ro-RO"/>
              </w:rPr>
            </w:pPr>
          </w:p>
          <w:p w14:paraId="5C983E31" w14:textId="77777777" w:rsidR="00777802" w:rsidRPr="00A163A8" w:rsidRDefault="00777802" w:rsidP="007019CD">
            <w:pPr>
              <w:pStyle w:val="NormalWeb"/>
              <w:rPr>
                <w:sz w:val="20"/>
                <w:szCs w:val="20"/>
                <w:lang w:val="ro-RO"/>
              </w:rPr>
            </w:pPr>
          </w:p>
          <w:p w14:paraId="748303A7" w14:textId="5D694C19" w:rsidR="00430AD5" w:rsidRPr="00A163A8" w:rsidRDefault="0078371B" w:rsidP="00DF5602">
            <w:pPr>
              <w:pStyle w:val="NormalWeb"/>
              <w:ind w:firstLine="514"/>
              <w:rPr>
                <w:lang w:val="ro-RO"/>
              </w:rPr>
            </w:pPr>
            <w:r w:rsidRPr="00A163A8">
              <w:rPr>
                <w:lang w:val="ro-RO"/>
              </w:rPr>
              <w:t xml:space="preserve">În urma analizei prezentate concluzionăm că cea mai mare parte a costurilor opțiunii recomandate se referă la întreținerea entității avocatului antreprenorilor în valoarea de </w:t>
            </w:r>
            <w:r w:rsidRPr="00A163A8">
              <w:rPr>
                <w:i/>
                <w:lang w:val="ro-RO"/>
              </w:rPr>
              <w:t xml:space="preserve">2276,5 mii lei </w:t>
            </w:r>
            <w:r w:rsidRPr="00A163A8">
              <w:rPr>
                <w:lang w:val="ro-RO"/>
              </w:rPr>
              <w:t xml:space="preserve">anual. </w:t>
            </w:r>
          </w:p>
          <w:p w14:paraId="5698A0B9" w14:textId="77777777" w:rsidR="0078371B" w:rsidRPr="00A163A8" w:rsidRDefault="0078371B" w:rsidP="00DF5602">
            <w:pPr>
              <w:pStyle w:val="NormalWeb"/>
              <w:ind w:firstLine="514"/>
              <w:rPr>
                <w:lang w:val="ro-RO"/>
              </w:rPr>
            </w:pPr>
            <w:r w:rsidRPr="00A163A8">
              <w:rPr>
                <w:lang w:val="ro-RO"/>
              </w:rPr>
              <w:t xml:space="preserve">Totodată, la costurile opțiunii se includ și cheltuielile necesare pentru procesul de fondare a entității în cauză. În special atestăm cheltuieli de timp și efort conform atribuțiilor și funcțiilor prevăzute de lege a funcționarilor și factorilor de decizie din cadrul Guvernului și Parlamentului pentru promovarea și aprobarea proiectului de lege, precum și pentru elaborarea și promovarea Regulamentului necesar. La fel vor fi necesare cheltuieli unice pentru procurarea mijloacelor fixe și </w:t>
            </w:r>
            <w:r w:rsidR="00DF5602" w:rsidRPr="00A163A8">
              <w:rPr>
                <w:lang w:val="ro-RO"/>
              </w:rPr>
              <w:t xml:space="preserve">efort suplimentar de </w:t>
            </w:r>
            <w:r w:rsidRPr="00A163A8">
              <w:rPr>
                <w:lang w:val="ro-RO"/>
              </w:rPr>
              <w:t>logistică</w:t>
            </w:r>
            <w:r w:rsidR="00DF5602" w:rsidRPr="00A163A8">
              <w:rPr>
                <w:lang w:val="ro-RO"/>
              </w:rPr>
              <w:t xml:space="preserve"> pentru lansarea și mediatizarea inițială a activității entității în cauză.</w:t>
            </w:r>
          </w:p>
          <w:p w14:paraId="7BB3AC5D" w14:textId="6130073E" w:rsidR="009E2338" w:rsidRPr="00A163A8" w:rsidRDefault="009E2338" w:rsidP="00DF5602">
            <w:pPr>
              <w:pStyle w:val="NormalWeb"/>
              <w:ind w:firstLine="514"/>
              <w:rPr>
                <w:lang w:val="ro-RO"/>
              </w:rPr>
            </w:pPr>
          </w:p>
        </w:tc>
      </w:tr>
      <w:tr w:rsidR="003303EC" w:rsidRPr="00D171DB" w14:paraId="7071C124" w14:textId="77777777" w:rsidTr="007019CD">
        <w:trPr>
          <w:jc w:val="center"/>
        </w:trPr>
        <w:tc>
          <w:tcPr>
            <w:tcW w:w="492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B783C5" w14:textId="77777777" w:rsidR="003303EC" w:rsidRPr="00A163A8" w:rsidRDefault="007E491E" w:rsidP="00D263BF">
            <w:pPr>
              <w:jc w:val="both"/>
              <w:rPr>
                <w:rFonts w:eastAsia="Times New Roman"/>
                <w:sz w:val="20"/>
                <w:szCs w:val="20"/>
                <w:lang w:val="ro-RO"/>
              </w:rPr>
            </w:pPr>
            <w:r w:rsidRPr="00A163A8">
              <w:rPr>
                <w:rFonts w:eastAsia="Times New Roman"/>
                <w:sz w:val="20"/>
                <w:szCs w:val="20"/>
                <w:lang w:val="ro-RO"/>
              </w:rPr>
              <w:lastRenderedPageBreak/>
              <w:t>b</w:t>
            </w:r>
            <w:r w:rsidRPr="00A163A8">
              <w:rPr>
                <w:rFonts w:eastAsia="Times New Roman"/>
                <w:sz w:val="20"/>
                <w:szCs w:val="20"/>
                <w:vertAlign w:val="superscript"/>
                <w:lang w:val="ro-RO"/>
              </w:rPr>
              <w:t>2</w:t>
            </w:r>
            <w:r w:rsidRPr="00A163A8">
              <w:rPr>
                <w:rFonts w:eastAsia="Times New Roman"/>
                <w:sz w:val="20"/>
                <w:szCs w:val="20"/>
                <w:lang w:val="ro-RO"/>
              </w:rPr>
              <w:t xml:space="preserve">) </w:t>
            </w:r>
            <w:r w:rsidRPr="00D263BF">
              <w:rPr>
                <w:rFonts w:eastAsia="Times New Roman"/>
                <w:i/>
                <w:sz w:val="20"/>
                <w:szCs w:val="20"/>
                <w:lang w:val="ro-RO"/>
              </w:rPr>
              <w:t xml:space="preserve">Pentru opţiunile alternative analizate, identificaţi impacturile </w:t>
            </w:r>
            <w:proofErr w:type="spellStart"/>
            <w:r w:rsidRPr="00D263BF">
              <w:rPr>
                <w:rFonts w:eastAsia="Times New Roman"/>
                <w:i/>
                <w:sz w:val="20"/>
                <w:szCs w:val="20"/>
                <w:lang w:val="ro-RO"/>
              </w:rPr>
              <w:t>completînd</w:t>
            </w:r>
            <w:proofErr w:type="spellEnd"/>
            <w:r w:rsidRPr="00D263BF">
              <w:rPr>
                <w:rFonts w:eastAsia="Times New Roman"/>
                <w:i/>
                <w:sz w:val="20"/>
                <w:szCs w:val="20"/>
                <w:lang w:val="ro-RO"/>
              </w:rPr>
              <w:t xml:space="preserve"> tabelul din anexa la prezentul formular. Descrieţi pe larg impacturile sub formă de costuri sau beneficii, inclusiv părţile interesate care ar putea fi afectate pozitiv şi negativ de acestea</w:t>
            </w:r>
          </w:p>
        </w:tc>
        <w:tc>
          <w:tcPr>
            <w:tcW w:w="76"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7746C147" w14:textId="77777777" w:rsidR="003303EC" w:rsidRPr="00A163A8" w:rsidRDefault="003303EC" w:rsidP="007019CD">
            <w:pPr>
              <w:rPr>
                <w:rFonts w:eastAsia="Times New Roman"/>
                <w:sz w:val="20"/>
                <w:szCs w:val="20"/>
                <w:lang w:val="ro-RO"/>
              </w:rPr>
            </w:pPr>
          </w:p>
        </w:tc>
      </w:tr>
      <w:tr w:rsidR="003303EC" w:rsidRPr="00D171DB" w14:paraId="623C22BF" w14:textId="77777777" w:rsidTr="007019CD">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70720BD0" w14:textId="0FE6A443" w:rsidR="003303EC" w:rsidRPr="00A163A8" w:rsidRDefault="007E491E" w:rsidP="00AD2F56">
            <w:pPr>
              <w:pStyle w:val="NormalWeb"/>
              <w:rPr>
                <w:lang w:val="ro-RO"/>
              </w:rPr>
            </w:pPr>
            <w:r w:rsidRPr="00A163A8">
              <w:rPr>
                <w:lang w:val="ro-RO"/>
              </w:rPr>
              <w:t> </w:t>
            </w:r>
            <w:r w:rsidR="00617D54" w:rsidRPr="00A163A8">
              <w:rPr>
                <w:lang w:val="ro-RO"/>
              </w:rPr>
              <w:t>Nu au fost analizate opțiuni alternative.</w:t>
            </w:r>
          </w:p>
        </w:tc>
      </w:tr>
      <w:tr w:rsidR="003303EC" w:rsidRPr="00D171DB" w14:paraId="5169ABBB" w14:textId="77777777" w:rsidTr="007019CD">
        <w:trPr>
          <w:jc w:val="center"/>
        </w:trPr>
        <w:tc>
          <w:tcPr>
            <w:tcW w:w="492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0DE0B7" w14:textId="77777777" w:rsidR="003303EC" w:rsidRPr="00D263BF" w:rsidRDefault="007E491E" w:rsidP="00D263BF">
            <w:pPr>
              <w:jc w:val="both"/>
              <w:rPr>
                <w:rFonts w:eastAsia="Times New Roman"/>
                <w:i/>
                <w:sz w:val="20"/>
                <w:szCs w:val="20"/>
                <w:lang w:val="ro-RO"/>
              </w:rPr>
            </w:pPr>
            <w:r w:rsidRPr="00D263BF">
              <w:rPr>
                <w:rFonts w:eastAsia="Times New Roman"/>
                <w:i/>
                <w:sz w:val="20"/>
                <w:szCs w:val="20"/>
                <w:lang w:val="ro-RO"/>
              </w:rPr>
              <w:t>c) Pentru opţiunile analizate, expuneţi cele mai relevante/iminente riscuri care pot duce la eşecul intervenţiei şi/sau schimba substanţial valoarea beneficiilor şi costurilor estimate şi prezentaţi presupuneri privind gradul de conformare cu prevederile proiectului a celor vizaţi în acesta</w:t>
            </w:r>
          </w:p>
        </w:tc>
        <w:tc>
          <w:tcPr>
            <w:tcW w:w="76"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07729278" w14:textId="77777777" w:rsidR="003303EC" w:rsidRPr="00A163A8" w:rsidRDefault="003303EC" w:rsidP="007019CD">
            <w:pPr>
              <w:rPr>
                <w:rFonts w:eastAsia="Times New Roman"/>
                <w:sz w:val="20"/>
                <w:szCs w:val="20"/>
                <w:lang w:val="ro-RO"/>
              </w:rPr>
            </w:pPr>
          </w:p>
        </w:tc>
      </w:tr>
      <w:tr w:rsidR="003303EC" w:rsidRPr="00D171DB" w14:paraId="1C9A24DD" w14:textId="77777777" w:rsidTr="007019CD">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5DEE103B" w14:textId="5EDC8E94" w:rsidR="003303EC" w:rsidRPr="00A163A8" w:rsidRDefault="007E491E" w:rsidP="00F168D3">
            <w:pPr>
              <w:pStyle w:val="NormalWeb"/>
              <w:ind w:firstLine="514"/>
              <w:rPr>
                <w:lang w:val="ro-RO"/>
              </w:rPr>
            </w:pPr>
            <w:r w:rsidRPr="00A163A8">
              <w:rPr>
                <w:sz w:val="20"/>
                <w:szCs w:val="20"/>
                <w:lang w:val="ro-RO"/>
              </w:rPr>
              <w:t> </w:t>
            </w:r>
            <w:r w:rsidR="00F168D3" w:rsidRPr="00A163A8">
              <w:rPr>
                <w:lang w:val="ro-RO"/>
              </w:rPr>
              <w:t xml:space="preserve">Cele mai importante riscuri în ceea ce ține impactul scontat al instituției avocatului antreprenorilor țin de statutul entității și a funcției publice în care vor fi încadrate persoanele ce vor activa în oficiul avocatului. Din cauza că salariul de funcție pentru personal este limitat de lege și nu este unul destul de competitiv pentru a putea coopta experți de înaltă calificare, există riscul ca oficiul avocatului să nu </w:t>
            </w:r>
            <w:r w:rsidR="00531DC2" w:rsidRPr="00A163A8">
              <w:rPr>
                <w:lang w:val="ro-RO"/>
              </w:rPr>
              <w:t xml:space="preserve">atingă cea mai înaltă eficiență și eficacitate posibilă și să nu-și îndeplinească funcțiile în toată plenitudinea prevăzută de lege. </w:t>
            </w:r>
          </w:p>
          <w:p w14:paraId="5FBFCFA8" w14:textId="0C016C9C" w:rsidR="00531DC2" w:rsidRPr="00A163A8" w:rsidRDefault="00531DC2" w:rsidP="00F168D3">
            <w:pPr>
              <w:pStyle w:val="NormalWeb"/>
              <w:ind w:firstLine="514"/>
              <w:rPr>
                <w:lang w:val="ro-RO"/>
              </w:rPr>
            </w:pPr>
            <w:r w:rsidRPr="00A163A8">
              <w:rPr>
                <w:lang w:val="ro-RO"/>
              </w:rPr>
              <w:t xml:space="preserve">Pentru atenuarea riscului în cauză este recomandabil ca experții din cadrul oficiului să poată fi contractați în mod separat, fără a fi încadrați în funcția publică sau să fie cooptați experți suplimentar pentru examinarea unor situații concrete. În acest scop avocatul antreprenorilor ar putea colabora cel puțin cu donatori internaționali și cu proiecte de asistență </w:t>
            </w:r>
            <w:r w:rsidR="00D76618">
              <w:rPr>
                <w:lang w:val="ro-RO"/>
              </w:rPr>
              <w:t xml:space="preserve">externă </w:t>
            </w:r>
            <w:r w:rsidRPr="00A163A8">
              <w:rPr>
                <w:lang w:val="ro-RO"/>
              </w:rPr>
              <w:t xml:space="preserve">existente în </w:t>
            </w:r>
            <w:r w:rsidR="00D76618">
              <w:rPr>
                <w:lang w:val="ro-RO"/>
              </w:rPr>
              <w:t xml:space="preserve">Republica </w:t>
            </w:r>
            <w:r w:rsidRPr="00A163A8">
              <w:rPr>
                <w:lang w:val="ro-RO"/>
              </w:rPr>
              <w:t xml:space="preserve">Moldova. Totodată, pentru a diminua efortul de colectare și analiză a carențelor sistemului normativ și a situațiilor de aplicare incorectă a legii, avocatul antreprenorilor ar putea să colaboreze </w:t>
            </w:r>
            <w:r w:rsidR="00D76618" w:rsidRPr="00A163A8">
              <w:rPr>
                <w:lang w:val="ro-RO"/>
              </w:rPr>
              <w:t>strâns</w:t>
            </w:r>
            <w:r w:rsidRPr="00A163A8">
              <w:rPr>
                <w:lang w:val="ro-RO"/>
              </w:rPr>
              <w:t xml:space="preserve"> cu asociațiilor de antreprenori care sunt active în diferite domenii</w:t>
            </w:r>
            <w:r w:rsidR="00F16414" w:rsidRPr="00A163A8">
              <w:rPr>
                <w:lang w:val="ro-RO"/>
              </w:rPr>
              <w:t xml:space="preserve"> de specialitate</w:t>
            </w:r>
            <w:r w:rsidRPr="00A163A8">
              <w:rPr>
                <w:lang w:val="ro-RO"/>
              </w:rPr>
              <w:t>.</w:t>
            </w:r>
          </w:p>
          <w:p w14:paraId="10F18579" w14:textId="77777777" w:rsidR="003303EC" w:rsidRPr="00A163A8" w:rsidRDefault="007E491E" w:rsidP="007019CD">
            <w:pPr>
              <w:pStyle w:val="NormalWeb"/>
              <w:rPr>
                <w:sz w:val="20"/>
                <w:szCs w:val="20"/>
                <w:lang w:val="ro-RO"/>
              </w:rPr>
            </w:pPr>
            <w:r w:rsidRPr="00A163A8">
              <w:rPr>
                <w:sz w:val="20"/>
                <w:szCs w:val="20"/>
                <w:lang w:val="ro-RO"/>
              </w:rPr>
              <w:t> </w:t>
            </w:r>
          </w:p>
        </w:tc>
      </w:tr>
      <w:tr w:rsidR="003303EC" w:rsidRPr="00D171DB" w14:paraId="6F711F82" w14:textId="77777777" w:rsidTr="007019CD">
        <w:trPr>
          <w:jc w:val="center"/>
        </w:trPr>
        <w:tc>
          <w:tcPr>
            <w:tcW w:w="492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84E4B6" w14:textId="77777777" w:rsidR="003303EC" w:rsidRPr="00D263BF" w:rsidRDefault="007E491E" w:rsidP="007019CD">
            <w:pPr>
              <w:rPr>
                <w:rFonts w:eastAsia="Times New Roman"/>
                <w:i/>
                <w:sz w:val="20"/>
                <w:szCs w:val="20"/>
                <w:lang w:val="ro-RO"/>
              </w:rPr>
            </w:pPr>
            <w:r w:rsidRPr="00D263BF">
              <w:rPr>
                <w:rFonts w:eastAsia="Times New Roman"/>
                <w:i/>
                <w:sz w:val="20"/>
                <w:szCs w:val="20"/>
                <w:lang w:val="ro-RO"/>
              </w:rPr>
              <w:t xml:space="preserve">d) Dacă este cazul, pentru opţiunea recomandată expuneţi costurile de conformare pentru întreprinderi, dacă există impact disproporţionat care poate distorsiona concurenţa şi ce impact are opţiunea asupra întreprinderilor mici şi mijlocii. Se explică dacă </w:t>
            </w:r>
            <w:proofErr w:type="spellStart"/>
            <w:r w:rsidRPr="00D263BF">
              <w:rPr>
                <w:rFonts w:eastAsia="Times New Roman"/>
                <w:i/>
                <w:sz w:val="20"/>
                <w:szCs w:val="20"/>
                <w:lang w:val="ro-RO"/>
              </w:rPr>
              <w:t>sînt</w:t>
            </w:r>
            <w:proofErr w:type="spellEnd"/>
            <w:r w:rsidRPr="00D263BF">
              <w:rPr>
                <w:rFonts w:eastAsia="Times New Roman"/>
                <w:i/>
                <w:sz w:val="20"/>
                <w:szCs w:val="20"/>
                <w:lang w:val="ro-RO"/>
              </w:rPr>
              <w:t xml:space="preserve"> propuse măsuri de diminuare a acestor impacturi</w:t>
            </w:r>
          </w:p>
        </w:tc>
        <w:tc>
          <w:tcPr>
            <w:tcW w:w="76"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6546FD52" w14:textId="77777777" w:rsidR="003303EC" w:rsidRPr="00A163A8" w:rsidRDefault="003303EC" w:rsidP="007019CD">
            <w:pPr>
              <w:rPr>
                <w:rFonts w:eastAsia="Times New Roman"/>
                <w:sz w:val="20"/>
                <w:szCs w:val="20"/>
                <w:lang w:val="ro-RO"/>
              </w:rPr>
            </w:pPr>
          </w:p>
        </w:tc>
      </w:tr>
      <w:tr w:rsidR="003303EC" w:rsidRPr="00D171DB" w14:paraId="0917F596" w14:textId="77777777" w:rsidTr="007019CD">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61D2AD91" w14:textId="4A94C70C" w:rsidR="003303EC" w:rsidRPr="00A163A8" w:rsidRDefault="007E491E" w:rsidP="00F168D3">
            <w:pPr>
              <w:pStyle w:val="NormalWeb"/>
              <w:ind w:firstLine="514"/>
              <w:rPr>
                <w:lang w:val="ro-RO"/>
              </w:rPr>
            </w:pPr>
            <w:r w:rsidRPr="00A163A8">
              <w:rPr>
                <w:lang w:val="ro-RO"/>
              </w:rPr>
              <w:t> </w:t>
            </w:r>
            <w:r w:rsidR="00F168D3" w:rsidRPr="00A163A8">
              <w:rPr>
                <w:lang w:val="ro-RO"/>
              </w:rPr>
              <w:t>Nu este cazul. Soluția recomandată nu presupune costuri pentru mediul de afaceri, odată ce cheltuielile pentru avocatul antreprenorilor și oficiul acestuia vor fi acoperite din bugetul de stat. Funcționarea instituției avocatului antreprenorului presupune din contra, scutirea agenților economici de o serie de cheltuieli ce apar în raport cu autoritățile publice și procesele birocratice în practică.</w:t>
            </w:r>
          </w:p>
          <w:p w14:paraId="6A5990E1" w14:textId="77777777" w:rsidR="003303EC" w:rsidRPr="00A163A8" w:rsidRDefault="007E491E" w:rsidP="007019CD">
            <w:pPr>
              <w:pStyle w:val="NormalWeb"/>
              <w:rPr>
                <w:sz w:val="20"/>
                <w:szCs w:val="20"/>
                <w:lang w:val="ro-RO"/>
              </w:rPr>
            </w:pPr>
            <w:r w:rsidRPr="00A163A8">
              <w:rPr>
                <w:sz w:val="20"/>
                <w:szCs w:val="20"/>
                <w:lang w:val="ro-RO"/>
              </w:rPr>
              <w:t> </w:t>
            </w:r>
          </w:p>
        </w:tc>
      </w:tr>
      <w:tr w:rsidR="003303EC" w:rsidRPr="00D171DB" w14:paraId="6ED6A40C" w14:textId="77777777" w:rsidTr="007019CD">
        <w:trPr>
          <w:jc w:val="center"/>
        </w:trPr>
        <w:tc>
          <w:tcPr>
            <w:tcW w:w="492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3539E8" w14:textId="77777777" w:rsidR="003303EC" w:rsidRPr="00D263BF" w:rsidRDefault="007E491E" w:rsidP="007019CD">
            <w:pPr>
              <w:rPr>
                <w:rFonts w:eastAsia="Times New Roman"/>
                <w:i/>
                <w:sz w:val="20"/>
                <w:szCs w:val="20"/>
                <w:lang w:val="ro-RO"/>
              </w:rPr>
            </w:pPr>
            <w:r w:rsidRPr="00D263BF">
              <w:rPr>
                <w:rFonts w:eastAsia="Times New Roman"/>
                <w:b/>
                <w:bCs/>
                <w:i/>
                <w:sz w:val="20"/>
                <w:szCs w:val="20"/>
                <w:u w:val="single"/>
                <w:lang w:val="ro-RO"/>
              </w:rPr>
              <w:t>Concluzie</w:t>
            </w:r>
            <w:r w:rsidRPr="00D263BF">
              <w:rPr>
                <w:rFonts w:eastAsia="Times New Roman"/>
                <w:i/>
                <w:sz w:val="20"/>
                <w:szCs w:val="20"/>
                <w:lang w:val="ro-RO"/>
              </w:rPr>
              <w:t xml:space="preserve"> </w:t>
            </w:r>
          </w:p>
          <w:p w14:paraId="4FFB5EE2" w14:textId="77777777" w:rsidR="003303EC" w:rsidRPr="00A163A8" w:rsidRDefault="007E491E" w:rsidP="007019CD">
            <w:pPr>
              <w:pStyle w:val="lf"/>
              <w:rPr>
                <w:sz w:val="20"/>
                <w:szCs w:val="20"/>
                <w:lang w:val="ro-RO"/>
              </w:rPr>
            </w:pPr>
            <w:r w:rsidRPr="00D263BF">
              <w:rPr>
                <w:i/>
                <w:sz w:val="20"/>
                <w:szCs w:val="20"/>
                <w:lang w:val="ro-RO"/>
              </w:rPr>
              <w:t xml:space="preserve">e) Argumentaţi selectarea unei opţiunii, în baza atingerii obiectivelor, beneficiilor şi costurilor, precum şi a asigurării celui </w:t>
            </w:r>
            <w:r w:rsidRPr="00D263BF">
              <w:rPr>
                <w:i/>
                <w:sz w:val="20"/>
                <w:szCs w:val="20"/>
                <w:lang w:val="ro-RO"/>
              </w:rPr>
              <w:lastRenderedPageBreak/>
              <w:t>mai mic impact negativ asupra celor afectaţi</w:t>
            </w:r>
          </w:p>
        </w:tc>
        <w:tc>
          <w:tcPr>
            <w:tcW w:w="76"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7973E9A0" w14:textId="77777777" w:rsidR="003303EC" w:rsidRPr="00A163A8" w:rsidRDefault="003303EC" w:rsidP="007019CD">
            <w:pPr>
              <w:rPr>
                <w:sz w:val="20"/>
                <w:szCs w:val="20"/>
                <w:lang w:val="ro-RO"/>
              </w:rPr>
            </w:pPr>
          </w:p>
        </w:tc>
      </w:tr>
      <w:tr w:rsidR="003303EC" w:rsidRPr="00D171DB" w14:paraId="1B6B68AB" w14:textId="77777777" w:rsidTr="007019CD">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3A565F69" w14:textId="77777777" w:rsidR="007976FF" w:rsidRPr="00A163A8" w:rsidRDefault="007976FF" w:rsidP="007976FF">
            <w:pPr>
              <w:pStyle w:val="NormalWeb"/>
              <w:ind w:firstLine="514"/>
              <w:rPr>
                <w:lang w:val="ro-RO"/>
              </w:rPr>
            </w:pPr>
            <w:r w:rsidRPr="00A163A8">
              <w:rPr>
                <w:lang w:val="ro-RO"/>
              </w:rPr>
              <w:lastRenderedPageBreak/>
              <w:t xml:space="preserve">În urma analizei costurilor și beneficiilor, se constată eficientă și oportună instituirea unei noi entități publice (avocatul antreprenorilor) care ar avea funcții de soluționarea unor probleme sistemice în raporturile dintre antreprenori și autoritățile/instituțiile publice. </w:t>
            </w:r>
          </w:p>
          <w:p w14:paraId="3B604331" w14:textId="1E971E88" w:rsidR="003303EC" w:rsidRPr="00A163A8" w:rsidRDefault="007976FF" w:rsidP="007976FF">
            <w:pPr>
              <w:pStyle w:val="NormalWeb"/>
              <w:ind w:firstLine="514"/>
              <w:rPr>
                <w:lang w:val="ro-RO"/>
              </w:rPr>
            </w:pPr>
            <w:r w:rsidRPr="00A163A8">
              <w:rPr>
                <w:lang w:val="ro-RO"/>
              </w:rPr>
              <w:t xml:space="preserve">Totodată, </w:t>
            </w:r>
            <w:proofErr w:type="spellStart"/>
            <w:r w:rsidRPr="00A163A8">
              <w:rPr>
                <w:lang w:val="ro-RO"/>
              </w:rPr>
              <w:t>luînd</w:t>
            </w:r>
            <w:proofErr w:type="spellEnd"/>
            <w:r w:rsidRPr="00A163A8">
              <w:rPr>
                <w:lang w:val="ro-RO"/>
              </w:rPr>
              <w:t xml:space="preserve"> în calcul practica altor state și însăși funcțiile de principiu a unui „ombudsman”, este recomandabil ca acesta să pună un accent deosebit pe promovarea drepturilor și intereselor anume întreprinderilor mici, micro și de familie care sunt defavorizate, în majoritatea cazurilor nu dețin resurse suficiente pentru a soluționa unele cazuri complexe de abuz din partea autorităților publice și reprezintă un număr impunător (majoritar) din totalul de întreprinderi din țară.</w:t>
            </w:r>
          </w:p>
          <w:p w14:paraId="76FE78C1" w14:textId="77777777" w:rsidR="003303EC" w:rsidRPr="00A163A8" w:rsidRDefault="007E491E" w:rsidP="007019CD">
            <w:pPr>
              <w:pStyle w:val="NormalWeb"/>
              <w:rPr>
                <w:sz w:val="20"/>
                <w:szCs w:val="20"/>
                <w:lang w:val="ro-RO"/>
              </w:rPr>
            </w:pPr>
            <w:r w:rsidRPr="00A163A8">
              <w:rPr>
                <w:sz w:val="20"/>
                <w:szCs w:val="20"/>
                <w:lang w:val="ro-RO"/>
              </w:rPr>
              <w:t> </w:t>
            </w:r>
          </w:p>
        </w:tc>
      </w:tr>
      <w:tr w:rsidR="003303EC" w:rsidRPr="00A163A8" w14:paraId="17E55B90" w14:textId="77777777" w:rsidTr="007019CD">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9B38F9" w14:textId="77777777" w:rsidR="003303EC" w:rsidRPr="00A163A8" w:rsidRDefault="007E491E" w:rsidP="007019CD">
            <w:pPr>
              <w:rPr>
                <w:rFonts w:eastAsia="Times New Roman"/>
                <w:sz w:val="20"/>
                <w:szCs w:val="20"/>
                <w:lang w:val="ro-RO"/>
              </w:rPr>
            </w:pPr>
            <w:r w:rsidRPr="00A163A8">
              <w:rPr>
                <w:rFonts w:eastAsia="Times New Roman"/>
                <w:b/>
                <w:bCs/>
                <w:sz w:val="20"/>
                <w:szCs w:val="20"/>
                <w:lang w:val="ro-RO"/>
              </w:rPr>
              <w:t>5. Implementarea şi monitorizarea</w:t>
            </w:r>
          </w:p>
        </w:tc>
      </w:tr>
      <w:tr w:rsidR="003303EC" w:rsidRPr="00D171DB" w14:paraId="6A6CA68D" w14:textId="77777777" w:rsidTr="007019CD">
        <w:trPr>
          <w:jc w:val="center"/>
        </w:trPr>
        <w:tc>
          <w:tcPr>
            <w:tcW w:w="492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F65225" w14:textId="77777777" w:rsidR="003303EC" w:rsidRPr="00D263BF" w:rsidRDefault="007E491E" w:rsidP="007019CD">
            <w:pPr>
              <w:rPr>
                <w:rFonts w:eastAsia="Times New Roman"/>
                <w:i/>
                <w:sz w:val="20"/>
                <w:szCs w:val="20"/>
                <w:lang w:val="ro-RO"/>
              </w:rPr>
            </w:pPr>
            <w:r w:rsidRPr="00D263BF">
              <w:rPr>
                <w:rFonts w:eastAsia="Times New Roman"/>
                <w:i/>
                <w:sz w:val="20"/>
                <w:szCs w:val="20"/>
                <w:lang w:val="ro-RO"/>
              </w:rPr>
              <w:t xml:space="preserve">a) Descrieţi cum va fi organizată implementarea opţiunii recomandate, ce cadru juridic necesită a fi modificat şi/sau elaborat şi aprobat, ce schimbări instituţionale </w:t>
            </w:r>
            <w:proofErr w:type="spellStart"/>
            <w:r w:rsidRPr="00D263BF">
              <w:rPr>
                <w:rFonts w:eastAsia="Times New Roman"/>
                <w:i/>
                <w:sz w:val="20"/>
                <w:szCs w:val="20"/>
                <w:lang w:val="ro-RO"/>
              </w:rPr>
              <w:t>sînt</w:t>
            </w:r>
            <w:proofErr w:type="spellEnd"/>
            <w:r w:rsidRPr="00D263BF">
              <w:rPr>
                <w:rFonts w:eastAsia="Times New Roman"/>
                <w:i/>
                <w:sz w:val="20"/>
                <w:szCs w:val="20"/>
                <w:lang w:val="ro-RO"/>
              </w:rPr>
              <w:t xml:space="preserve"> necesare</w:t>
            </w:r>
          </w:p>
        </w:tc>
        <w:tc>
          <w:tcPr>
            <w:tcW w:w="76"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08BA3414" w14:textId="77777777" w:rsidR="003303EC" w:rsidRPr="00A163A8" w:rsidRDefault="003303EC" w:rsidP="007019CD">
            <w:pPr>
              <w:rPr>
                <w:rFonts w:eastAsia="Times New Roman"/>
                <w:sz w:val="20"/>
                <w:szCs w:val="20"/>
                <w:lang w:val="ro-RO"/>
              </w:rPr>
            </w:pPr>
          </w:p>
        </w:tc>
      </w:tr>
      <w:tr w:rsidR="003303EC" w:rsidRPr="00D171DB" w14:paraId="1E90B819" w14:textId="77777777" w:rsidTr="007019CD">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19318108" w14:textId="0215D32A" w:rsidR="009E2338" w:rsidRPr="00A163A8" w:rsidRDefault="009E2338" w:rsidP="009E2338">
            <w:pPr>
              <w:pStyle w:val="NormalWeb"/>
              <w:ind w:firstLine="373"/>
              <w:rPr>
                <w:lang w:val="ro-RO"/>
              </w:rPr>
            </w:pPr>
            <w:r w:rsidRPr="00A163A8">
              <w:rPr>
                <w:lang w:val="ro-RO"/>
              </w:rPr>
              <w:t xml:space="preserve">Pentru implementarea opțiunii recomandate este necesar de aprobat și publicat Legea cu privire la avocatul antreprenorilor. În urma aprobării legii, se propun completările necesare la bugetul național în scopul fondării instituției avocatului antreprenorilor și a oficiului acestuia. </w:t>
            </w:r>
          </w:p>
          <w:p w14:paraId="11DD5E7C" w14:textId="77777777" w:rsidR="009E2338" w:rsidRPr="00A163A8" w:rsidRDefault="009E2338" w:rsidP="009E2338">
            <w:pPr>
              <w:pStyle w:val="NormalWeb"/>
              <w:ind w:firstLine="373"/>
              <w:rPr>
                <w:lang w:val="ro-RO"/>
              </w:rPr>
            </w:pPr>
            <w:r w:rsidRPr="00A163A8">
              <w:rPr>
                <w:lang w:val="ro-RO"/>
              </w:rPr>
              <w:t>În baza legii în cauză vor fi întreprinse următoarele activități:</w:t>
            </w:r>
          </w:p>
          <w:p w14:paraId="0B58F6F8" w14:textId="609DAC5D" w:rsidR="009E2338" w:rsidRPr="00A163A8" w:rsidRDefault="009E2338" w:rsidP="009E2338">
            <w:pPr>
              <w:pStyle w:val="NormalWeb"/>
              <w:numPr>
                <w:ilvl w:val="0"/>
                <w:numId w:val="2"/>
              </w:numPr>
              <w:rPr>
                <w:lang w:val="ro-RO"/>
              </w:rPr>
            </w:pPr>
            <w:r w:rsidRPr="00A163A8">
              <w:rPr>
                <w:lang w:val="ro-RO"/>
              </w:rPr>
              <w:t xml:space="preserve">Parlamentul aprobă prin </w:t>
            </w:r>
            <w:r w:rsidR="00D76618" w:rsidRPr="00A163A8">
              <w:rPr>
                <w:lang w:val="ro-RO"/>
              </w:rPr>
              <w:t>Hotărâre</w:t>
            </w:r>
            <w:r w:rsidRPr="00A163A8">
              <w:rPr>
                <w:lang w:val="ro-RO"/>
              </w:rPr>
              <w:t xml:space="preserve"> Regulamentul cu privire la avocatului antreprenorilor și oficiul acestuia, care inclusiv va prevedea procedura de selectare al avocatului;</w:t>
            </w:r>
          </w:p>
          <w:p w14:paraId="6D1DBFA0" w14:textId="05F3B780" w:rsidR="009E2338" w:rsidRPr="00A163A8" w:rsidRDefault="009E2338" w:rsidP="009E2338">
            <w:pPr>
              <w:pStyle w:val="NormalWeb"/>
              <w:numPr>
                <w:ilvl w:val="0"/>
                <w:numId w:val="2"/>
              </w:numPr>
              <w:rPr>
                <w:lang w:val="ro-RO"/>
              </w:rPr>
            </w:pPr>
            <w:r w:rsidRPr="00A163A8">
              <w:rPr>
                <w:rFonts w:eastAsia="Times New Roman"/>
                <w:lang w:val="ro-RO"/>
              </w:rPr>
              <w:t xml:space="preserve">În cadrul Parlamentului Republicii Moldova, se instituie o comisie specială, alcătuită din 2 membri ai Comisiei juridice, numiri și imunități, 2 membri ai Comisiei economie, buget și finanțe și 5 reprezentanți ai mediului de afaceri. Comisia specială organizează concursul public de selectare a candidatului la </w:t>
            </w:r>
            <w:r w:rsidR="00D76618" w:rsidRPr="00A163A8">
              <w:rPr>
                <w:rFonts w:eastAsia="Times New Roman"/>
                <w:lang w:val="ro-RO"/>
              </w:rPr>
              <w:t>funcția</w:t>
            </w:r>
            <w:r w:rsidRPr="00A163A8">
              <w:rPr>
                <w:rFonts w:eastAsia="Times New Roman"/>
                <w:lang w:val="ro-RO"/>
              </w:rPr>
              <w:t xml:space="preserve"> de avocat al antreprenorilor;</w:t>
            </w:r>
          </w:p>
          <w:p w14:paraId="1BA089BA" w14:textId="77777777" w:rsidR="009E2338" w:rsidRPr="00A163A8" w:rsidRDefault="009E2338" w:rsidP="009E2338">
            <w:pPr>
              <w:pStyle w:val="NormalWeb"/>
              <w:numPr>
                <w:ilvl w:val="0"/>
                <w:numId w:val="2"/>
              </w:numPr>
              <w:rPr>
                <w:lang w:val="ro-RO"/>
              </w:rPr>
            </w:pPr>
            <w:r w:rsidRPr="00A163A8">
              <w:rPr>
                <w:rFonts w:eastAsia="Times New Roman"/>
                <w:lang w:val="ro-RO"/>
              </w:rPr>
              <w:t>Se instituie oficiul și se fac achizițiile necesare pentru acesta;</w:t>
            </w:r>
          </w:p>
          <w:p w14:paraId="6E275B00" w14:textId="77777777" w:rsidR="009E2338" w:rsidRPr="00A163A8" w:rsidRDefault="009E2338" w:rsidP="009E2338">
            <w:pPr>
              <w:pStyle w:val="NormalWeb"/>
              <w:numPr>
                <w:ilvl w:val="0"/>
                <w:numId w:val="2"/>
              </w:numPr>
              <w:rPr>
                <w:lang w:val="ro-RO"/>
              </w:rPr>
            </w:pPr>
            <w:r w:rsidRPr="00A163A8">
              <w:rPr>
                <w:rFonts w:eastAsia="Times New Roman"/>
                <w:lang w:val="ro-RO"/>
              </w:rPr>
              <w:t>Se angajează personalul în cadrul Oficiului avocatului antreprenorilor;</w:t>
            </w:r>
          </w:p>
          <w:p w14:paraId="653E4D68" w14:textId="14F22274" w:rsidR="003303EC" w:rsidRPr="00A163A8" w:rsidRDefault="009E2338" w:rsidP="009E2338">
            <w:pPr>
              <w:pStyle w:val="NormalWeb"/>
              <w:numPr>
                <w:ilvl w:val="0"/>
                <w:numId w:val="2"/>
              </w:numPr>
              <w:rPr>
                <w:lang w:val="ro-RO"/>
              </w:rPr>
            </w:pPr>
            <w:r w:rsidRPr="00A163A8">
              <w:rPr>
                <w:rFonts w:eastAsia="Times New Roman"/>
                <w:lang w:val="ro-RO"/>
              </w:rPr>
              <w:t>Se lansează activitatea avocatului antreprenorilor și se stabilesc parteneriate cu asociațiile de business și alți actori interesați.</w:t>
            </w:r>
            <w:r w:rsidRPr="00A163A8">
              <w:rPr>
                <w:lang w:val="ro-RO"/>
              </w:rPr>
              <w:t xml:space="preserve"> </w:t>
            </w:r>
            <w:r w:rsidR="007E491E" w:rsidRPr="00A163A8">
              <w:rPr>
                <w:lang w:val="ro-RO"/>
              </w:rPr>
              <w:t> </w:t>
            </w:r>
          </w:p>
          <w:p w14:paraId="222C74FC" w14:textId="77777777" w:rsidR="003303EC" w:rsidRPr="00A163A8" w:rsidRDefault="007E491E" w:rsidP="007019CD">
            <w:pPr>
              <w:pStyle w:val="NormalWeb"/>
              <w:rPr>
                <w:sz w:val="20"/>
                <w:szCs w:val="20"/>
                <w:lang w:val="ro-RO"/>
              </w:rPr>
            </w:pPr>
            <w:r w:rsidRPr="00A163A8">
              <w:rPr>
                <w:sz w:val="20"/>
                <w:szCs w:val="20"/>
                <w:lang w:val="ro-RO"/>
              </w:rPr>
              <w:t> </w:t>
            </w:r>
          </w:p>
        </w:tc>
      </w:tr>
      <w:tr w:rsidR="003303EC" w:rsidRPr="00D171DB" w14:paraId="75B88163" w14:textId="77777777" w:rsidTr="007019CD">
        <w:trPr>
          <w:jc w:val="center"/>
        </w:trPr>
        <w:tc>
          <w:tcPr>
            <w:tcW w:w="492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F354AD" w14:textId="77777777" w:rsidR="003303EC" w:rsidRPr="00D263BF" w:rsidRDefault="007E491E" w:rsidP="007019CD">
            <w:pPr>
              <w:rPr>
                <w:rFonts w:eastAsia="Times New Roman"/>
                <w:i/>
                <w:sz w:val="20"/>
                <w:szCs w:val="20"/>
                <w:lang w:val="ro-RO"/>
              </w:rPr>
            </w:pPr>
            <w:r w:rsidRPr="00D263BF">
              <w:rPr>
                <w:rFonts w:eastAsia="Times New Roman"/>
                <w:i/>
                <w:sz w:val="20"/>
                <w:szCs w:val="20"/>
                <w:lang w:val="ro-RO"/>
              </w:rPr>
              <w:t>b) Indicaţi clar indicatorii de performanţă în baza cărora se va efectua monitorizarea</w:t>
            </w:r>
          </w:p>
        </w:tc>
        <w:tc>
          <w:tcPr>
            <w:tcW w:w="76"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0204302B" w14:textId="77777777" w:rsidR="003303EC" w:rsidRPr="00A163A8" w:rsidRDefault="003303EC" w:rsidP="007019CD">
            <w:pPr>
              <w:rPr>
                <w:rFonts w:eastAsia="Times New Roman"/>
                <w:sz w:val="20"/>
                <w:szCs w:val="20"/>
                <w:lang w:val="ro-RO"/>
              </w:rPr>
            </w:pPr>
          </w:p>
        </w:tc>
      </w:tr>
      <w:tr w:rsidR="003303EC" w:rsidRPr="00D171DB" w14:paraId="06EAC010" w14:textId="77777777" w:rsidTr="007019CD">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1A9ECCBF" w14:textId="77777777" w:rsidR="00CF7A5C" w:rsidRPr="00A163A8" w:rsidRDefault="007E491E" w:rsidP="00CF7A5C">
            <w:pPr>
              <w:pStyle w:val="NormalWeb"/>
              <w:ind w:firstLine="373"/>
              <w:rPr>
                <w:lang w:val="ro-RO"/>
              </w:rPr>
            </w:pPr>
            <w:r w:rsidRPr="00A163A8">
              <w:rPr>
                <w:sz w:val="20"/>
                <w:szCs w:val="20"/>
                <w:lang w:val="ro-RO"/>
              </w:rPr>
              <w:t> </w:t>
            </w:r>
            <w:r w:rsidR="00CF7A5C" w:rsidRPr="00A163A8">
              <w:rPr>
                <w:lang w:val="ro-RO"/>
              </w:rPr>
              <w:t>Cei mai importanți indicatori de performanță țin de numărul de litigii cu organele de control și alte organe ale administrației publice centrale, numărul de acțiuni în instanță în baza procedurii contenciosului administrativ și numărul de acte normative aprobate cu încălcarea principiilor de legiferare. Toate trebuie să fie în descreștere.</w:t>
            </w:r>
          </w:p>
          <w:p w14:paraId="07352FDD" w14:textId="77777777" w:rsidR="00CF7A5C" w:rsidRPr="00A163A8" w:rsidRDefault="00CF7A5C" w:rsidP="00CF7A5C">
            <w:pPr>
              <w:pStyle w:val="NormalWeb"/>
              <w:ind w:firstLine="373"/>
              <w:rPr>
                <w:lang w:val="ro-RO"/>
              </w:rPr>
            </w:pPr>
            <w:r w:rsidRPr="00A163A8">
              <w:rPr>
                <w:lang w:val="ro-RO"/>
              </w:rPr>
              <w:t>Totodată poate fi monitorizată percepția mediului de afaceri în baza sondajului efectuat care se reflectă anual de Banca Mondială în raportul Costul Reglementării de Stat a Activității de Întreprinzător.</w:t>
            </w:r>
          </w:p>
          <w:p w14:paraId="0E5FE97D" w14:textId="1E79DFF8" w:rsidR="00CF7A5C" w:rsidRPr="00A163A8" w:rsidRDefault="00CF7A5C" w:rsidP="00CF7A5C">
            <w:pPr>
              <w:pStyle w:val="NormalWeb"/>
              <w:ind w:firstLine="373"/>
              <w:rPr>
                <w:lang w:val="ro-RO"/>
              </w:rPr>
            </w:pPr>
            <w:r w:rsidRPr="00A163A8">
              <w:rPr>
                <w:lang w:val="ro-RO"/>
              </w:rPr>
              <w:t xml:space="preserve">Din altă perspectivă, indicatori direcți raportați la noua instituție fondată vor ține de monitorizarea performanței acestei instituții – numărul de litigii în instanță (în creștere pe termen mediu), numărul de cazuri soluționate amiabil (în creștere pe termen mediu), numărul de acte normative abrogate din oficiu de autoritățile publice emitente la solicitarea avocatului antreprenorilor (în creștere pe termen mediu). </w:t>
            </w:r>
          </w:p>
          <w:p w14:paraId="7A256042" w14:textId="77777777" w:rsidR="003303EC" w:rsidRPr="00A163A8" w:rsidRDefault="007E491E" w:rsidP="007019CD">
            <w:pPr>
              <w:pStyle w:val="NormalWeb"/>
              <w:rPr>
                <w:sz w:val="20"/>
                <w:szCs w:val="20"/>
                <w:lang w:val="ro-RO"/>
              </w:rPr>
            </w:pPr>
            <w:r w:rsidRPr="00A163A8">
              <w:rPr>
                <w:sz w:val="20"/>
                <w:szCs w:val="20"/>
                <w:lang w:val="ro-RO"/>
              </w:rPr>
              <w:t> </w:t>
            </w:r>
          </w:p>
        </w:tc>
      </w:tr>
      <w:tr w:rsidR="003303EC" w:rsidRPr="00D171DB" w14:paraId="068BC580" w14:textId="77777777" w:rsidTr="007019CD">
        <w:trPr>
          <w:jc w:val="center"/>
        </w:trPr>
        <w:tc>
          <w:tcPr>
            <w:tcW w:w="492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D6D17E" w14:textId="77777777" w:rsidR="003303EC" w:rsidRPr="00D263BF" w:rsidRDefault="007E491E" w:rsidP="007019CD">
            <w:pPr>
              <w:rPr>
                <w:rFonts w:eastAsia="Times New Roman"/>
                <w:i/>
                <w:sz w:val="20"/>
                <w:szCs w:val="20"/>
                <w:lang w:val="ro-RO"/>
              </w:rPr>
            </w:pPr>
            <w:r w:rsidRPr="00D263BF">
              <w:rPr>
                <w:rFonts w:eastAsia="Times New Roman"/>
                <w:i/>
                <w:sz w:val="20"/>
                <w:szCs w:val="20"/>
                <w:lang w:val="ro-RO"/>
              </w:rPr>
              <w:t xml:space="preserve">c) Identificaţi peste </w:t>
            </w:r>
            <w:proofErr w:type="spellStart"/>
            <w:r w:rsidRPr="00D263BF">
              <w:rPr>
                <w:rFonts w:eastAsia="Times New Roman"/>
                <w:i/>
                <w:sz w:val="20"/>
                <w:szCs w:val="20"/>
                <w:lang w:val="ro-RO"/>
              </w:rPr>
              <w:t>cît</w:t>
            </w:r>
            <w:proofErr w:type="spellEnd"/>
            <w:r w:rsidRPr="00D263BF">
              <w:rPr>
                <w:rFonts w:eastAsia="Times New Roman"/>
                <w:i/>
                <w:sz w:val="20"/>
                <w:szCs w:val="20"/>
                <w:lang w:val="ro-RO"/>
              </w:rPr>
              <w:t xml:space="preserve"> timp vor fi resimţite impacturile estimate şi este necesară evaluarea performanţei actului normativ propus. Explicaţi cum va fi monitorizată şi evaluată opţiunea</w:t>
            </w:r>
          </w:p>
        </w:tc>
        <w:tc>
          <w:tcPr>
            <w:tcW w:w="76"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2A2FCB02" w14:textId="77777777" w:rsidR="003303EC" w:rsidRPr="00A163A8" w:rsidRDefault="003303EC" w:rsidP="007019CD">
            <w:pPr>
              <w:rPr>
                <w:rFonts w:eastAsia="Times New Roman"/>
                <w:sz w:val="20"/>
                <w:szCs w:val="20"/>
                <w:lang w:val="ro-RO"/>
              </w:rPr>
            </w:pPr>
          </w:p>
        </w:tc>
      </w:tr>
      <w:tr w:rsidR="003303EC" w:rsidRPr="00D171DB" w14:paraId="412EE8A6" w14:textId="77777777" w:rsidTr="007019CD">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3B2474B3" w14:textId="1A573A22" w:rsidR="003303EC" w:rsidRPr="00A163A8" w:rsidRDefault="001B2498" w:rsidP="001D3C24">
            <w:pPr>
              <w:pStyle w:val="NormalWeb"/>
              <w:ind w:firstLine="373"/>
              <w:rPr>
                <w:lang w:val="ro-RO"/>
              </w:rPr>
            </w:pPr>
            <w:r w:rsidRPr="00A163A8">
              <w:rPr>
                <w:lang w:val="ro-RO"/>
              </w:rPr>
              <w:t xml:space="preserve">Primele efecte vizibile vor fi resimțite abia după aproximativ un an de la fondarea și lansarea oficiului avocatului antreprenorilor. Posibilitatea colectării însă a indicatorilor de performanță pertinenți va apărea încă peste jumătate de an, un an. Monitorizarea performanței necesită să se facă în baza unei analize complexe, este necesar de colectat și analizat simultan </w:t>
            </w:r>
            <w:proofErr w:type="spellStart"/>
            <w:r w:rsidRPr="00A163A8">
              <w:rPr>
                <w:lang w:val="ro-RO"/>
              </w:rPr>
              <w:t>cît</w:t>
            </w:r>
            <w:proofErr w:type="spellEnd"/>
            <w:r w:rsidRPr="00A163A8">
              <w:rPr>
                <w:lang w:val="ro-RO"/>
              </w:rPr>
              <w:t xml:space="preserve"> indicatorii de performanță însăși a entității noi fondate, </w:t>
            </w:r>
            <w:proofErr w:type="spellStart"/>
            <w:r w:rsidR="001D3C24" w:rsidRPr="00A163A8">
              <w:rPr>
                <w:lang w:val="ro-RO"/>
              </w:rPr>
              <w:t>atît</w:t>
            </w:r>
            <w:proofErr w:type="spellEnd"/>
            <w:r w:rsidR="001D3C24" w:rsidRPr="00A163A8">
              <w:rPr>
                <w:lang w:val="ro-RO"/>
              </w:rPr>
              <w:t xml:space="preserve"> și indicatorii mai generali</w:t>
            </w:r>
            <w:r w:rsidRPr="00A163A8">
              <w:rPr>
                <w:lang w:val="ro-RO"/>
              </w:rPr>
              <w:t xml:space="preserve"> din cad</w:t>
            </w:r>
            <w:r w:rsidR="001D3C24" w:rsidRPr="00A163A8">
              <w:rPr>
                <w:lang w:val="ro-RO"/>
              </w:rPr>
              <w:t>rul sistemului judiciar,</w:t>
            </w:r>
            <w:r w:rsidRPr="00A163A8">
              <w:rPr>
                <w:lang w:val="ro-RO"/>
              </w:rPr>
              <w:t xml:space="preserve"> rapoartele organelor de control de stat și a autorităților publice centrale și locale. </w:t>
            </w:r>
            <w:r w:rsidR="001D3C24" w:rsidRPr="00A163A8">
              <w:rPr>
                <w:lang w:val="ro-RO"/>
              </w:rPr>
              <w:t xml:space="preserve">Aceste două categorii de indicatori trebuie să fie contrapuși și este necesar să se stabilească un grad de interdependență între ei. </w:t>
            </w:r>
            <w:r w:rsidR="007E491E" w:rsidRPr="00A163A8">
              <w:rPr>
                <w:lang w:val="ro-RO"/>
              </w:rPr>
              <w:t> </w:t>
            </w:r>
          </w:p>
          <w:p w14:paraId="009DCF86" w14:textId="77777777" w:rsidR="003303EC" w:rsidRPr="00A163A8" w:rsidRDefault="007E491E" w:rsidP="007019CD">
            <w:pPr>
              <w:pStyle w:val="NormalWeb"/>
              <w:rPr>
                <w:sz w:val="20"/>
                <w:szCs w:val="20"/>
                <w:lang w:val="ro-RO"/>
              </w:rPr>
            </w:pPr>
            <w:r w:rsidRPr="00A163A8">
              <w:rPr>
                <w:sz w:val="20"/>
                <w:szCs w:val="20"/>
                <w:lang w:val="ro-RO"/>
              </w:rPr>
              <w:t> </w:t>
            </w:r>
          </w:p>
        </w:tc>
      </w:tr>
      <w:tr w:rsidR="003303EC" w:rsidRPr="00A163A8" w14:paraId="780C27BF" w14:textId="77777777" w:rsidTr="007019CD">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9FFF26" w14:textId="77777777" w:rsidR="003303EC" w:rsidRPr="00A163A8" w:rsidRDefault="007E491E" w:rsidP="007019CD">
            <w:pPr>
              <w:rPr>
                <w:rFonts w:eastAsia="Times New Roman"/>
                <w:sz w:val="20"/>
                <w:szCs w:val="20"/>
                <w:lang w:val="ro-RO"/>
              </w:rPr>
            </w:pPr>
            <w:r w:rsidRPr="00A163A8">
              <w:rPr>
                <w:rFonts w:eastAsia="Times New Roman"/>
                <w:b/>
                <w:bCs/>
                <w:sz w:val="20"/>
                <w:szCs w:val="20"/>
                <w:lang w:val="ro-RO"/>
              </w:rPr>
              <w:t>6. Consultarea</w:t>
            </w:r>
          </w:p>
        </w:tc>
      </w:tr>
      <w:tr w:rsidR="003303EC" w:rsidRPr="00D171DB" w14:paraId="3172F9E9" w14:textId="77777777" w:rsidTr="007019CD">
        <w:trPr>
          <w:jc w:val="center"/>
        </w:trPr>
        <w:tc>
          <w:tcPr>
            <w:tcW w:w="492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5DCD84" w14:textId="77777777" w:rsidR="003303EC" w:rsidRPr="00D263BF" w:rsidRDefault="007E491E" w:rsidP="007019CD">
            <w:pPr>
              <w:rPr>
                <w:rFonts w:eastAsia="Times New Roman"/>
                <w:i/>
                <w:sz w:val="20"/>
                <w:szCs w:val="20"/>
                <w:lang w:val="ro-RO"/>
              </w:rPr>
            </w:pPr>
            <w:r w:rsidRPr="00D263BF">
              <w:rPr>
                <w:rFonts w:eastAsia="Times New Roman"/>
                <w:i/>
                <w:sz w:val="20"/>
                <w:szCs w:val="20"/>
                <w:lang w:val="ro-RO"/>
              </w:rPr>
              <w:t>a) Identificaţi principalele părţi (grupuri) interesate în intervenţia propusă</w:t>
            </w:r>
          </w:p>
        </w:tc>
        <w:tc>
          <w:tcPr>
            <w:tcW w:w="76"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7AA1EFA1" w14:textId="77777777" w:rsidR="003303EC" w:rsidRPr="00A163A8" w:rsidRDefault="003303EC" w:rsidP="007019CD">
            <w:pPr>
              <w:rPr>
                <w:rFonts w:eastAsia="Times New Roman"/>
                <w:sz w:val="20"/>
                <w:szCs w:val="20"/>
                <w:lang w:val="ro-RO"/>
              </w:rPr>
            </w:pPr>
          </w:p>
        </w:tc>
      </w:tr>
      <w:tr w:rsidR="003303EC" w:rsidRPr="001C570B" w14:paraId="30FC1AAB" w14:textId="77777777" w:rsidTr="007019CD">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22EA3464" w14:textId="68B5102A" w:rsidR="003303EC" w:rsidRPr="00A163A8" w:rsidRDefault="001D3C24" w:rsidP="001D3C24">
            <w:pPr>
              <w:pStyle w:val="NormalWeb"/>
              <w:ind w:firstLine="373"/>
              <w:rPr>
                <w:lang w:val="ro-RO"/>
              </w:rPr>
            </w:pPr>
            <w:r w:rsidRPr="00A163A8">
              <w:rPr>
                <w:lang w:val="ro-RO"/>
              </w:rPr>
              <w:lastRenderedPageBreak/>
              <w:t>Grupurile generice de interese sunt de două categorii:</w:t>
            </w:r>
          </w:p>
          <w:p w14:paraId="2330E4E0" w14:textId="77777777" w:rsidR="001D3C24" w:rsidRPr="00A163A8" w:rsidRDefault="001D3C24" w:rsidP="001D3C24">
            <w:pPr>
              <w:pStyle w:val="NormalWeb"/>
              <w:numPr>
                <w:ilvl w:val="0"/>
                <w:numId w:val="3"/>
              </w:numPr>
              <w:rPr>
                <w:lang w:val="ro-RO"/>
              </w:rPr>
            </w:pPr>
            <w:r w:rsidRPr="00A163A8">
              <w:rPr>
                <w:lang w:val="ro-RO"/>
              </w:rPr>
              <w:t xml:space="preserve">Autoritățile publice, care pot fi divizate în: </w:t>
            </w:r>
          </w:p>
          <w:p w14:paraId="5758848E" w14:textId="77777777" w:rsidR="001D3C24" w:rsidRPr="00A163A8" w:rsidRDefault="001D3C24" w:rsidP="001D3C24">
            <w:pPr>
              <w:pStyle w:val="NormalWeb"/>
              <w:numPr>
                <w:ilvl w:val="0"/>
                <w:numId w:val="2"/>
              </w:numPr>
              <w:rPr>
                <w:lang w:val="ro-RO"/>
              </w:rPr>
            </w:pPr>
            <w:r w:rsidRPr="00A163A8">
              <w:rPr>
                <w:lang w:val="ro-RO"/>
              </w:rPr>
              <w:t>autoritățile ce elaborează politici în domeniul reglementării mediului de afaceri (ministere pertinente, agenții cu funcții de reglementare ș.a.),</w:t>
            </w:r>
          </w:p>
          <w:p w14:paraId="235DB95A" w14:textId="51DDE650" w:rsidR="001D3C24" w:rsidRPr="00A163A8" w:rsidRDefault="001D3C24" w:rsidP="001D3C24">
            <w:pPr>
              <w:pStyle w:val="NormalWeb"/>
              <w:numPr>
                <w:ilvl w:val="0"/>
                <w:numId w:val="2"/>
              </w:numPr>
              <w:rPr>
                <w:lang w:val="ro-RO"/>
              </w:rPr>
            </w:pPr>
            <w:r w:rsidRPr="00A163A8">
              <w:rPr>
                <w:lang w:val="ro-RO"/>
              </w:rPr>
              <w:t>autoritățile responsabile de instituirea și funcționarea entității în cauză (Ministerul Finanțelor,</w:t>
            </w:r>
            <w:r w:rsidR="006813E1" w:rsidRPr="00A163A8">
              <w:rPr>
                <w:lang w:val="ro-RO"/>
              </w:rPr>
              <w:t xml:space="preserve"> Ministerul Economiei și Infrastructurii,</w:t>
            </w:r>
            <w:r w:rsidRPr="00A163A8">
              <w:rPr>
                <w:lang w:val="ro-RO"/>
              </w:rPr>
              <w:t xml:space="preserve"> Cancelaria de Stat, Parlamentul)</w:t>
            </w:r>
          </w:p>
          <w:p w14:paraId="59263E00" w14:textId="77777777" w:rsidR="001D3C24" w:rsidRPr="00A163A8" w:rsidRDefault="001D3C24" w:rsidP="001D3C24">
            <w:pPr>
              <w:pStyle w:val="NormalWeb"/>
              <w:numPr>
                <w:ilvl w:val="0"/>
                <w:numId w:val="2"/>
              </w:numPr>
              <w:rPr>
                <w:lang w:val="ro-RO"/>
              </w:rPr>
            </w:pPr>
            <w:r w:rsidRPr="00A163A8">
              <w:rPr>
                <w:lang w:val="ro-RO"/>
              </w:rPr>
              <w:t xml:space="preserve">organele de control și instituțiile ce prestează servicii publice obligatorii, </w:t>
            </w:r>
          </w:p>
          <w:p w14:paraId="686EC79C" w14:textId="2B257725" w:rsidR="001D3C24" w:rsidRPr="00A163A8" w:rsidRDefault="001D3C24" w:rsidP="001D3C24">
            <w:pPr>
              <w:pStyle w:val="NormalWeb"/>
              <w:numPr>
                <w:ilvl w:val="0"/>
                <w:numId w:val="2"/>
              </w:numPr>
              <w:rPr>
                <w:lang w:val="ro-RO"/>
              </w:rPr>
            </w:pPr>
            <w:r w:rsidRPr="00A163A8">
              <w:rPr>
                <w:lang w:val="ro-RO"/>
              </w:rPr>
              <w:t>autoritățile și instituțiile din cadrul sistemului judecătoresc și de urmările penală.</w:t>
            </w:r>
          </w:p>
          <w:p w14:paraId="50FB32D1" w14:textId="5389CE1D" w:rsidR="001D3C24" w:rsidRPr="00A163A8" w:rsidRDefault="001D3C24" w:rsidP="001D3C24">
            <w:pPr>
              <w:pStyle w:val="NormalWeb"/>
              <w:numPr>
                <w:ilvl w:val="0"/>
                <w:numId w:val="3"/>
              </w:numPr>
              <w:rPr>
                <w:lang w:val="ro-RO"/>
              </w:rPr>
            </w:pPr>
            <w:r w:rsidRPr="00A163A8">
              <w:rPr>
                <w:lang w:val="ro-RO"/>
              </w:rPr>
              <w:t>Antreprenorii, în special putem diferenția întreprinzătorii mici și micro de întreprinzătorii mijlocii și mari (care în majoritatea cazurilor sunt reprezentați de asociațiile în care sunt aceștia membri).</w:t>
            </w:r>
          </w:p>
          <w:p w14:paraId="0DE8A484" w14:textId="77777777" w:rsidR="003303EC" w:rsidRPr="00A163A8" w:rsidRDefault="007E491E" w:rsidP="007019CD">
            <w:pPr>
              <w:pStyle w:val="NormalWeb"/>
              <w:rPr>
                <w:sz w:val="20"/>
                <w:szCs w:val="20"/>
                <w:lang w:val="ro-RO"/>
              </w:rPr>
            </w:pPr>
            <w:r w:rsidRPr="00A163A8">
              <w:rPr>
                <w:sz w:val="20"/>
                <w:szCs w:val="20"/>
                <w:lang w:val="ro-RO"/>
              </w:rPr>
              <w:t> </w:t>
            </w:r>
          </w:p>
        </w:tc>
      </w:tr>
      <w:tr w:rsidR="003303EC" w:rsidRPr="00A163A8" w14:paraId="0588772B" w14:textId="77777777" w:rsidTr="007019CD">
        <w:trPr>
          <w:jc w:val="center"/>
        </w:trPr>
        <w:tc>
          <w:tcPr>
            <w:tcW w:w="492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97ED3C" w14:textId="77777777" w:rsidR="003303EC" w:rsidRPr="00D263BF" w:rsidRDefault="007E491E" w:rsidP="007019CD">
            <w:pPr>
              <w:rPr>
                <w:rFonts w:eastAsia="Times New Roman"/>
                <w:i/>
                <w:sz w:val="20"/>
                <w:szCs w:val="20"/>
                <w:lang w:val="ro-RO"/>
              </w:rPr>
            </w:pPr>
            <w:r w:rsidRPr="00D263BF">
              <w:rPr>
                <w:rFonts w:eastAsia="Times New Roman"/>
                <w:i/>
                <w:sz w:val="20"/>
                <w:szCs w:val="20"/>
                <w:lang w:val="ro-RO"/>
              </w:rPr>
              <w:t>b) Explicaţi succint cum (prin ce metode) s-a asigurat consultarea adecvată a părţilor</w:t>
            </w:r>
          </w:p>
        </w:tc>
        <w:tc>
          <w:tcPr>
            <w:tcW w:w="76"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2974EBD8" w14:textId="77777777" w:rsidR="003303EC" w:rsidRPr="00A163A8" w:rsidRDefault="003303EC" w:rsidP="007019CD">
            <w:pPr>
              <w:rPr>
                <w:rFonts w:eastAsia="Times New Roman"/>
                <w:sz w:val="20"/>
                <w:szCs w:val="20"/>
                <w:lang w:val="ro-RO"/>
              </w:rPr>
            </w:pPr>
          </w:p>
        </w:tc>
      </w:tr>
      <w:tr w:rsidR="003303EC" w:rsidRPr="00D171DB" w14:paraId="0B488129" w14:textId="77777777" w:rsidTr="007019CD">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5F505ADA" w14:textId="3E8833E5" w:rsidR="003303EC" w:rsidRPr="00A163A8" w:rsidRDefault="007E491E" w:rsidP="004939DF">
            <w:pPr>
              <w:pStyle w:val="NormalWeb"/>
              <w:ind w:firstLine="373"/>
              <w:rPr>
                <w:lang w:val="ro-RO"/>
              </w:rPr>
            </w:pPr>
            <w:r w:rsidRPr="00A163A8">
              <w:rPr>
                <w:sz w:val="20"/>
                <w:szCs w:val="20"/>
                <w:lang w:val="ro-RO"/>
              </w:rPr>
              <w:t> </w:t>
            </w:r>
            <w:r w:rsidR="004939DF" w:rsidRPr="00A163A8">
              <w:rPr>
                <w:lang w:val="ro-RO"/>
              </w:rPr>
              <w:t>Ideea inițială a proiectul</w:t>
            </w:r>
            <w:r w:rsidR="00D263BF">
              <w:rPr>
                <w:lang w:val="ro-RO"/>
              </w:rPr>
              <w:t>ui</w:t>
            </w:r>
            <w:r w:rsidR="004939DF" w:rsidRPr="00A163A8">
              <w:rPr>
                <w:lang w:val="ro-RO"/>
              </w:rPr>
              <w:t xml:space="preserve"> a fost</w:t>
            </w:r>
            <w:r w:rsidR="00090118" w:rsidRPr="00A163A8">
              <w:rPr>
                <w:lang w:val="ro-RO"/>
              </w:rPr>
              <w:t xml:space="preserve"> lansată încă în 2015 din partea mediului de afaceri</w:t>
            </w:r>
            <w:r w:rsidR="00DD110B" w:rsidRPr="00A163A8">
              <w:rPr>
                <w:rStyle w:val="FootnoteReference"/>
                <w:lang w:val="ro-RO"/>
              </w:rPr>
              <w:footnoteReference w:id="17"/>
            </w:r>
            <w:r w:rsidR="00090118" w:rsidRPr="00A163A8">
              <w:rPr>
                <w:lang w:val="ro-RO"/>
              </w:rPr>
              <w:t>. În ultima perioadă, în a doua jumătate a anului 2019, au fost organizate o serie de runde de discuții cu cele mai relevante asociații de întreprinzător și autoritățile publice centrale: în luna august 2019 discuții au fost lansate în cadrul președinției și consiliului economic al Președintelui RM</w:t>
            </w:r>
            <w:r w:rsidR="00BE5CED" w:rsidRPr="00A163A8">
              <w:rPr>
                <w:rStyle w:val="FootnoteReference"/>
                <w:lang w:val="ro-RO"/>
              </w:rPr>
              <w:footnoteReference w:id="18"/>
            </w:r>
            <w:r w:rsidR="00090118" w:rsidRPr="00A163A8">
              <w:rPr>
                <w:lang w:val="ro-RO"/>
              </w:rPr>
              <w:t xml:space="preserve">, la finele anului 2019 au fost lansate discuții la această temă pe platforma Camerei de Comerț și Industrie cu Prim-ministrul RM, în luna decembrie 2019 au fost organizată ședință de lucru în cadrul </w:t>
            </w:r>
            <w:r w:rsidR="002B0E96" w:rsidRPr="00A163A8">
              <w:rPr>
                <w:lang w:val="ro-RO"/>
              </w:rPr>
              <w:t>Consiliului Econ</w:t>
            </w:r>
            <w:r w:rsidR="00090118" w:rsidRPr="00A163A8">
              <w:rPr>
                <w:lang w:val="ro-RO"/>
              </w:rPr>
              <w:t xml:space="preserve">omic pe </w:t>
            </w:r>
            <w:proofErr w:type="spellStart"/>
            <w:r w:rsidR="00090118" w:rsidRPr="00A163A8">
              <w:rPr>
                <w:lang w:val="ro-RO"/>
              </w:rPr>
              <w:t>lîncă</w:t>
            </w:r>
            <w:proofErr w:type="spellEnd"/>
            <w:r w:rsidR="00090118" w:rsidRPr="00A163A8">
              <w:rPr>
                <w:lang w:val="ro-RO"/>
              </w:rPr>
              <w:t xml:space="preserve"> </w:t>
            </w:r>
            <w:proofErr w:type="spellStart"/>
            <w:r w:rsidR="00090118" w:rsidRPr="00A163A8">
              <w:rPr>
                <w:lang w:val="ro-RO"/>
              </w:rPr>
              <w:t>Prim-Ministrul</w:t>
            </w:r>
            <w:proofErr w:type="spellEnd"/>
            <w:r w:rsidR="00090118" w:rsidRPr="00A163A8">
              <w:rPr>
                <w:lang w:val="ro-RO"/>
              </w:rPr>
              <w:t xml:space="preserve"> RM la care au participat cele mai importante asociații ale mediului de afaceri și autoritățile publice vizate.</w:t>
            </w:r>
            <w:r w:rsidR="00AD2F56" w:rsidRPr="00A163A8">
              <w:rPr>
                <w:rStyle w:val="FootnoteReference"/>
                <w:lang w:val="ro-RO"/>
              </w:rPr>
              <w:footnoteReference w:id="19"/>
            </w:r>
          </w:p>
          <w:p w14:paraId="4F444CA0" w14:textId="45535633" w:rsidR="002B0E96" w:rsidRPr="00A163A8" w:rsidRDefault="002B0E96" w:rsidP="004939DF">
            <w:pPr>
              <w:pStyle w:val="NormalWeb"/>
              <w:ind w:firstLine="373"/>
              <w:rPr>
                <w:lang w:val="ro-RO"/>
              </w:rPr>
            </w:pPr>
            <w:r w:rsidRPr="00A163A8">
              <w:rPr>
                <w:lang w:val="ro-RO"/>
              </w:rPr>
              <w:t>A</w:t>
            </w:r>
            <w:r w:rsidR="00877128" w:rsidRPr="00A163A8">
              <w:rPr>
                <w:lang w:val="ro-RO"/>
              </w:rPr>
              <w:t xml:space="preserve">naliza de </w:t>
            </w:r>
            <w:r w:rsidRPr="00A163A8">
              <w:rPr>
                <w:lang w:val="ro-RO"/>
              </w:rPr>
              <w:t>I</w:t>
            </w:r>
            <w:r w:rsidR="00877128" w:rsidRPr="00A163A8">
              <w:rPr>
                <w:lang w:val="ro-RO"/>
              </w:rPr>
              <w:t>mpact și varianta preliminară a proiectului de lege</w:t>
            </w:r>
            <w:r w:rsidRPr="00A163A8">
              <w:rPr>
                <w:lang w:val="ro-RO"/>
              </w:rPr>
              <w:t xml:space="preserve"> a fost consultată preliminar cu responsabili de reforme instituțional</w:t>
            </w:r>
            <w:r w:rsidR="00877128" w:rsidRPr="00A163A8">
              <w:rPr>
                <w:lang w:val="ro-RO"/>
              </w:rPr>
              <w:t>e</w:t>
            </w:r>
            <w:r w:rsidRPr="00A163A8">
              <w:rPr>
                <w:lang w:val="ro-RO"/>
              </w:rPr>
              <w:t xml:space="preserve"> </w:t>
            </w:r>
            <w:r w:rsidR="00877128" w:rsidRPr="00A163A8">
              <w:rPr>
                <w:lang w:val="ro-RO"/>
              </w:rPr>
              <w:t xml:space="preserve">din </w:t>
            </w:r>
            <w:r w:rsidRPr="00A163A8">
              <w:rPr>
                <w:lang w:val="ro-RO"/>
              </w:rPr>
              <w:t>cadrul C</w:t>
            </w:r>
            <w:r w:rsidR="00877128" w:rsidRPr="00A163A8">
              <w:rPr>
                <w:lang w:val="ro-RO"/>
              </w:rPr>
              <w:t xml:space="preserve">ancelariei de </w:t>
            </w:r>
            <w:r w:rsidRPr="00A163A8">
              <w:rPr>
                <w:lang w:val="ro-RO"/>
              </w:rPr>
              <w:t>S</w:t>
            </w:r>
            <w:r w:rsidR="00877128" w:rsidRPr="00A163A8">
              <w:rPr>
                <w:lang w:val="ro-RO"/>
              </w:rPr>
              <w:t>tat și re</w:t>
            </w:r>
            <w:r w:rsidRPr="00A163A8">
              <w:rPr>
                <w:lang w:val="ro-RO"/>
              </w:rPr>
              <w:t>s</w:t>
            </w:r>
            <w:r w:rsidR="00877128" w:rsidRPr="00A163A8">
              <w:rPr>
                <w:lang w:val="ro-RO"/>
              </w:rPr>
              <w:t>p</w:t>
            </w:r>
            <w:r w:rsidRPr="00A163A8">
              <w:rPr>
                <w:lang w:val="ro-RO"/>
              </w:rPr>
              <w:t>onsabili de impact asupra bugetului din cadrul Min</w:t>
            </w:r>
            <w:r w:rsidR="00877128" w:rsidRPr="00A163A8">
              <w:rPr>
                <w:lang w:val="ro-RO"/>
              </w:rPr>
              <w:t xml:space="preserve">isterului </w:t>
            </w:r>
            <w:r w:rsidRPr="00A163A8">
              <w:rPr>
                <w:lang w:val="ro-RO"/>
              </w:rPr>
              <w:t>Fin</w:t>
            </w:r>
            <w:r w:rsidR="00877128" w:rsidRPr="00A163A8">
              <w:rPr>
                <w:lang w:val="ro-RO"/>
              </w:rPr>
              <w:t>anțelor</w:t>
            </w:r>
            <w:r w:rsidRPr="00A163A8">
              <w:rPr>
                <w:lang w:val="ro-RO"/>
              </w:rPr>
              <w:t>, conform</w:t>
            </w:r>
            <w:r w:rsidR="00877128" w:rsidRPr="00A163A8">
              <w:rPr>
                <w:lang w:val="ro-RO"/>
              </w:rPr>
              <w:t xml:space="preserve"> rigorilor procedurale stabilite de </w:t>
            </w:r>
            <w:r w:rsidR="00D76618" w:rsidRPr="00A163A8">
              <w:rPr>
                <w:lang w:val="ro-RO"/>
              </w:rPr>
              <w:t>Hotăr</w:t>
            </w:r>
            <w:r w:rsidR="00D76618">
              <w:rPr>
                <w:lang w:val="ro-RO"/>
              </w:rPr>
              <w:t>âr</w:t>
            </w:r>
            <w:r w:rsidR="00D76618" w:rsidRPr="00A163A8">
              <w:rPr>
                <w:lang w:val="ro-RO"/>
              </w:rPr>
              <w:t>ea</w:t>
            </w:r>
            <w:r w:rsidR="00877128" w:rsidRPr="00A163A8">
              <w:rPr>
                <w:lang w:val="ro-RO"/>
              </w:rPr>
              <w:t xml:space="preserve"> de </w:t>
            </w:r>
            <w:r w:rsidRPr="00A163A8">
              <w:rPr>
                <w:lang w:val="ro-RO"/>
              </w:rPr>
              <w:t>G</w:t>
            </w:r>
            <w:r w:rsidR="00877128" w:rsidRPr="00A163A8">
              <w:rPr>
                <w:lang w:val="ro-RO"/>
              </w:rPr>
              <w:t>uvern nr.</w:t>
            </w:r>
            <w:r w:rsidRPr="00A163A8">
              <w:rPr>
                <w:lang w:val="ro-RO"/>
              </w:rPr>
              <w:t>23</w:t>
            </w:r>
            <w:r w:rsidR="00877128" w:rsidRPr="00A163A8">
              <w:rPr>
                <w:lang w:val="ro-RO"/>
              </w:rPr>
              <w:t>/2019.</w:t>
            </w:r>
          </w:p>
          <w:p w14:paraId="0C63A45D" w14:textId="77777777" w:rsidR="00877128" w:rsidRPr="00A163A8" w:rsidRDefault="00877128" w:rsidP="00877128">
            <w:pPr>
              <w:pStyle w:val="NormalWeb"/>
              <w:ind w:firstLine="373"/>
              <w:rPr>
                <w:lang w:val="ro-RO"/>
              </w:rPr>
            </w:pPr>
            <w:r w:rsidRPr="00A163A8">
              <w:rPr>
                <w:lang w:val="ro-RO"/>
              </w:rPr>
              <w:t xml:space="preserve">Proiectul și analiza de impact urmează a fi lansate în consultări publice, publicate pe portalul </w:t>
            </w:r>
            <w:proofErr w:type="spellStart"/>
            <w:r w:rsidRPr="00A163A8">
              <w:rPr>
                <w:i/>
                <w:lang w:val="ro-RO"/>
              </w:rPr>
              <w:t>particip.gov.md</w:t>
            </w:r>
            <w:proofErr w:type="spellEnd"/>
            <w:r w:rsidRPr="00A163A8">
              <w:rPr>
                <w:lang w:val="ro-RO"/>
              </w:rPr>
              <w:t>, inclusiv consultate suplimentar în cadrul Grupului de lucru a Comisiei de stat pentru reglementarea activității de întreprinzător.</w:t>
            </w:r>
          </w:p>
          <w:p w14:paraId="28BA39CF" w14:textId="397E8F09" w:rsidR="00AD2F56" w:rsidRPr="00A163A8" w:rsidRDefault="00AD2F56" w:rsidP="00877128">
            <w:pPr>
              <w:pStyle w:val="NormalWeb"/>
              <w:ind w:firstLine="373"/>
              <w:rPr>
                <w:lang w:val="ro-RO"/>
              </w:rPr>
            </w:pPr>
          </w:p>
        </w:tc>
      </w:tr>
      <w:tr w:rsidR="003303EC" w:rsidRPr="00D171DB" w14:paraId="7F5EFCC5" w14:textId="77777777" w:rsidTr="007019CD">
        <w:trPr>
          <w:jc w:val="center"/>
        </w:trPr>
        <w:tc>
          <w:tcPr>
            <w:tcW w:w="492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8FB5E4" w14:textId="77777777" w:rsidR="003303EC" w:rsidRPr="00D263BF" w:rsidRDefault="007E491E" w:rsidP="007019CD">
            <w:pPr>
              <w:rPr>
                <w:rFonts w:eastAsia="Times New Roman"/>
                <w:i/>
                <w:sz w:val="20"/>
                <w:szCs w:val="20"/>
                <w:lang w:val="ro-RO"/>
              </w:rPr>
            </w:pPr>
            <w:r w:rsidRPr="00D263BF">
              <w:rPr>
                <w:rFonts w:eastAsia="Times New Roman"/>
                <w:i/>
                <w:sz w:val="20"/>
                <w:szCs w:val="20"/>
                <w:lang w:val="ro-RO"/>
              </w:rPr>
              <w:t>c) Expuneţi succint poziţia fiecărei entităţi consultate faţă de documentul de analiză a impactului şi/sau intervenţia propusă (se expune poziţia a cel puţin unui exponent din fiecare grup de interese identificat)</w:t>
            </w:r>
          </w:p>
        </w:tc>
        <w:tc>
          <w:tcPr>
            <w:tcW w:w="76"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5F41EE47" w14:textId="77777777" w:rsidR="003303EC" w:rsidRPr="00A163A8" w:rsidRDefault="003303EC" w:rsidP="007019CD">
            <w:pPr>
              <w:rPr>
                <w:rFonts w:eastAsia="Times New Roman"/>
                <w:sz w:val="20"/>
                <w:szCs w:val="20"/>
                <w:lang w:val="ro-RO"/>
              </w:rPr>
            </w:pPr>
          </w:p>
        </w:tc>
      </w:tr>
      <w:tr w:rsidR="003303EC" w:rsidRPr="00D171DB" w14:paraId="7A42C693" w14:textId="77777777" w:rsidTr="007019CD">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7A140FBE" w14:textId="1D1DB246" w:rsidR="003303EC" w:rsidRPr="00A163A8" w:rsidRDefault="002B0E96" w:rsidP="002B0E96">
            <w:pPr>
              <w:pStyle w:val="NormalWeb"/>
              <w:ind w:firstLine="373"/>
              <w:rPr>
                <w:lang w:val="ro-RO"/>
              </w:rPr>
            </w:pPr>
            <w:r w:rsidRPr="00A163A8">
              <w:rPr>
                <w:lang w:val="ro-RO"/>
              </w:rPr>
              <w:t>Toate entitățile vizate susțin</w:t>
            </w:r>
            <w:r w:rsidR="00F74B40" w:rsidRPr="00A163A8">
              <w:rPr>
                <w:lang w:val="ro-RO"/>
              </w:rPr>
              <w:t xml:space="preserve"> de principiu</w:t>
            </w:r>
            <w:r w:rsidRPr="00A163A8">
              <w:rPr>
                <w:lang w:val="ro-RO"/>
              </w:rPr>
              <w:t xml:space="preserve"> opțiunea recomandată.</w:t>
            </w:r>
          </w:p>
          <w:p w14:paraId="2E240E03" w14:textId="75EC747A" w:rsidR="002B0E96" w:rsidRPr="00A163A8" w:rsidRDefault="002B0E96" w:rsidP="002B0E96">
            <w:pPr>
              <w:pStyle w:val="NormalWeb"/>
              <w:ind w:firstLine="373"/>
              <w:rPr>
                <w:lang w:val="ro-RO"/>
              </w:rPr>
            </w:pPr>
            <w:r w:rsidRPr="00A163A8">
              <w:rPr>
                <w:lang w:val="ro-RO"/>
              </w:rPr>
              <w:t>În cadrul agenților economici și asociațiilor de business sunt unele discuții cu privire la varietatea de funcții și atribuții ce necesită a fi acordate avocatului antreprenorilor, precum și despre funcționalitatea instrumentarului propus de legiuitor. Între autoritățile publice sunt recomandări alternative cu privire la statutul și structura oficiului.</w:t>
            </w:r>
          </w:p>
          <w:p w14:paraId="6EACE7BA" w14:textId="77777777" w:rsidR="003303EC" w:rsidRPr="00A163A8" w:rsidRDefault="007E491E" w:rsidP="007019CD">
            <w:pPr>
              <w:pStyle w:val="NormalWeb"/>
              <w:rPr>
                <w:sz w:val="20"/>
                <w:szCs w:val="20"/>
                <w:lang w:val="ro-RO"/>
              </w:rPr>
            </w:pPr>
            <w:r w:rsidRPr="00A163A8">
              <w:rPr>
                <w:sz w:val="20"/>
                <w:szCs w:val="20"/>
                <w:lang w:val="ro-RO"/>
              </w:rPr>
              <w:t> </w:t>
            </w:r>
          </w:p>
        </w:tc>
      </w:tr>
    </w:tbl>
    <w:p w14:paraId="6EC8E6EB" w14:textId="77777777" w:rsidR="003303EC" w:rsidRPr="00A163A8" w:rsidRDefault="007E491E" w:rsidP="007019CD">
      <w:pPr>
        <w:pStyle w:val="NormalWeb"/>
        <w:rPr>
          <w:lang w:val="ro-RO"/>
        </w:rPr>
      </w:pPr>
      <w:bookmarkStart w:id="0" w:name="_GoBack"/>
      <w:bookmarkEnd w:id="0"/>
      <w:r w:rsidRPr="00A163A8">
        <w:rPr>
          <w:lang w:val="ro-RO"/>
        </w:rPr>
        <w:t> </w:t>
      </w:r>
    </w:p>
    <w:tbl>
      <w:tblPr>
        <w:tblW w:w="5301" w:type="pct"/>
        <w:jc w:val="center"/>
        <w:tblCellMar>
          <w:top w:w="15" w:type="dxa"/>
          <w:left w:w="15" w:type="dxa"/>
          <w:bottom w:w="15" w:type="dxa"/>
          <w:right w:w="15" w:type="dxa"/>
        </w:tblCellMar>
        <w:tblLook w:val="04A0" w:firstRow="1" w:lastRow="0" w:firstColumn="1" w:lastColumn="0" w:noHBand="0" w:noVBand="1"/>
      </w:tblPr>
      <w:tblGrid>
        <w:gridCol w:w="7432"/>
        <w:gridCol w:w="949"/>
        <w:gridCol w:w="1117"/>
        <w:gridCol w:w="1117"/>
      </w:tblGrid>
      <w:tr w:rsidR="003303EC" w:rsidRPr="00A163A8" w14:paraId="67C11768" w14:textId="77777777" w:rsidTr="007019CD">
        <w:trPr>
          <w:jc w:val="center"/>
        </w:trPr>
        <w:tc>
          <w:tcPr>
            <w:tcW w:w="5000" w:type="pct"/>
            <w:gridSpan w:val="4"/>
            <w:tcBorders>
              <w:top w:val="nil"/>
              <w:left w:val="nil"/>
              <w:bottom w:val="nil"/>
              <w:right w:val="nil"/>
            </w:tcBorders>
            <w:tcMar>
              <w:top w:w="15" w:type="dxa"/>
              <w:left w:w="45" w:type="dxa"/>
              <w:bottom w:w="15" w:type="dxa"/>
              <w:right w:w="45" w:type="dxa"/>
            </w:tcMar>
            <w:hideMark/>
          </w:tcPr>
          <w:p w14:paraId="2C4FA668" w14:textId="77777777" w:rsidR="003303EC" w:rsidRPr="00A163A8" w:rsidRDefault="007E491E" w:rsidP="007019CD">
            <w:pPr>
              <w:pStyle w:val="rg"/>
              <w:rPr>
                <w:sz w:val="20"/>
                <w:szCs w:val="20"/>
                <w:lang w:val="ro-RO"/>
              </w:rPr>
            </w:pPr>
            <w:r w:rsidRPr="00A163A8">
              <w:rPr>
                <w:b/>
                <w:bCs/>
                <w:sz w:val="20"/>
                <w:szCs w:val="20"/>
                <w:lang w:val="ro-RO"/>
              </w:rPr>
              <w:t xml:space="preserve">Anexă </w:t>
            </w:r>
          </w:p>
          <w:p w14:paraId="06AF9FF4" w14:textId="77777777" w:rsidR="003303EC" w:rsidRPr="00A163A8" w:rsidRDefault="007E491E" w:rsidP="007019CD">
            <w:pPr>
              <w:pStyle w:val="NormalWeb"/>
              <w:rPr>
                <w:sz w:val="20"/>
                <w:szCs w:val="20"/>
                <w:lang w:val="ro-RO"/>
              </w:rPr>
            </w:pPr>
            <w:r w:rsidRPr="00A163A8">
              <w:rPr>
                <w:sz w:val="20"/>
                <w:szCs w:val="20"/>
                <w:lang w:val="ro-RO"/>
              </w:rPr>
              <w:t> </w:t>
            </w:r>
          </w:p>
          <w:p w14:paraId="1A9801A6" w14:textId="77777777" w:rsidR="003303EC" w:rsidRPr="00A163A8" w:rsidRDefault="007E491E" w:rsidP="007019CD">
            <w:pPr>
              <w:pStyle w:val="cb"/>
              <w:rPr>
                <w:sz w:val="20"/>
                <w:szCs w:val="20"/>
                <w:lang w:val="ro-RO"/>
              </w:rPr>
            </w:pPr>
            <w:r w:rsidRPr="00A163A8">
              <w:rPr>
                <w:sz w:val="20"/>
                <w:szCs w:val="20"/>
                <w:lang w:val="ro-RO"/>
              </w:rPr>
              <w:t>Tabel pentru identificarea impacturilor</w:t>
            </w:r>
          </w:p>
          <w:p w14:paraId="54840503" w14:textId="77777777" w:rsidR="003303EC" w:rsidRPr="00A163A8" w:rsidRDefault="007E491E" w:rsidP="007019CD">
            <w:pPr>
              <w:pStyle w:val="NormalWeb"/>
              <w:rPr>
                <w:sz w:val="20"/>
                <w:szCs w:val="20"/>
                <w:lang w:val="ro-RO"/>
              </w:rPr>
            </w:pPr>
            <w:r w:rsidRPr="00A163A8">
              <w:rPr>
                <w:sz w:val="20"/>
                <w:szCs w:val="20"/>
                <w:lang w:val="ro-RO"/>
              </w:rPr>
              <w:t> </w:t>
            </w:r>
          </w:p>
        </w:tc>
      </w:tr>
      <w:tr w:rsidR="003303EC" w:rsidRPr="00A163A8" w14:paraId="708F7FC1"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ABF062" w14:textId="77777777" w:rsidR="003303EC" w:rsidRPr="00A163A8" w:rsidRDefault="007E491E" w:rsidP="007019CD">
            <w:pPr>
              <w:jc w:val="center"/>
              <w:rPr>
                <w:rFonts w:eastAsia="Times New Roman"/>
                <w:b/>
                <w:bCs/>
                <w:sz w:val="20"/>
                <w:szCs w:val="20"/>
                <w:lang w:val="ro-RO"/>
              </w:rPr>
            </w:pPr>
            <w:r w:rsidRPr="00A163A8">
              <w:rPr>
                <w:rFonts w:eastAsia="Times New Roman"/>
                <w:b/>
                <w:bCs/>
                <w:sz w:val="20"/>
                <w:szCs w:val="20"/>
                <w:lang w:val="ro-RO"/>
              </w:rPr>
              <w:t>Categorii de impact</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31C640" w14:textId="77777777" w:rsidR="003303EC" w:rsidRPr="00A163A8" w:rsidRDefault="007E491E" w:rsidP="007019CD">
            <w:pPr>
              <w:jc w:val="center"/>
              <w:rPr>
                <w:rFonts w:eastAsia="Times New Roman"/>
                <w:b/>
                <w:bCs/>
                <w:sz w:val="20"/>
                <w:szCs w:val="20"/>
                <w:lang w:val="ro-RO"/>
              </w:rPr>
            </w:pPr>
            <w:r w:rsidRPr="00A163A8">
              <w:rPr>
                <w:rFonts w:eastAsia="Times New Roman"/>
                <w:b/>
                <w:bCs/>
                <w:sz w:val="20"/>
                <w:szCs w:val="20"/>
                <w:lang w:val="ro-RO"/>
              </w:rPr>
              <w:t>Punctaj atribuit</w:t>
            </w:r>
          </w:p>
        </w:tc>
      </w:tr>
      <w:tr w:rsidR="003303EC" w:rsidRPr="00A163A8" w14:paraId="295074EA"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250EA4" w14:textId="77777777" w:rsidR="003303EC" w:rsidRPr="00A163A8" w:rsidRDefault="003303EC" w:rsidP="007019CD">
            <w:pPr>
              <w:jc w:val="center"/>
              <w:rPr>
                <w:rFonts w:eastAsia="Times New Roman"/>
                <w:b/>
                <w:bCs/>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AF8969" w14:textId="77777777" w:rsidR="003303EC" w:rsidRPr="00A163A8" w:rsidRDefault="007E491E" w:rsidP="007019CD">
            <w:pPr>
              <w:jc w:val="center"/>
              <w:rPr>
                <w:rFonts w:eastAsia="Times New Roman"/>
                <w:sz w:val="20"/>
                <w:szCs w:val="20"/>
                <w:lang w:val="ro-RO"/>
              </w:rPr>
            </w:pPr>
            <w:r w:rsidRPr="00A163A8">
              <w:rPr>
                <w:rFonts w:eastAsia="Times New Roman"/>
                <w:i/>
                <w:iCs/>
                <w:sz w:val="20"/>
                <w:szCs w:val="20"/>
                <w:lang w:val="ro-RO"/>
              </w:rPr>
              <w:t>Opţiunea propusă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376733" w14:textId="77777777" w:rsidR="003303EC" w:rsidRPr="00A163A8" w:rsidRDefault="007E491E" w:rsidP="007019CD">
            <w:pPr>
              <w:jc w:val="center"/>
              <w:rPr>
                <w:rFonts w:eastAsia="Times New Roman"/>
                <w:sz w:val="20"/>
                <w:szCs w:val="20"/>
                <w:lang w:val="ro-RO"/>
              </w:rPr>
            </w:pPr>
            <w:r w:rsidRPr="00A163A8">
              <w:rPr>
                <w:rFonts w:eastAsia="Times New Roman"/>
                <w:i/>
                <w:iCs/>
                <w:sz w:val="20"/>
                <w:szCs w:val="20"/>
                <w:lang w:val="ro-RO"/>
              </w:rPr>
              <w:t>Opţiunea alterativă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7ED223" w14:textId="77777777" w:rsidR="003303EC" w:rsidRPr="00A163A8" w:rsidRDefault="007E491E" w:rsidP="007019CD">
            <w:pPr>
              <w:jc w:val="center"/>
              <w:rPr>
                <w:rFonts w:eastAsia="Times New Roman"/>
                <w:sz w:val="20"/>
                <w:szCs w:val="20"/>
                <w:lang w:val="ro-RO"/>
              </w:rPr>
            </w:pPr>
            <w:r w:rsidRPr="00A163A8">
              <w:rPr>
                <w:rFonts w:eastAsia="Times New Roman"/>
                <w:i/>
                <w:iCs/>
                <w:sz w:val="20"/>
                <w:szCs w:val="20"/>
                <w:lang w:val="ro-RO"/>
              </w:rPr>
              <w:t>Opţiunea alterativă 2</w:t>
            </w:r>
          </w:p>
        </w:tc>
      </w:tr>
      <w:tr w:rsidR="003303EC" w:rsidRPr="00A163A8" w14:paraId="760A1B93" w14:textId="77777777" w:rsidTr="007019CD">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A1F394" w14:textId="77777777" w:rsidR="003303EC" w:rsidRPr="00A163A8" w:rsidRDefault="007E491E" w:rsidP="007019CD">
            <w:pPr>
              <w:rPr>
                <w:rFonts w:eastAsia="Times New Roman"/>
                <w:sz w:val="20"/>
                <w:szCs w:val="20"/>
                <w:lang w:val="ro-RO"/>
              </w:rPr>
            </w:pPr>
            <w:r w:rsidRPr="00A163A8">
              <w:rPr>
                <w:rFonts w:eastAsia="Times New Roman"/>
                <w:b/>
                <w:bCs/>
                <w:sz w:val="20"/>
                <w:szCs w:val="20"/>
                <w:lang w:val="ro-RO"/>
              </w:rPr>
              <w:t>Economic</w:t>
            </w:r>
          </w:p>
        </w:tc>
      </w:tr>
      <w:tr w:rsidR="00555C57" w:rsidRPr="00A163A8" w14:paraId="58882D41"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D0DA0C"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costurile desfăşurării afacerilor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4A041B"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8C627C"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AB37CB"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561BC3D8"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3CED87"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povara administrativă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7148DB"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04DA4A"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3735E6"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2BC2766D"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352916"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fluxurile comerciale şi investiţionale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75EEE2"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5A2F4A"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D51CE7"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46FFE936"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460964"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competitivitatea afacerilor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E31A58"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7673B8"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4213D8"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55C042B1"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A288BE"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lastRenderedPageBreak/>
              <w:t>activitatea diferitor categorii de întreprinderi mici şi mijlocii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64CFD8"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865DC0"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C73EC7"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1A7F18CF"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CB5771"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concurenţa pe piaţă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E66D68"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000313"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82D701"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61920E24"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E76FB4"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activitatea de inovare şi cercetare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B51034"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3B5D21"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708458"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274FC2C4"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3563C1"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veniturile şi cheltuielile publice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40B371"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309EBC"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468457"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37B9FF5E"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EFA5C8"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cadrul instituţional al autorităţilor publice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B7B58F"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BD08DD"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09DEEE"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6C37E90C"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8687BF"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alegerea, calitatea şi preţurile pentru consumatori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1298FB"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83B2EA"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73C420"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7054A91D"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F46101"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bunăstarea gospodăriilor casnice şi a cetăţenilor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3A2FB7"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455CD8"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078A62"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6EA4489C"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E8C3BA"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situaţia social-economică în anumite regiuni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A9C30F"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AD0677"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DDF246"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0466AAB8"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827911"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situaţia macroeconomică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6B4656"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761DD2"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62CD31"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1A2375AC"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B0071E"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alte aspecte economice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0E0589"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F70127"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F431B4"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3303EC" w:rsidRPr="00A163A8" w14:paraId="2FE2F84D" w14:textId="77777777" w:rsidTr="007019CD">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661290" w14:textId="77777777" w:rsidR="003303EC" w:rsidRPr="00A163A8" w:rsidRDefault="007E491E" w:rsidP="007019CD">
            <w:pPr>
              <w:rPr>
                <w:rFonts w:eastAsia="Times New Roman"/>
                <w:sz w:val="20"/>
                <w:szCs w:val="20"/>
                <w:lang w:val="ro-RO"/>
              </w:rPr>
            </w:pPr>
            <w:r w:rsidRPr="00A163A8">
              <w:rPr>
                <w:rFonts w:eastAsia="Times New Roman"/>
                <w:b/>
                <w:bCs/>
                <w:sz w:val="20"/>
                <w:szCs w:val="20"/>
                <w:lang w:val="ro-RO"/>
              </w:rPr>
              <w:t>Social</w:t>
            </w:r>
          </w:p>
        </w:tc>
      </w:tr>
      <w:tr w:rsidR="00555C57" w:rsidRPr="00A163A8" w14:paraId="0306DB01"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5C8195"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gradul de ocupare a forţei de muncă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E40247"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382CC4"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1A4646"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7FAE092E"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0C543C"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nivelul de salarizare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085559"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BEEFC1"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009057"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6E3286B7"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A33706"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condiţiile şi organizarea muncii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82D132"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A05A35"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B18470"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76819EED"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670601"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sănătatea şi securitatea muncii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5E2104"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256953"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466AF2"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41C406FD"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BAE235"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formarea profesională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84EBB0"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529002"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6B8B19"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059859A3"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4CE7A3"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inegalitatea şi distribuţia veniturilor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5F15E1"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D74563"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8DA8F9"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45918B3F"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B37B63"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nivelul veniturilor populaţiei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914F25"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96118A"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2B9F78"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23820220"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97C2C1"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nivelul sărăciei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176246"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21CA29"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553940"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4BB6A948"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98501A"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accesul la bunuri şi servicii de bază, în special pentru persoanele social-vulnerabile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45E469"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5890B8"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B4D75C"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4DF41F4E"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890639"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diversitatea culturală şi lingvistică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C09518"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249222"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070913"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2635D681"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61C16A"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partidele politice şi organizaţiile civice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45BD53"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7CED5F"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AB35A5"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2E94D503"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72EB5A"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sănătatea publică, inclusiv mortalitatea şi morbiditatea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BBC964"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29D82C"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56D777"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760E6802"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BC9355"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modul sănătos de viaţă al populaţiei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6CE30B"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4EFB8E"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155944"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6ABE5551"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B8FA8E"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nivelul criminalităţii şi securităţii publice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70EDBB"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5CF81A"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A6B6C3"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6ACB7B35"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DBF5A5"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accesul şi calitatea serviciilor de protecţie socială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6B8006"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1B5227"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2B7244"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55A08090"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429EA9"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accesul şi calitatea serviciilor educaţionale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CD7D5A"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4EDC3C"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63AAE9"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1274E032"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70FEF0"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accesul şi calitatea serviciilor medicale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F102DF"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07FC02"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5B87C8"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3FE9B049"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C99E28"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accesul şi calitatea serviciilor publice administrative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C51CA7"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E90E61"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D985A9"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7EEB8E3F"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1CBF28"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nivelul şi calitatea educaţiei populaţiei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DE24D2"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37441C"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3CE360"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31CBAC9C"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BD05D1"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conservarea patrimoniului cultural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94F160"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FCD089"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D8D761"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298B7E34"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A9A6A0"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accesul populaţiei la resurse culturale şi participarea în manifestaţii culturale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6A2CAE"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40E010"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E078E9"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47553FB3"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755885"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accesul şi participarea populaţiei în activităţi sportive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D1D909"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7FE544"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8B47FB"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25786276"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7995DD"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discriminarea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76FEF9"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207F6F"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C58B29"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4A9F4A2F"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66160C"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alte aspecte sociale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688148"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348676"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175EDD"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3303EC" w:rsidRPr="00A163A8" w14:paraId="499EEB94" w14:textId="77777777" w:rsidTr="007019CD">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EDB754" w14:textId="77777777" w:rsidR="003303EC" w:rsidRPr="00A163A8" w:rsidRDefault="007E491E" w:rsidP="007019CD">
            <w:pPr>
              <w:rPr>
                <w:rFonts w:eastAsia="Times New Roman"/>
                <w:sz w:val="20"/>
                <w:szCs w:val="20"/>
                <w:lang w:val="ro-RO"/>
              </w:rPr>
            </w:pPr>
            <w:r w:rsidRPr="00A163A8">
              <w:rPr>
                <w:rFonts w:eastAsia="Times New Roman"/>
                <w:b/>
                <w:bCs/>
                <w:sz w:val="20"/>
                <w:szCs w:val="20"/>
                <w:lang w:val="ro-RO"/>
              </w:rPr>
              <w:t>De mediu</w:t>
            </w:r>
          </w:p>
        </w:tc>
      </w:tr>
      <w:tr w:rsidR="00555C57" w:rsidRPr="00A163A8" w14:paraId="265F74F9"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C07357"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clima, inclusiv emisiile gazelor cu efect de seră şi celor care afectează stratul de ozon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15C3FF"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0CDCFD"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869719"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28DB3F41"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173499"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calitatea aerului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4997A5"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4B420C"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31AD89"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186E6585"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167C52"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calitatea şi cantitatea apei şi resurselor acvatice, inclusiv a apei potabile şi de alt gen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AC6294"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4EAD4B"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5AF4CF"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514FA420"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395B42"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biodiversitatea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6ED8CE"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802AE9"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FAD87B"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43CF5F4D"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58375D"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flora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50DF87"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9BF185"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8D4CFD"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10C30852"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87DB34"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fauna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F0FF48"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7E3923"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62AE3D"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3360BA8D"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22E112"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peisajele naturale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213A9E"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D29964"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534A93"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211FEC42"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E18233"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starea şi resursele solului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4CA33E"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1F244A"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C00F83"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4435C46D"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B76762"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producerea şi reciclarea deşeurilor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05F869"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17BDDE"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DBD2E1"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7FA22AED"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BD5666"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utilizarea eficientă a resurselor regenerabile şi neregenerabile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A867DD"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A556D6"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012982"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51132762"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55C9FA"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consumul şi producţia durabilă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32234E"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815CFA"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D89D31"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5C0B63BF"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DAB87C"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intensitatea energetică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E45DBD"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ECFCB2"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A6F4D4"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195A186B"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FE849B"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eficienţa şi performanţa energetică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320F91"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8BFEAC"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B5F3E4"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020900B6"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678941"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bunăstarea animalelor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095EEE"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8B7B8B"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0F6E59"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25AC23E7"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6CF853"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riscuri majore pentru mediu (incendii, explozii, accidente etc.)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7F4717"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D6FF5F"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0F93F6"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1F44B4F6"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EA1F19"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lastRenderedPageBreak/>
              <w:t>utilizarea terenurilor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B7D52D"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7A0A0B"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E03B02"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555C57" w:rsidRPr="00A163A8" w14:paraId="33E2F8A7" w14:textId="77777777" w:rsidTr="001C570B">
        <w:trPr>
          <w:jc w:val="center"/>
        </w:trPr>
        <w:tc>
          <w:tcPr>
            <w:tcW w:w="34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DF1750" w14:textId="77777777" w:rsidR="00555C57" w:rsidRPr="00A163A8" w:rsidRDefault="00555C57" w:rsidP="00555C57">
            <w:pPr>
              <w:rPr>
                <w:rFonts w:eastAsia="Times New Roman"/>
                <w:sz w:val="20"/>
                <w:szCs w:val="20"/>
                <w:lang w:val="ro-RO"/>
              </w:rPr>
            </w:pPr>
            <w:r w:rsidRPr="00A163A8">
              <w:rPr>
                <w:rFonts w:eastAsia="Times New Roman"/>
                <w:sz w:val="20"/>
                <w:szCs w:val="20"/>
                <w:lang w:val="ro-RO"/>
              </w:rPr>
              <w:t>alte aspecte de mediu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8E18A6" w14:textId="77777777" w:rsidR="00555C57" w:rsidRPr="00A163A8" w:rsidRDefault="00FF2B1D" w:rsidP="00FF2B1D">
            <w:pPr>
              <w:jc w:val="center"/>
              <w:rPr>
                <w:rFonts w:eastAsia="Times New Roman"/>
                <w:sz w:val="20"/>
                <w:szCs w:val="20"/>
                <w:lang w:val="ro-RO"/>
              </w:rPr>
            </w:pPr>
            <w:r w:rsidRPr="00A163A8">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54882C"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F8E12B" w14:textId="77777777" w:rsidR="00555C57" w:rsidRPr="00A163A8" w:rsidRDefault="00555C57" w:rsidP="00555C57">
            <w:pPr>
              <w:jc w:val="center"/>
              <w:rPr>
                <w:rFonts w:eastAsia="Times New Roman"/>
                <w:sz w:val="20"/>
                <w:szCs w:val="20"/>
                <w:lang w:val="ro-RO"/>
              </w:rPr>
            </w:pPr>
            <w:r w:rsidRPr="00A163A8">
              <w:rPr>
                <w:rFonts w:eastAsia="Times New Roman"/>
                <w:sz w:val="20"/>
                <w:szCs w:val="20"/>
                <w:lang w:val="ro-RO"/>
              </w:rPr>
              <w:t>-</w:t>
            </w:r>
          </w:p>
        </w:tc>
      </w:tr>
      <w:tr w:rsidR="003303EC" w:rsidRPr="00D171DB" w14:paraId="6A560897" w14:textId="77777777" w:rsidTr="007019CD">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69E3D4" w14:textId="77777777" w:rsidR="003303EC" w:rsidRPr="00A163A8" w:rsidRDefault="007E491E" w:rsidP="007019CD">
            <w:pPr>
              <w:pStyle w:val="NormalWeb"/>
              <w:rPr>
                <w:sz w:val="20"/>
                <w:szCs w:val="20"/>
                <w:lang w:val="ro-RO"/>
              </w:rPr>
            </w:pPr>
            <w:r w:rsidRPr="00A163A8">
              <w:rPr>
                <w:i/>
                <w:iCs/>
                <w:sz w:val="20"/>
                <w:szCs w:val="20"/>
                <w:lang w:val="ro-RO"/>
              </w:rPr>
              <w:t>Tabelul se completează cu note de la -3 la +3, în drept cu fiecare categorie de impact, pentru fiecare opţiune analizată, unde variaţia între -3 şi -1 reprezintă impacturi negative (costuri), iar variaţia între 1 şi 3 – impacturi pozitive (beneficii) pentru categoriile de impact analizate. Nota 0 reprezintă lipsa impacturilor. Valoarea acordată corespunde cu intensitatea impactului (1 – minor, 2 – mediu, 3 – major) faţă de situaţia din opţiunea „a nu face nimic”, în comparaţie cu situaţia din alte opţiuni şi alte categorii de impact. Impacturile identificate prin acest tabel se descriu pe larg, cu argumentarea punctajului acordat, inclusiv prin date cuantificate, în compartimentul 4 din Formular, lit.b</w:t>
            </w:r>
            <w:r w:rsidRPr="00A163A8">
              <w:rPr>
                <w:i/>
                <w:iCs/>
                <w:sz w:val="20"/>
                <w:szCs w:val="20"/>
                <w:vertAlign w:val="superscript"/>
                <w:lang w:val="ro-RO"/>
              </w:rPr>
              <w:t>1</w:t>
            </w:r>
            <w:r w:rsidRPr="00A163A8">
              <w:rPr>
                <w:i/>
                <w:iCs/>
                <w:sz w:val="20"/>
                <w:szCs w:val="20"/>
                <w:lang w:val="ro-RO"/>
              </w:rPr>
              <w:t>) şi, după caz, b</w:t>
            </w:r>
            <w:r w:rsidRPr="00A163A8">
              <w:rPr>
                <w:i/>
                <w:iCs/>
                <w:sz w:val="20"/>
                <w:szCs w:val="20"/>
                <w:vertAlign w:val="superscript"/>
                <w:lang w:val="ro-RO"/>
              </w:rPr>
              <w:t>2</w:t>
            </w:r>
            <w:r w:rsidRPr="00A163A8">
              <w:rPr>
                <w:i/>
                <w:iCs/>
                <w:sz w:val="20"/>
                <w:szCs w:val="20"/>
                <w:lang w:val="ro-RO"/>
              </w:rPr>
              <w:t>), privind analiza impacturilor opţiunilor.</w:t>
            </w:r>
          </w:p>
        </w:tc>
      </w:tr>
    </w:tbl>
    <w:p w14:paraId="37360F0A" w14:textId="3AD2B254" w:rsidR="007E491E" w:rsidRPr="00A163A8" w:rsidRDefault="007E491E" w:rsidP="007019CD">
      <w:pPr>
        <w:pStyle w:val="NormalWeb"/>
        <w:rPr>
          <w:lang w:val="ro-RO"/>
        </w:rPr>
      </w:pPr>
    </w:p>
    <w:sectPr w:rsidR="007E491E" w:rsidRPr="00A163A8" w:rsidSect="00FE7145">
      <w:footerReference w:type="default" r:id="rId14"/>
      <w:pgSz w:w="11906" w:h="16838"/>
      <w:pgMar w:top="1276" w:right="850"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8387A1" w14:textId="77777777" w:rsidR="00613766" w:rsidRDefault="00613766" w:rsidP="006257A7">
      <w:r>
        <w:separator/>
      </w:r>
    </w:p>
  </w:endnote>
  <w:endnote w:type="continuationSeparator" w:id="0">
    <w:p w14:paraId="6FC87963" w14:textId="77777777" w:rsidR="00613766" w:rsidRDefault="00613766" w:rsidP="00625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5357185"/>
      <w:docPartObj>
        <w:docPartGallery w:val="Page Numbers (Bottom of Page)"/>
        <w:docPartUnique/>
      </w:docPartObj>
    </w:sdtPr>
    <w:sdtEndPr>
      <w:rPr>
        <w:noProof/>
      </w:rPr>
    </w:sdtEndPr>
    <w:sdtContent>
      <w:p w14:paraId="14D57E56" w14:textId="3CDEFF30" w:rsidR="005C1E5E" w:rsidRDefault="005C1E5E">
        <w:pPr>
          <w:pStyle w:val="Footer"/>
          <w:jc w:val="right"/>
        </w:pPr>
        <w:r>
          <w:fldChar w:fldCharType="begin"/>
        </w:r>
        <w:r>
          <w:instrText xml:space="preserve"> PAGE   \* MERGEFORMAT </w:instrText>
        </w:r>
        <w:r>
          <w:fldChar w:fldCharType="separate"/>
        </w:r>
        <w:r w:rsidR="001C570B">
          <w:rPr>
            <w:noProof/>
          </w:rPr>
          <w:t>1</w:t>
        </w:r>
        <w:r>
          <w:rPr>
            <w:noProof/>
          </w:rPr>
          <w:fldChar w:fldCharType="end"/>
        </w:r>
      </w:p>
    </w:sdtContent>
  </w:sdt>
  <w:p w14:paraId="05A851B6" w14:textId="77777777" w:rsidR="005C1E5E" w:rsidRDefault="005C1E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B6C969" w14:textId="77777777" w:rsidR="00613766" w:rsidRDefault="00613766" w:rsidP="006257A7">
      <w:r>
        <w:separator/>
      </w:r>
    </w:p>
  </w:footnote>
  <w:footnote w:type="continuationSeparator" w:id="0">
    <w:p w14:paraId="58EA7FCE" w14:textId="77777777" w:rsidR="00613766" w:rsidRDefault="00613766" w:rsidP="006257A7">
      <w:r>
        <w:continuationSeparator/>
      </w:r>
    </w:p>
  </w:footnote>
  <w:footnote w:id="1">
    <w:p w14:paraId="3F722947" w14:textId="77777777" w:rsidR="005C1E5E" w:rsidRPr="006257A7" w:rsidRDefault="005C1E5E">
      <w:pPr>
        <w:pStyle w:val="FootnoteText"/>
        <w:rPr>
          <w:lang w:val="ro-RO"/>
        </w:rPr>
      </w:pPr>
      <w:r>
        <w:rPr>
          <w:rStyle w:val="FootnoteReference"/>
        </w:rPr>
        <w:footnoteRef/>
      </w:r>
      <w:r>
        <w:t xml:space="preserve"> „</w:t>
      </w:r>
      <w:proofErr w:type="spellStart"/>
      <w:r>
        <w:t>Costul</w:t>
      </w:r>
      <w:proofErr w:type="spellEnd"/>
      <w:r>
        <w:t xml:space="preserve"> </w:t>
      </w:r>
      <w:proofErr w:type="spellStart"/>
      <w:r>
        <w:t>Reglementării</w:t>
      </w:r>
      <w:proofErr w:type="spellEnd"/>
      <w:r>
        <w:t xml:space="preserve"> de Stat a </w:t>
      </w:r>
      <w:proofErr w:type="spellStart"/>
      <w:r>
        <w:t>Activității</w:t>
      </w:r>
      <w:proofErr w:type="spellEnd"/>
      <w:r>
        <w:t xml:space="preserve"> de </w:t>
      </w:r>
      <w:proofErr w:type="spellStart"/>
      <w:r>
        <w:t>Întreprinzător</w:t>
      </w:r>
      <w:proofErr w:type="spellEnd"/>
      <w:r>
        <w:t xml:space="preserve">”, Banca </w:t>
      </w:r>
      <w:proofErr w:type="spellStart"/>
      <w:r>
        <w:t>Mondială</w:t>
      </w:r>
      <w:proofErr w:type="spellEnd"/>
      <w:r>
        <w:t xml:space="preserve">, </w:t>
      </w:r>
      <w:proofErr w:type="spellStart"/>
      <w:r>
        <w:t>Chișinău</w:t>
      </w:r>
      <w:proofErr w:type="spellEnd"/>
      <w:r>
        <w:t xml:space="preserve"> 2020, pag.67 </w:t>
      </w:r>
      <w:hyperlink r:id="rId1" w:history="1">
        <w:r>
          <w:rPr>
            <w:rStyle w:val="Hyperlink"/>
          </w:rPr>
          <w:t>http://uipac.md/uploads/0/images/large/codb-2019-raport-rom.pdf</w:t>
        </w:r>
      </w:hyperlink>
    </w:p>
  </w:footnote>
  <w:footnote w:id="2">
    <w:p w14:paraId="24D1E933" w14:textId="58A42E38" w:rsidR="005C1E5E" w:rsidRPr="00C2549B" w:rsidRDefault="005C1E5E">
      <w:pPr>
        <w:pStyle w:val="FootnoteText"/>
        <w:rPr>
          <w:lang w:val="ro-RO"/>
        </w:rPr>
      </w:pPr>
      <w:r>
        <w:rPr>
          <w:rStyle w:val="FootnoteReference"/>
        </w:rPr>
        <w:footnoteRef/>
      </w:r>
      <w:r w:rsidRPr="00C2549B">
        <w:rPr>
          <w:lang w:val="ro-RO"/>
        </w:rPr>
        <w:t xml:space="preserve"> </w:t>
      </w:r>
      <w:proofErr w:type="spellStart"/>
      <w:r>
        <w:t>Costul</w:t>
      </w:r>
      <w:proofErr w:type="spellEnd"/>
      <w:r>
        <w:t xml:space="preserve"> </w:t>
      </w:r>
      <w:proofErr w:type="spellStart"/>
      <w:r>
        <w:t>Reglementării</w:t>
      </w:r>
      <w:proofErr w:type="spellEnd"/>
      <w:r>
        <w:t xml:space="preserve"> de Stat a </w:t>
      </w:r>
      <w:proofErr w:type="spellStart"/>
      <w:r>
        <w:t>Activității</w:t>
      </w:r>
      <w:proofErr w:type="spellEnd"/>
      <w:r>
        <w:t xml:space="preserve"> de </w:t>
      </w:r>
      <w:proofErr w:type="spellStart"/>
      <w:r>
        <w:t>Întreprinzător</w:t>
      </w:r>
      <w:proofErr w:type="spellEnd"/>
      <w:r>
        <w:t xml:space="preserve">”, Banca </w:t>
      </w:r>
      <w:proofErr w:type="spellStart"/>
      <w:r>
        <w:t>Mondială</w:t>
      </w:r>
      <w:proofErr w:type="spellEnd"/>
      <w:r>
        <w:t xml:space="preserve">, </w:t>
      </w:r>
      <w:proofErr w:type="spellStart"/>
      <w:r>
        <w:t>Chișinău</w:t>
      </w:r>
      <w:proofErr w:type="spellEnd"/>
      <w:r>
        <w:t xml:space="preserve"> 2020, </w:t>
      </w:r>
      <w:hyperlink r:id="rId2" w:history="1">
        <w:r>
          <w:rPr>
            <w:rStyle w:val="Hyperlink"/>
          </w:rPr>
          <w:t>http://uipac.md/uploads/0/images/large/codb-2019-raport-rom.pdf</w:t>
        </w:r>
      </w:hyperlink>
    </w:p>
  </w:footnote>
  <w:footnote w:id="3">
    <w:p w14:paraId="6EBF3F1B" w14:textId="62C76468" w:rsidR="005C1E5E" w:rsidRPr="00131E63" w:rsidRDefault="005C1E5E">
      <w:pPr>
        <w:pStyle w:val="FootnoteText"/>
        <w:rPr>
          <w:lang w:val="ro-RO"/>
        </w:rPr>
      </w:pPr>
      <w:r>
        <w:rPr>
          <w:rStyle w:val="FootnoteReference"/>
        </w:rPr>
        <w:footnoteRef/>
      </w:r>
      <w:r w:rsidRPr="00131E63">
        <w:rPr>
          <w:lang w:val="ro-RO"/>
        </w:rPr>
        <w:t xml:space="preserve"> </w:t>
      </w:r>
      <w:r>
        <w:rPr>
          <w:lang w:val="ro-RO"/>
        </w:rPr>
        <w:t>Ibid. p.33-34</w:t>
      </w:r>
    </w:p>
  </w:footnote>
  <w:footnote w:id="4">
    <w:p w14:paraId="250E131B" w14:textId="15142B6D" w:rsidR="005C1E5E" w:rsidRPr="00131E63" w:rsidRDefault="005C1E5E">
      <w:pPr>
        <w:pStyle w:val="FootnoteText"/>
        <w:rPr>
          <w:lang w:val="ro-RO"/>
        </w:rPr>
      </w:pPr>
      <w:r>
        <w:rPr>
          <w:rStyle w:val="FootnoteReference"/>
        </w:rPr>
        <w:footnoteRef/>
      </w:r>
      <w:r w:rsidRPr="00131E63">
        <w:rPr>
          <w:lang w:val="ro-RO"/>
        </w:rPr>
        <w:t xml:space="preserve"> </w:t>
      </w:r>
      <w:r>
        <w:rPr>
          <w:lang w:val="ro-RO"/>
        </w:rPr>
        <w:t>Ibid. p.42</w:t>
      </w:r>
    </w:p>
  </w:footnote>
  <w:footnote w:id="5">
    <w:p w14:paraId="274D3983" w14:textId="77777777" w:rsidR="005C1E5E" w:rsidRPr="00B53EFE" w:rsidRDefault="005C1E5E" w:rsidP="009D689E">
      <w:pPr>
        <w:pStyle w:val="FootnoteText"/>
        <w:rPr>
          <w:lang w:val="ro-RO"/>
        </w:rPr>
      </w:pPr>
      <w:r>
        <w:rPr>
          <w:rStyle w:val="FootnoteReference"/>
        </w:rPr>
        <w:footnoteRef/>
      </w:r>
      <w:r w:rsidRPr="00B53EFE">
        <w:rPr>
          <w:lang w:val="ro-RO"/>
        </w:rPr>
        <w:t xml:space="preserve"> </w:t>
      </w:r>
      <w:hyperlink r:id="rId3" w:history="1">
        <w:r w:rsidRPr="00B53EFE">
          <w:rPr>
            <w:rStyle w:val="Hyperlink"/>
            <w:lang w:val="ro-RO"/>
          </w:rPr>
          <w:t>http://www3.weforum.org/docs/WEF_TheGlobalCompetitivenessReport2019.pdf</w:t>
        </w:r>
      </w:hyperlink>
    </w:p>
  </w:footnote>
  <w:footnote w:id="6">
    <w:p w14:paraId="682D1D3F" w14:textId="71CC86EA" w:rsidR="005C1E5E" w:rsidRPr="001A065D" w:rsidRDefault="005C1E5E">
      <w:pPr>
        <w:pStyle w:val="FootnoteText"/>
        <w:rPr>
          <w:lang w:val="ro-RO"/>
        </w:rPr>
      </w:pPr>
      <w:r>
        <w:rPr>
          <w:rStyle w:val="FootnoteReference"/>
        </w:rPr>
        <w:footnoteRef/>
      </w:r>
      <w:r w:rsidRPr="001A065D">
        <w:rPr>
          <w:lang w:val="ro-RO"/>
        </w:rPr>
        <w:t xml:space="preserve"> </w:t>
      </w:r>
      <w:r w:rsidR="00613766">
        <w:fldChar w:fldCharType="begin"/>
      </w:r>
      <w:r w:rsidR="00613766" w:rsidRPr="001C570B">
        <w:rPr>
          <w:lang w:val="ro-RO"/>
        </w:rPr>
        <w:instrText xml:space="preserve"> HYPERLINK "https://www.doingbusiness.org/en/rankings" </w:instrText>
      </w:r>
      <w:r w:rsidR="00613766">
        <w:fldChar w:fldCharType="separate"/>
      </w:r>
      <w:r w:rsidRPr="001A065D">
        <w:rPr>
          <w:rStyle w:val="Hyperlink"/>
          <w:lang w:val="ro-RO"/>
        </w:rPr>
        <w:t>https://www.doingbusiness.org/en/rankings</w:t>
      </w:r>
      <w:r w:rsidR="00613766">
        <w:rPr>
          <w:rStyle w:val="Hyperlink"/>
          <w:lang w:val="ro-RO"/>
        </w:rPr>
        <w:fldChar w:fldCharType="end"/>
      </w:r>
      <w:r w:rsidRPr="001A065D">
        <w:rPr>
          <w:lang w:val="ro-RO"/>
        </w:rPr>
        <w:t xml:space="preserve"> </w:t>
      </w:r>
    </w:p>
  </w:footnote>
  <w:footnote w:id="7">
    <w:p w14:paraId="14DA6763" w14:textId="7DA2512D" w:rsidR="005C1E5E" w:rsidRPr="00F13A2A" w:rsidRDefault="005C1E5E">
      <w:pPr>
        <w:pStyle w:val="FootnoteText"/>
        <w:rPr>
          <w:lang w:val="ro-RO"/>
        </w:rPr>
      </w:pPr>
      <w:r>
        <w:rPr>
          <w:rStyle w:val="FootnoteReference"/>
        </w:rPr>
        <w:footnoteRef/>
      </w:r>
      <w:r w:rsidRPr="00F13A2A">
        <w:rPr>
          <w:lang w:val="ro-RO"/>
        </w:rPr>
        <w:t xml:space="preserve"> </w:t>
      </w:r>
      <w:r w:rsidR="00613766">
        <w:fldChar w:fldCharType="begin"/>
      </w:r>
      <w:r w:rsidR="00613766" w:rsidRPr="001C570B">
        <w:rPr>
          <w:lang w:val="ro-RO"/>
        </w:rPr>
        <w:instrText xml:space="preserve"> HYPERLINK "https://www.ebrd.com/what-we-do/sectors-and-topics/business-ombudsman-initiatives.html" </w:instrText>
      </w:r>
      <w:r w:rsidR="00613766">
        <w:fldChar w:fldCharType="separate"/>
      </w:r>
      <w:r w:rsidRPr="00F13A2A">
        <w:rPr>
          <w:rStyle w:val="Hyperlink"/>
          <w:lang w:val="ro-RO"/>
        </w:rPr>
        <w:t>https://www.ebrd.com/what-we-do/sectors-and-topics/business-ombudsman-initiatives.html</w:t>
      </w:r>
      <w:r w:rsidR="00613766">
        <w:rPr>
          <w:rStyle w:val="Hyperlink"/>
          <w:lang w:val="ro-RO"/>
        </w:rPr>
        <w:fldChar w:fldCharType="end"/>
      </w:r>
      <w:r w:rsidRPr="00F13A2A">
        <w:rPr>
          <w:lang w:val="ro-RO"/>
        </w:rPr>
        <w:t xml:space="preserve"> </w:t>
      </w:r>
    </w:p>
  </w:footnote>
  <w:footnote w:id="8">
    <w:p w14:paraId="68C079F5" w14:textId="59834932" w:rsidR="005C1E5E" w:rsidRPr="00185E0D" w:rsidRDefault="005C1E5E">
      <w:pPr>
        <w:pStyle w:val="FootnoteText"/>
        <w:rPr>
          <w:lang w:val="ro-RO"/>
        </w:rPr>
      </w:pPr>
      <w:r>
        <w:rPr>
          <w:rStyle w:val="FootnoteReference"/>
        </w:rPr>
        <w:footnoteRef/>
      </w:r>
      <w:r w:rsidRPr="00185E0D">
        <w:rPr>
          <w:lang w:val="ro-RO"/>
        </w:rPr>
        <w:t xml:space="preserve"> </w:t>
      </w:r>
      <w:r w:rsidR="00613766">
        <w:fldChar w:fldCharType="begin"/>
      </w:r>
      <w:r w:rsidR="00613766" w:rsidRPr="001C570B">
        <w:rPr>
          <w:lang w:val="ro-RO"/>
        </w:rPr>
        <w:instrText xml:space="preserve"> HYPERLINK "https://boi.org.ua/en/" </w:instrText>
      </w:r>
      <w:r w:rsidR="00613766">
        <w:fldChar w:fldCharType="separate"/>
      </w:r>
      <w:r w:rsidRPr="00185E0D">
        <w:rPr>
          <w:rStyle w:val="Hyperlink"/>
          <w:lang w:val="ro-RO"/>
        </w:rPr>
        <w:t>https://boi.org.ua/en/</w:t>
      </w:r>
      <w:r w:rsidR="00613766">
        <w:rPr>
          <w:rStyle w:val="Hyperlink"/>
          <w:lang w:val="ro-RO"/>
        </w:rPr>
        <w:fldChar w:fldCharType="end"/>
      </w:r>
    </w:p>
  </w:footnote>
  <w:footnote w:id="9">
    <w:p w14:paraId="3D5C0461" w14:textId="409BA4D0" w:rsidR="005C1E5E" w:rsidRPr="00185E0D" w:rsidRDefault="005C1E5E">
      <w:pPr>
        <w:pStyle w:val="FootnoteText"/>
        <w:rPr>
          <w:lang w:val="ro-RO"/>
        </w:rPr>
      </w:pPr>
      <w:r>
        <w:rPr>
          <w:rStyle w:val="FootnoteReference"/>
        </w:rPr>
        <w:footnoteRef/>
      </w:r>
      <w:r w:rsidRPr="00185E0D">
        <w:rPr>
          <w:lang w:val="ro-RO"/>
        </w:rPr>
        <w:t xml:space="preserve"> </w:t>
      </w:r>
      <w:r w:rsidR="00613766">
        <w:fldChar w:fldCharType="begin"/>
      </w:r>
      <w:r w:rsidR="00613766" w:rsidRPr="001C570B">
        <w:rPr>
          <w:lang w:val="ro-RO"/>
        </w:rPr>
        <w:instrText xml:space="preserve"> HYPERLINK "https://businessombudsman.ge/en" </w:instrText>
      </w:r>
      <w:r w:rsidR="00613766">
        <w:fldChar w:fldCharType="separate"/>
      </w:r>
      <w:r w:rsidRPr="00185E0D">
        <w:rPr>
          <w:rStyle w:val="Hyperlink"/>
          <w:lang w:val="ro-RO"/>
        </w:rPr>
        <w:t>https://businessombudsman.ge/en</w:t>
      </w:r>
      <w:r w:rsidR="00613766">
        <w:rPr>
          <w:rStyle w:val="Hyperlink"/>
          <w:lang w:val="ro-RO"/>
        </w:rPr>
        <w:fldChar w:fldCharType="end"/>
      </w:r>
      <w:r w:rsidRPr="00185E0D">
        <w:rPr>
          <w:lang w:val="ro-RO"/>
        </w:rPr>
        <w:t xml:space="preserve"> </w:t>
      </w:r>
    </w:p>
  </w:footnote>
  <w:footnote w:id="10">
    <w:p w14:paraId="4D719B1E" w14:textId="0817A8E0" w:rsidR="005C1E5E" w:rsidRPr="00185E0D" w:rsidRDefault="005C1E5E">
      <w:pPr>
        <w:pStyle w:val="FootnoteText"/>
        <w:rPr>
          <w:lang w:val="ro-RO"/>
        </w:rPr>
      </w:pPr>
      <w:r>
        <w:rPr>
          <w:rStyle w:val="FootnoteReference"/>
        </w:rPr>
        <w:footnoteRef/>
      </w:r>
      <w:r w:rsidRPr="00185E0D">
        <w:rPr>
          <w:lang w:val="ro-RO"/>
        </w:rPr>
        <w:t xml:space="preserve"> </w:t>
      </w:r>
      <w:r w:rsidR="00613766">
        <w:fldChar w:fldCharType="begin"/>
      </w:r>
      <w:r w:rsidR="00613766" w:rsidRPr="001C570B">
        <w:rPr>
          <w:lang w:val="ro-RO"/>
        </w:rPr>
        <w:instrText xml:space="preserve"> HYPERLINK "https://www.sba.gov/about-sba" </w:instrText>
      </w:r>
      <w:r w:rsidR="00613766">
        <w:fldChar w:fldCharType="separate"/>
      </w:r>
      <w:r w:rsidRPr="00185E0D">
        <w:rPr>
          <w:rStyle w:val="Hyperlink"/>
          <w:lang w:val="ro-RO"/>
        </w:rPr>
        <w:t>https://www.sba.gov/about-sba</w:t>
      </w:r>
      <w:r w:rsidR="00613766">
        <w:rPr>
          <w:rStyle w:val="Hyperlink"/>
          <w:lang w:val="ro-RO"/>
        </w:rPr>
        <w:fldChar w:fldCharType="end"/>
      </w:r>
    </w:p>
  </w:footnote>
  <w:footnote w:id="11">
    <w:p w14:paraId="39C72291" w14:textId="47CE80BA" w:rsidR="005C1E5E" w:rsidRPr="0060157E" w:rsidRDefault="005C1E5E">
      <w:pPr>
        <w:pStyle w:val="FootnoteText"/>
        <w:rPr>
          <w:lang w:val="ro-RO"/>
        </w:rPr>
      </w:pPr>
      <w:r>
        <w:rPr>
          <w:rStyle w:val="FootnoteReference"/>
        </w:rPr>
        <w:footnoteRef/>
      </w:r>
      <w:r w:rsidRPr="0060157E">
        <w:rPr>
          <w:lang w:val="ro-RO"/>
        </w:rPr>
        <w:t xml:space="preserve"> </w:t>
      </w:r>
      <w:r w:rsidR="00613766">
        <w:fldChar w:fldCharType="begin"/>
      </w:r>
      <w:r w:rsidR="00613766" w:rsidRPr="001C570B">
        <w:rPr>
          <w:lang w:val="ro-RO"/>
        </w:rPr>
        <w:instrText xml:space="preserve"> HYPERLINK "https://www.sba.gov/about-sba/oversight-advocacy/office-national-ombudsman" </w:instrText>
      </w:r>
      <w:r w:rsidR="00613766">
        <w:fldChar w:fldCharType="separate"/>
      </w:r>
      <w:r w:rsidRPr="0060157E">
        <w:rPr>
          <w:rStyle w:val="Hyperlink"/>
          <w:lang w:val="ro-RO"/>
        </w:rPr>
        <w:t>https://www.sba.gov/about-sba/oversight-advocacy/office-national-ombudsman</w:t>
      </w:r>
      <w:r w:rsidR="00613766">
        <w:rPr>
          <w:rStyle w:val="Hyperlink"/>
          <w:lang w:val="ro-RO"/>
        </w:rPr>
        <w:fldChar w:fldCharType="end"/>
      </w:r>
    </w:p>
  </w:footnote>
  <w:footnote w:id="12">
    <w:p w14:paraId="33E9050B" w14:textId="7E3BE8B0" w:rsidR="005C1E5E" w:rsidRPr="009E365A" w:rsidRDefault="005C1E5E">
      <w:pPr>
        <w:pStyle w:val="FootnoteText"/>
        <w:rPr>
          <w:lang w:val="ro-RO"/>
        </w:rPr>
      </w:pPr>
      <w:r>
        <w:rPr>
          <w:rStyle w:val="FootnoteReference"/>
        </w:rPr>
        <w:footnoteRef/>
      </w:r>
      <w:r w:rsidRPr="009E365A">
        <w:rPr>
          <w:lang w:val="ro-RO"/>
        </w:rPr>
        <w:t xml:space="preserve"> </w:t>
      </w:r>
      <w:r w:rsidR="00613766">
        <w:fldChar w:fldCharType="begin"/>
      </w:r>
      <w:r w:rsidR="00613766" w:rsidRPr="001C570B">
        <w:rPr>
          <w:lang w:val="ro-RO"/>
        </w:rPr>
        <w:instrText xml:space="preserve"> HYPERLINK "https://www.smallbusinesscommissioner.gov.uk/" </w:instrText>
      </w:r>
      <w:r w:rsidR="00613766">
        <w:fldChar w:fldCharType="separate"/>
      </w:r>
      <w:r w:rsidRPr="009E365A">
        <w:rPr>
          <w:rStyle w:val="Hyperlink"/>
          <w:lang w:val="ro-RO"/>
        </w:rPr>
        <w:t>https://www.smallbusinesscommissioner.gov.uk/</w:t>
      </w:r>
      <w:r w:rsidR="00613766">
        <w:rPr>
          <w:rStyle w:val="Hyperlink"/>
          <w:lang w:val="ro-RO"/>
        </w:rPr>
        <w:fldChar w:fldCharType="end"/>
      </w:r>
      <w:r w:rsidRPr="009E365A">
        <w:rPr>
          <w:lang w:val="ro-RO"/>
        </w:rPr>
        <w:t xml:space="preserve"> </w:t>
      </w:r>
    </w:p>
  </w:footnote>
  <w:footnote w:id="13">
    <w:p w14:paraId="1D4D6C07" w14:textId="29797778" w:rsidR="005C1E5E" w:rsidRPr="009E365A" w:rsidRDefault="005C1E5E">
      <w:pPr>
        <w:pStyle w:val="FootnoteText"/>
        <w:rPr>
          <w:lang w:val="ro-RO"/>
        </w:rPr>
      </w:pPr>
      <w:r>
        <w:rPr>
          <w:rStyle w:val="FootnoteReference"/>
        </w:rPr>
        <w:footnoteRef/>
      </w:r>
      <w:r w:rsidRPr="009E365A">
        <w:rPr>
          <w:lang w:val="ro-RO"/>
        </w:rPr>
        <w:t xml:space="preserve"> </w:t>
      </w:r>
      <w:r w:rsidR="00613766">
        <w:fldChar w:fldCharType="begin"/>
      </w:r>
      <w:r w:rsidR="00613766" w:rsidRPr="001C570B">
        <w:rPr>
          <w:lang w:val="ro-RO"/>
        </w:rPr>
        <w:instrText xml:space="preserve"> HYPERLINK "https://www.smallbusiness.nsw.gov.au/" </w:instrText>
      </w:r>
      <w:r w:rsidR="00613766">
        <w:fldChar w:fldCharType="separate"/>
      </w:r>
      <w:r w:rsidRPr="009E365A">
        <w:rPr>
          <w:rStyle w:val="Hyperlink"/>
          <w:lang w:val="ro-RO"/>
        </w:rPr>
        <w:t>https://www.smallbusiness.nsw.gov.au/</w:t>
      </w:r>
      <w:r w:rsidR="00613766">
        <w:rPr>
          <w:rStyle w:val="Hyperlink"/>
          <w:lang w:val="ro-RO"/>
        </w:rPr>
        <w:fldChar w:fldCharType="end"/>
      </w:r>
    </w:p>
  </w:footnote>
  <w:footnote w:id="14">
    <w:p w14:paraId="7846EA34" w14:textId="665B1185" w:rsidR="005C1E5E" w:rsidRPr="00CB4A77" w:rsidRDefault="005C1E5E">
      <w:pPr>
        <w:pStyle w:val="FootnoteText"/>
        <w:rPr>
          <w:lang w:val="ro-RO"/>
        </w:rPr>
      </w:pPr>
      <w:r>
        <w:rPr>
          <w:rStyle w:val="FootnoteReference"/>
        </w:rPr>
        <w:footnoteRef/>
      </w:r>
      <w:r w:rsidRPr="00CB4A77">
        <w:rPr>
          <w:lang w:val="ro-RO"/>
        </w:rPr>
        <w:t xml:space="preserve"> </w:t>
      </w:r>
      <w:r w:rsidR="00613766">
        <w:fldChar w:fldCharType="begin"/>
      </w:r>
      <w:r w:rsidR="00613766" w:rsidRPr="001C570B">
        <w:rPr>
          <w:lang w:val="ro-RO"/>
        </w:rPr>
        <w:instrText xml:space="preserve"> HYPERLINK "https://www.fisc.md/raport_activitate_SFS.aspx?file=13439" </w:instrText>
      </w:r>
      <w:r w:rsidR="00613766">
        <w:fldChar w:fldCharType="separate"/>
      </w:r>
      <w:r w:rsidRPr="00CB4A77">
        <w:rPr>
          <w:rStyle w:val="Hyperlink"/>
          <w:lang w:val="ro-RO"/>
        </w:rPr>
        <w:t>https://www.fisc.md/raport_activitate_SFS.aspx?file=13439</w:t>
      </w:r>
      <w:r w:rsidR="00613766">
        <w:rPr>
          <w:rStyle w:val="Hyperlink"/>
          <w:lang w:val="ro-RO"/>
        </w:rPr>
        <w:fldChar w:fldCharType="end"/>
      </w:r>
    </w:p>
  </w:footnote>
  <w:footnote w:id="15">
    <w:p w14:paraId="6AF4DBA5" w14:textId="63D8B338" w:rsidR="005C1E5E" w:rsidRPr="004530E5" w:rsidRDefault="005C1E5E">
      <w:pPr>
        <w:pStyle w:val="FootnoteText"/>
        <w:rPr>
          <w:lang w:val="ro-RO"/>
        </w:rPr>
      </w:pPr>
      <w:r>
        <w:rPr>
          <w:rStyle w:val="FootnoteReference"/>
        </w:rPr>
        <w:footnoteRef/>
      </w:r>
      <w:r w:rsidRPr="004530E5">
        <w:rPr>
          <w:lang w:val="ro-RO"/>
        </w:rPr>
        <w:t xml:space="preserve"> </w:t>
      </w:r>
      <w:r w:rsidR="00613766">
        <w:fldChar w:fldCharType="begin"/>
      </w:r>
      <w:r w:rsidR="00613766" w:rsidRPr="001C570B">
        <w:rPr>
          <w:lang w:val="ro-RO"/>
        </w:rPr>
        <w:instrText xml:space="preserve"> HYPERLINK "https://www.fisc.md/raport_activitate_SFS.aspx?file=12163" </w:instrText>
      </w:r>
      <w:r w:rsidR="00613766">
        <w:fldChar w:fldCharType="separate"/>
      </w:r>
      <w:r w:rsidRPr="004530E5">
        <w:rPr>
          <w:rStyle w:val="Hyperlink"/>
          <w:lang w:val="ro-RO"/>
        </w:rPr>
        <w:t>https://www.fisc.md/raport_activitate_SFS.aspx?file=12163</w:t>
      </w:r>
      <w:r w:rsidR="00613766">
        <w:rPr>
          <w:rStyle w:val="Hyperlink"/>
          <w:lang w:val="ro-RO"/>
        </w:rPr>
        <w:fldChar w:fldCharType="end"/>
      </w:r>
    </w:p>
  </w:footnote>
  <w:footnote w:id="16">
    <w:p w14:paraId="19E10C02" w14:textId="19523457" w:rsidR="005C1E5E" w:rsidRPr="00A80F6F" w:rsidRDefault="005C1E5E">
      <w:pPr>
        <w:pStyle w:val="FootnoteText"/>
      </w:pPr>
      <w:r>
        <w:rPr>
          <w:rStyle w:val="FootnoteReference"/>
        </w:rPr>
        <w:footnoteRef/>
      </w:r>
      <w:r>
        <w:t xml:space="preserve"> </w:t>
      </w:r>
      <w:r w:rsidRPr="00A80F6F">
        <w:t xml:space="preserve">De </w:t>
      </w:r>
      <w:proofErr w:type="spellStart"/>
      <w:r w:rsidRPr="00A80F6F">
        <w:rPr>
          <w:rFonts w:eastAsia="Times New Roman"/>
        </w:rPr>
        <w:t>exemplu</w:t>
      </w:r>
      <w:proofErr w:type="spellEnd"/>
      <w:r w:rsidRPr="00A80F6F">
        <w:rPr>
          <w:rFonts w:eastAsia="Times New Roman"/>
        </w:rPr>
        <w:t xml:space="preserve"> - </w:t>
      </w:r>
      <w:proofErr w:type="spellStart"/>
      <w:r w:rsidRPr="00A80F6F">
        <w:rPr>
          <w:rFonts w:eastAsia="Times New Roman"/>
        </w:rPr>
        <w:t>Consiliul</w:t>
      </w:r>
      <w:proofErr w:type="spellEnd"/>
      <w:r w:rsidRPr="00A80F6F">
        <w:rPr>
          <w:rFonts w:eastAsia="Times New Roman"/>
        </w:rPr>
        <w:t xml:space="preserve"> de </w:t>
      </w:r>
      <w:proofErr w:type="spellStart"/>
      <w:r w:rsidRPr="00A80F6F">
        <w:rPr>
          <w:rFonts w:eastAsia="Times New Roman"/>
        </w:rPr>
        <w:t>supraveghere</w:t>
      </w:r>
      <w:proofErr w:type="spellEnd"/>
      <w:r w:rsidRPr="00A80F6F">
        <w:rPr>
          <w:rFonts w:eastAsia="Times New Roman"/>
        </w:rPr>
        <w:t xml:space="preserve"> </w:t>
      </w:r>
      <w:proofErr w:type="spellStart"/>
      <w:r w:rsidRPr="00A80F6F">
        <w:rPr>
          <w:rFonts w:eastAsia="Times New Roman"/>
        </w:rPr>
        <w:t>publică</w:t>
      </w:r>
      <w:proofErr w:type="spellEnd"/>
      <w:r w:rsidRPr="00A80F6F">
        <w:rPr>
          <w:rFonts w:eastAsia="Times New Roman"/>
        </w:rPr>
        <w:t xml:space="preserve"> a </w:t>
      </w:r>
      <w:proofErr w:type="spellStart"/>
      <w:r w:rsidRPr="00A80F6F">
        <w:rPr>
          <w:rFonts w:eastAsia="Times New Roman"/>
        </w:rPr>
        <w:t>auditului</w:t>
      </w:r>
      <w:proofErr w:type="spellEnd"/>
      <w:r w:rsidRPr="00A80F6F">
        <w:rPr>
          <w:rFonts w:eastAsia="Times New Roman"/>
        </w:rPr>
        <w:t xml:space="preserve">, conform </w:t>
      </w:r>
      <w:proofErr w:type="spellStart"/>
      <w:r w:rsidRPr="00A80F6F">
        <w:rPr>
          <w:rFonts w:eastAsia="Times New Roman"/>
        </w:rPr>
        <w:t>Hotărîrii</w:t>
      </w:r>
      <w:proofErr w:type="spellEnd"/>
      <w:r w:rsidRPr="00A80F6F">
        <w:rPr>
          <w:rFonts w:eastAsia="Times New Roman"/>
        </w:rPr>
        <w:t xml:space="preserve"> de </w:t>
      </w:r>
      <w:proofErr w:type="spellStart"/>
      <w:r w:rsidRPr="00A80F6F">
        <w:rPr>
          <w:rFonts w:eastAsia="Times New Roman"/>
        </w:rPr>
        <w:t>Guvern</w:t>
      </w:r>
      <w:proofErr w:type="spellEnd"/>
      <w:r w:rsidRPr="00A80F6F">
        <w:rPr>
          <w:rFonts w:eastAsia="Times New Roman"/>
        </w:rPr>
        <w:t xml:space="preserve"> nr.46/2020.</w:t>
      </w:r>
    </w:p>
  </w:footnote>
  <w:footnote w:id="17">
    <w:p w14:paraId="11F59167" w14:textId="73BA9F0F" w:rsidR="005C1E5E" w:rsidRPr="00DD110B" w:rsidRDefault="005C1E5E">
      <w:pPr>
        <w:pStyle w:val="FootnoteText"/>
      </w:pPr>
      <w:r>
        <w:rPr>
          <w:rStyle w:val="FootnoteReference"/>
        </w:rPr>
        <w:footnoteRef/>
      </w:r>
      <w:r w:rsidRPr="00DD110B">
        <w:t xml:space="preserve"> </w:t>
      </w:r>
      <w:hyperlink r:id="rId4" w:history="1">
        <w:r w:rsidRPr="00DD110B">
          <w:rPr>
            <w:rStyle w:val="Hyperlink"/>
          </w:rPr>
          <w:t>https://agora.md/stiri/7466/investitori-din-moldova-propun-crearea-unui-oficiu-de-ombudsman-in-afaceri</w:t>
        </w:r>
      </w:hyperlink>
    </w:p>
  </w:footnote>
  <w:footnote w:id="18">
    <w:p w14:paraId="78CC02EE" w14:textId="470AD5F0" w:rsidR="005C1E5E" w:rsidRPr="00BE5CED" w:rsidRDefault="005C1E5E">
      <w:pPr>
        <w:pStyle w:val="FootnoteText"/>
      </w:pPr>
      <w:r>
        <w:rPr>
          <w:rStyle w:val="FootnoteReference"/>
        </w:rPr>
        <w:footnoteRef/>
      </w:r>
      <w:r w:rsidRPr="00BE5CED">
        <w:t xml:space="preserve"> </w:t>
      </w:r>
      <w:hyperlink r:id="rId5" w:history="1">
        <w:r w:rsidRPr="00BE5CED">
          <w:rPr>
            <w:rStyle w:val="Hyperlink"/>
          </w:rPr>
          <w:t>https://www.moldpres.md/news/2019/08/07/19006159</w:t>
        </w:r>
      </w:hyperlink>
    </w:p>
  </w:footnote>
  <w:footnote w:id="19">
    <w:p w14:paraId="009EA189" w14:textId="6666AF65" w:rsidR="005C1E5E" w:rsidRPr="00AD2F56" w:rsidRDefault="005C1E5E">
      <w:pPr>
        <w:pStyle w:val="FootnoteText"/>
        <w:rPr>
          <w:lang w:val="ro-RO"/>
        </w:rPr>
      </w:pPr>
      <w:r>
        <w:rPr>
          <w:rStyle w:val="FootnoteReference"/>
        </w:rPr>
        <w:footnoteRef/>
      </w:r>
      <w:r w:rsidRPr="00AD2F56">
        <w:t xml:space="preserve"> </w:t>
      </w:r>
      <w:hyperlink r:id="rId6" w:history="1">
        <w:r w:rsidRPr="00AD2F56">
          <w:rPr>
            <w:rStyle w:val="Hyperlink"/>
          </w:rPr>
          <w:t>https://justicemoldova.md/ce-probleme-invoca-oamenii-de-afaceri-se-propune-crearea-institutiei-ombudsman-al-businessului/?fbclid=IwAR2wFXEc6VjAhJquiujeLA3ZVCVN2McBjdc00EKwQ4UQMgV0PkrwgoZ4OKA</w:t>
        </w:r>
      </w:hyperlink>
      <w:r w:rsidRPr="00AD2F56">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2E1C"/>
    <w:multiLevelType w:val="hybridMultilevel"/>
    <w:tmpl w:val="10BEB67A"/>
    <w:lvl w:ilvl="0" w:tplc="8B0E06BE">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03475932"/>
    <w:multiLevelType w:val="hybridMultilevel"/>
    <w:tmpl w:val="A5B80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5A0E83"/>
    <w:multiLevelType w:val="hybridMultilevel"/>
    <w:tmpl w:val="2D80F3B8"/>
    <w:lvl w:ilvl="0" w:tplc="7DA805CE">
      <w:start w:val="1"/>
      <w:numFmt w:val="decimal"/>
      <w:lvlText w:val="%1."/>
      <w:lvlJc w:val="left"/>
      <w:pPr>
        <w:ind w:left="733" w:hanging="360"/>
      </w:pPr>
      <w:rPr>
        <w:rFonts w:hint="default"/>
      </w:rPr>
    </w:lvl>
    <w:lvl w:ilvl="1" w:tplc="08090019" w:tentative="1">
      <w:start w:val="1"/>
      <w:numFmt w:val="lowerLetter"/>
      <w:lvlText w:val="%2."/>
      <w:lvlJc w:val="left"/>
      <w:pPr>
        <w:ind w:left="1453" w:hanging="360"/>
      </w:pPr>
    </w:lvl>
    <w:lvl w:ilvl="2" w:tplc="0809001B" w:tentative="1">
      <w:start w:val="1"/>
      <w:numFmt w:val="lowerRoman"/>
      <w:lvlText w:val="%3."/>
      <w:lvlJc w:val="right"/>
      <w:pPr>
        <w:ind w:left="2173" w:hanging="180"/>
      </w:pPr>
    </w:lvl>
    <w:lvl w:ilvl="3" w:tplc="0809000F" w:tentative="1">
      <w:start w:val="1"/>
      <w:numFmt w:val="decimal"/>
      <w:lvlText w:val="%4."/>
      <w:lvlJc w:val="left"/>
      <w:pPr>
        <w:ind w:left="2893" w:hanging="360"/>
      </w:pPr>
    </w:lvl>
    <w:lvl w:ilvl="4" w:tplc="08090019" w:tentative="1">
      <w:start w:val="1"/>
      <w:numFmt w:val="lowerLetter"/>
      <w:lvlText w:val="%5."/>
      <w:lvlJc w:val="left"/>
      <w:pPr>
        <w:ind w:left="3613" w:hanging="360"/>
      </w:pPr>
    </w:lvl>
    <w:lvl w:ilvl="5" w:tplc="0809001B" w:tentative="1">
      <w:start w:val="1"/>
      <w:numFmt w:val="lowerRoman"/>
      <w:lvlText w:val="%6."/>
      <w:lvlJc w:val="right"/>
      <w:pPr>
        <w:ind w:left="4333" w:hanging="180"/>
      </w:pPr>
    </w:lvl>
    <w:lvl w:ilvl="6" w:tplc="0809000F" w:tentative="1">
      <w:start w:val="1"/>
      <w:numFmt w:val="decimal"/>
      <w:lvlText w:val="%7."/>
      <w:lvlJc w:val="left"/>
      <w:pPr>
        <w:ind w:left="5053" w:hanging="360"/>
      </w:pPr>
    </w:lvl>
    <w:lvl w:ilvl="7" w:tplc="08090019" w:tentative="1">
      <w:start w:val="1"/>
      <w:numFmt w:val="lowerLetter"/>
      <w:lvlText w:val="%8."/>
      <w:lvlJc w:val="left"/>
      <w:pPr>
        <w:ind w:left="5773" w:hanging="360"/>
      </w:pPr>
    </w:lvl>
    <w:lvl w:ilvl="8" w:tplc="0809001B" w:tentative="1">
      <w:start w:val="1"/>
      <w:numFmt w:val="lowerRoman"/>
      <w:lvlText w:val="%9."/>
      <w:lvlJc w:val="right"/>
      <w:pPr>
        <w:ind w:left="6493" w:hanging="180"/>
      </w:pPr>
    </w:lvl>
  </w:abstractNum>
  <w:abstractNum w:abstractNumId="3">
    <w:nsid w:val="277B5590"/>
    <w:multiLevelType w:val="hybridMultilevel"/>
    <w:tmpl w:val="CCB4AB12"/>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A365C40"/>
    <w:multiLevelType w:val="hybridMultilevel"/>
    <w:tmpl w:val="227C4BD4"/>
    <w:lvl w:ilvl="0" w:tplc="457E8350">
      <w:start w:val="4"/>
      <w:numFmt w:val="bullet"/>
      <w:lvlText w:val="-"/>
      <w:lvlJc w:val="left"/>
      <w:pPr>
        <w:ind w:left="733" w:hanging="360"/>
      </w:pPr>
      <w:rPr>
        <w:rFonts w:ascii="Times New Roman" w:eastAsiaTheme="minorEastAsia" w:hAnsi="Times New Roman" w:cs="Times New Roman" w:hint="default"/>
      </w:rPr>
    </w:lvl>
    <w:lvl w:ilvl="1" w:tplc="08090003" w:tentative="1">
      <w:start w:val="1"/>
      <w:numFmt w:val="bullet"/>
      <w:lvlText w:val="o"/>
      <w:lvlJc w:val="left"/>
      <w:pPr>
        <w:ind w:left="1453" w:hanging="360"/>
      </w:pPr>
      <w:rPr>
        <w:rFonts w:ascii="Courier New" w:hAnsi="Courier New" w:cs="Courier New" w:hint="default"/>
      </w:rPr>
    </w:lvl>
    <w:lvl w:ilvl="2" w:tplc="08090005" w:tentative="1">
      <w:start w:val="1"/>
      <w:numFmt w:val="bullet"/>
      <w:lvlText w:val=""/>
      <w:lvlJc w:val="left"/>
      <w:pPr>
        <w:ind w:left="2173" w:hanging="360"/>
      </w:pPr>
      <w:rPr>
        <w:rFonts w:ascii="Wingdings" w:hAnsi="Wingdings" w:hint="default"/>
      </w:rPr>
    </w:lvl>
    <w:lvl w:ilvl="3" w:tplc="08090001" w:tentative="1">
      <w:start w:val="1"/>
      <w:numFmt w:val="bullet"/>
      <w:lvlText w:val=""/>
      <w:lvlJc w:val="left"/>
      <w:pPr>
        <w:ind w:left="2893" w:hanging="360"/>
      </w:pPr>
      <w:rPr>
        <w:rFonts w:ascii="Symbol" w:hAnsi="Symbol" w:hint="default"/>
      </w:rPr>
    </w:lvl>
    <w:lvl w:ilvl="4" w:tplc="08090003" w:tentative="1">
      <w:start w:val="1"/>
      <w:numFmt w:val="bullet"/>
      <w:lvlText w:val="o"/>
      <w:lvlJc w:val="left"/>
      <w:pPr>
        <w:ind w:left="3613" w:hanging="360"/>
      </w:pPr>
      <w:rPr>
        <w:rFonts w:ascii="Courier New" w:hAnsi="Courier New" w:cs="Courier New" w:hint="default"/>
      </w:rPr>
    </w:lvl>
    <w:lvl w:ilvl="5" w:tplc="08090005" w:tentative="1">
      <w:start w:val="1"/>
      <w:numFmt w:val="bullet"/>
      <w:lvlText w:val=""/>
      <w:lvlJc w:val="left"/>
      <w:pPr>
        <w:ind w:left="4333" w:hanging="360"/>
      </w:pPr>
      <w:rPr>
        <w:rFonts w:ascii="Wingdings" w:hAnsi="Wingdings" w:hint="default"/>
      </w:rPr>
    </w:lvl>
    <w:lvl w:ilvl="6" w:tplc="08090001" w:tentative="1">
      <w:start w:val="1"/>
      <w:numFmt w:val="bullet"/>
      <w:lvlText w:val=""/>
      <w:lvlJc w:val="left"/>
      <w:pPr>
        <w:ind w:left="5053" w:hanging="360"/>
      </w:pPr>
      <w:rPr>
        <w:rFonts w:ascii="Symbol" w:hAnsi="Symbol" w:hint="default"/>
      </w:rPr>
    </w:lvl>
    <w:lvl w:ilvl="7" w:tplc="08090003" w:tentative="1">
      <w:start w:val="1"/>
      <w:numFmt w:val="bullet"/>
      <w:lvlText w:val="o"/>
      <w:lvlJc w:val="left"/>
      <w:pPr>
        <w:ind w:left="5773" w:hanging="360"/>
      </w:pPr>
      <w:rPr>
        <w:rFonts w:ascii="Courier New" w:hAnsi="Courier New" w:cs="Courier New" w:hint="default"/>
      </w:rPr>
    </w:lvl>
    <w:lvl w:ilvl="8" w:tplc="08090005" w:tentative="1">
      <w:start w:val="1"/>
      <w:numFmt w:val="bullet"/>
      <w:lvlText w:val=""/>
      <w:lvlJc w:val="left"/>
      <w:pPr>
        <w:ind w:left="6493" w:hanging="360"/>
      </w:pPr>
      <w:rPr>
        <w:rFonts w:ascii="Wingdings" w:hAnsi="Wingdings" w:hint="default"/>
      </w:rPr>
    </w:lvl>
  </w:abstractNum>
  <w:abstractNum w:abstractNumId="5">
    <w:nsid w:val="47460DD4"/>
    <w:multiLevelType w:val="hybridMultilevel"/>
    <w:tmpl w:val="AA10C174"/>
    <w:lvl w:ilvl="0" w:tplc="D1F688AC">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awyer">
    <w15:presenceInfo w15:providerId="None" w15:userId="Lawy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72"/>
    <w:rsid w:val="00013685"/>
    <w:rsid w:val="0002044D"/>
    <w:rsid w:val="000516F0"/>
    <w:rsid w:val="00090118"/>
    <w:rsid w:val="000A4733"/>
    <w:rsid w:val="0010434A"/>
    <w:rsid w:val="001062A7"/>
    <w:rsid w:val="00106FDD"/>
    <w:rsid w:val="001158BB"/>
    <w:rsid w:val="00131E63"/>
    <w:rsid w:val="00160DB7"/>
    <w:rsid w:val="0016155C"/>
    <w:rsid w:val="00162EC1"/>
    <w:rsid w:val="00185E0D"/>
    <w:rsid w:val="0018739E"/>
    <w:rsid w:val="00197982"/>
    <w:rsid w:val="001A065D"/>
    <w:rsid w:val="001A2CDF"/>
    <w:rsid w:val="001B2498"/>
    <w:rsid w:val="001C570B"/>
    <w:rsid w:val="001D3C24"/>
    <w:rsid w:val="001D603C"/>
    <w:rsid w:val="001F78B0"/>
    <w:rsid w:val="00212931"/>
    <w:rsid w:val="00243A88"/>
    <w:rsid w:val="00255D9A"/>
    <w:rsid w:val="00264923"/>
    <w:rsid w:val="00285219"/>
    <w:rsid w:val="00290F2B"/>
    <w:rsid w:val="002913D3"/>
    <w:rsid w:val="00294852"/>
    <w:rsid w:val="002A1707"/>
    <w:rsid w:val="002A5D87"/>
    <w:rsid w:val="002B0E96"/>
    <w:rsid w:val="002C1D94"/>
    <w:rsid w:val="002D1653"/>
    <w:rsid w:val="002F4A77"/>
    <w:rsid w:val="003303EC"/>
    <w:rsid w:val="00344207"/>
    <w:rsid w:val="00383C83"/>
    <w:rsid w:val="00385D29"/>
    <w:rsid w:val="0038625A"/>
    <w:rsid w:val="00396C54"/>
    <w:rsid w:val="003A0155"/>
    <w:rsid w:val="003E177D"/>
    <w:rsid w:val="00402C6D"/>
    <w:rsid w:val="00430AD5"/>
    <w:rsid w:val="004530E5"/>
    <w:rsid w:val="0045706C"/>
    <w:rsid w:val="00465FC2"/>
    <w:rsid w:val="00470118"/>
    <w:rsid w:val="004746E3"/>
    <w:rsid w:val="00484864"/>
    <w:rsid w:val="00490B24"/>
    <w:rsid w:val="0049386C"/>
    <w:rsid w:val="004939DF"/>
    <w:rsid w:val="0049551B"/>
    <w:rsid w:val="004B1E34"/>
    <w:rsid w:val="004C0D54"/>
    <w:rsid w:val="004E600D"/>
    <w:rsid w:val="0051751D"/>
    <w:rsid w:val="00524CD2"/>
    <w:rsid w:val="00531DC2"/>
    <w:rsid w:val="005367FD"/>
    <w:rsid w:val="00555C57"/>
    <w:rsid w:val="00566E66"/>
    <w:rsid w:val="00577973"/>
    <w:rsid w:val="005C1E5E"/>
    <w:rsid w:val="005D7E5C"/>
    <w:rsid w:val="0060157E"/>
    <w:rsid w:val="006044FB"/>
    <w:rsid w:val="00613766"/>
    <w:rsid w:val="00617D54"/>
    <w:rsid w:val="00622CF3"/>
    <w:rsid w:val="006257A7"/>
    <w:rsid w:val="006325EC"/>
    <w:rsid w:val="00633481"/>
    <w:rsid w:val="006371DA"/>
    <w:rsid w:val="00643666"/>
    <w:rsid w:val="00657472"/>
    <w:rsid w:val="006813E1"/>
    <w:rsid w:val="006C0AC5"/>
    <w:rsid w:val="006C407D"/>
    <w:rsid w:val="0070103D"/>
    <w:rsid w:val="007019CD"/>
    <w:rsid w:val="00722B73"/>
    <w:rsid w:val="00731F7E"/>
    <w:rsid w:val="00766270"/>
    <w:rsid w:val="00770EF4"/>
    <w:rsid w:val="00777802"/>
    <w:rsid w:val="0078371B"/>
    <w:rsid w:val="0079028C"/>
    <w:rsid w:val="007928AB"/>
    <w:rsid w:val="007976FF"/>
    <w:rsid w:val="007A145C"/>
    <w:rsid w:val="007A72DD"/>
    <w:rsid w:val="007C3AD3"/>
    <w:rsid w:val="007E491E"/>
    <w:rsid w:val="007E5FFD"/>
    <w:rsid w:val="007F081E"/>
    <w:rsid w:val="0081305C"/>
    <w:rsid w:val="008229C8"/>
    <w:rsid w:val="0084391F"/>
    <w:rsid w:val="0085632C"/>
    <w:rsid w:val="008631EA"/>
    <w:rsid w:val="00872609"/>
    <w:rsid w:val="00877128"/>
    <w:rsid w:val="008C6862"/>
    <w:rsid w:val="00901CA4"/>
    <w:rsid w:val="00906EF5"/>
    <w:rsid w:val="009A3634"/>
    <w:rsid w:val="009D2952"/>
    <w:rsid w:val="009D689E"/>
    <w:rsid w:val="009E2338"/>
    <w:rsid w:val="009E365A"/>
    <w:rsid w:val="00A0099C"/>
    <w:rsid w:val="00A163A8"/>
    <w:rsid w:val="00A44C42"/>
    <w:rsid w:val="00A80F6F"/>
    <w:rsid w:val="00A84F6E"/>
    <w:rsid w:val="00A93794"/>
    <w:rsid w:val="00A96429"/>
    <w:rsid w:val="00AB2FF7"/>
    <w:rsid w:val="00AB4DD9"/>
    <w:rsid w:val="00AD2F56"/>
    <w:rsid w:val="00AD39C7"/>
    <w:rsid w:val="00AF6480"/>
    <w:rsid w:val="00B65E07"/>
    <w:rsid w:val="00B6764B"/>
    <w:rsid w:val="00B757E7"/>
    <w:rsid w:val="00BD601E"/>
    <w:rsid w:val="00BE5CED"/>
    <w:rsid w:val="00BF4924"/>
    <w:rsid w:val="00C07D6A"/>
    <w:rsid w:val="00C2549B"/>
    <w:rsid w:val="00C3312C"/>
    <w:rsid w:val="00C86CA3"/>
    <w:rsid w:val="00CA100B"/>
    <w:rsid w:val="00CB4A77"/>
    <w:rsid w:val="00CE662E"/>
    <w:rsid w:val="00CF7A5C"/>
    <w:rsid w:val="00D171DB"/>
    <w:rsid w:val="00D1794F"/>
    <w:rsid w:val="00D263BF"/>
    <w:rsid w:val="00D374CD"/>
    <w:rsid w:val="00D45474"/>
    <w:rsid w:val="00D50207"/>
    <w:rsid w:val="00D51672"/>
    <w:rsid w:val="00D53080"/>
    <w:rsid w:val="00D7199E"/>
    <w:rsid w:val="00D76618"/>
    <w:rsid w:val="00D94AEA"/>
    <w:rsid w:val="00DD110B"/>
    <w:rsid w:val="00DE1588"/>
    <w:rsid w:val="00DE39E6"/>
    <w:rsid w:val="00DF5602"/>
    <w:rsid w:val="00DF5F12"/>
    <w:rsid w:val="00E07E82"/>
    <w:rsid w:val="00E3013A"/>
    <w:rsid w:val="00E33F1A"/>
    <w:rsid w:val="00EA5421"/>
    <w:rsid w:val="00EE2CCF"/>
    <w:rsid w:val="00EF1FD3"/>
    <w:rsid w:val="00F06C0B"/>
    <w:rsid w:val="00F13A2A"/>
    <w:rsid w:val="00F16414"/>
    <w:rsid w:val="00F168D3"/>
    <w:rsid w:val="00F4405E"/>
    <w:rsid w:val="00F614D6"/>
    <w:rsid w:val="00F74B40"/>
    <w:rsid w:val="00FA48B6"/>
    <w:rsid w:val="00FB36F6"/>
    <w:rsid w:val="00FD7E64"/>
    <w:rsid w:val="00FE7145"/>
    <w:rsid w:val="00FF2B1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0F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ind w:firstLine="567"/>
      <w:jc w:val="both"/>
    </w:pPr>
  </w:style>
  <w:style w:type="paragraph" w:customStyle="1" w:styleId="tt">
    <w:name w:val="tt"/>
    <w:basedOn w:val="Normal"/>
    <w:pPr>
      <w:jc w:val="center"/>
    </w:pPr>
    <w:rPr>
      <w:b/>
      <w:bCs/>
    </w:rPr>
  </w:style>
  <w:style w:type="paragraph" w:customStyle="1" w:styleId="pb">
    <w:name w:val="pb"/>
    <w:basedOn w:val="Normal"/>
    <w:pPr>
      <w:jc w:val="center"/>
    </w:pPr>
    <w:rPr>
      <w:i/>
      <w:iCs/>
      <w:color w:val="663300"/>
      <w:sz w:val="20"/>
      <w:szCs w:val="20"/>
    </w:rPr>
  </w:style>
  <w:style w:type="paragraph" w:customStyle="1" w:styleId="cu">
    <w:name w:val="cu"/>
    <w:basedOn w:val="Normal"/>
    <w:pPr>
      <w:spacing w:before="45"/>
      <w:ind w:left="1134" w:right="567" w:hanging="567"/>
      <w:jc w:val="both"/>
    </w:pPr>
    <w:rPr>
      <w:sz w:val="20"/>
      <w:szCs w:val="20"/>
    </w:rPr>
  </w:style>
  <w:style w:type="paragraph" w:customStyle="1" w:styleId="cut">
    <w:name w:val="cut"/>
    <w:basedOn w:val="Normal"/>
    <w:pPr>
      <w:ind w:left="567" w:right="567" w:firstLine="567"/>
      <w:jc w:val="center"/>
    </w:pPr>
    <w:rPr>
      <w:b/>
      <w:bCs/>
      <w:sz w:val="20"/>
      <w:szCs w:val="20"/>
    </w:rPr>
  </w:style>
  <w:style w:type="paragraph" w:customStyle="1" w:styleId="cp">
    <w:name w:val="cp"/>
    <w:basedOn w:val="Normal"/>
    <w:pPr>
      <w:jc w:val="center"/>
    </w:pPr>
    <w:rPr>
      <w:b/>
      <w:bCs/>
    </w:rPr>
  </w:style>
  <w:style w:type="paragraph" w:customStyle="1" w:styleId="nt">
    <w:name w:val="nt"/>
    <w:basedOn w:val="Normal"/>
    <w:pPr>
      <w:ind w:left="567" w:right="567" w:hanging="567"/>
      <w:jc w:val="both"/>
    </w:pPr>
    <w:rPr>
      <w:i/>
      <w:iCs/>
      <w:color w:val="663300"/>
      <w:sz w:val="20"/>
      <w:szCs w:val="20"/>
    </w:rPr>
  </w:style>
  <w:style w:type="paragraph" w:customStyle="1" w:styleId="md">
    <w:name w:val="md"/>
    <w:basedOn w:val="Normal"/>
    <w:pPr>
      <w:ind w:firstLine="567"/>
      <w:jc w:val="both"/>
    </w:pPr>
    <w:rPr>
      <w:i/>
      <w:iCs/>
      <w:color w:val="663300"/>
      <w:sz w:val="20"/>
      <w:szCs w:val="20"/>
    </w:rPr>
  </w:style>
  <w:style w:type="paragraph" w:customStyle="1" w:styleId="cn">
    <w:name w:val="cn"/>
    <w:basedOn w:val="Normal"/>
    <w:pPr>
      <w:jc w:val="center"/>
    </w:pPr>
  </w:style>
  <w:style w:type="paragraph" w:customStyle="1" w:styleId="cb">
    <w:name w:val="cb"/>
    <w:basedOn w:val="Normal"/>
    <w:pPr>
      <w:jc w:val="center"/>
    </w:pPr>
    <w:rPr>
      <w:b/>
      <w:bCs/>
    </w:rPr>
  </w:style>
  <w:style w:type="paragraph" w:customStyle="1" w:styleId="rg">
    <w:name w:val="rg"/>
    <w:basedOn w:val="Normal"/>
    <w:pPr>
      <w:jc w:val="right"/>
    </w:pPr>
  </w:style>
  <w:style w:type="paragraph" w:customStyle="1" w:styleId="js">
    <w:name w:val="js"/>
    <w:basedOn w:val="Normal"/>
    <w:pPr>
      <w:jc w:val="both"/>
    </w:pPr>
  </w:style>
  <w:style w:type="paragraph" w:customStyle="1" w:styleId="lf">
    <w:name w:val="lf"/>
    <w:basedOn w:val="Normal"/>
  </w:style>
  <w:style w:type="paragraph" w:customStyle="1" w:styleId="forma">
    <w:name w:val="forma"/>
    <w:basedOn w:val="Normal"/>
    <w:pPr>
      <w:ind w:firstLine="567"/>
      <w:jc w:val="both"/>
    </w:pPr>
    <w:rPr>
      <w:rFonts w:ascii="Arial" w:hAnsi="Arial" w:cs="Arial"/>
      <w:sz w:val="20"/>
      <w:szCs w:val="20"/>
    </w:rPr>
  </w:style>
  <w:style w:type="paragraph" w:customStyle="1" w:styleId="sm">
    <w:name w:val="sm"/>
    <w:basedOn w:val="Normal"/>
    <w:pPr>
      <w:spacing w:before="240"/>
      <w:ind w:left="567" w:firstLine="567"/>
    </w:pPr>
    <w:rPr>
      <w:b/>
      <w:bCs/>
    </w:rPr>
  </w:style>
  <w:style w:type="paragraph" w:customStyle="1" w:styleId="smfunctia">
    <w:name w:val="sm_functia"/>
    <w:basedOn w:val="Normal"/>
    <w:pPr>
      <w:ind w:firstLine="567"/>
      <w:jc w:val="both"/>
    </w:pPr>
  </w:style>
  <w:style w:type="paragraph" w:customStyle="1" w:styleId="smdata">
    <w:name w:val="sm_data"/>
    <w:basedOn w:val="Normal"/>
    <w:pPr>
      <w:ind w:firstLine="567"/>
      <w:jc w:val="both"/>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Default">
    <w:name w:val="Default"/>
    <w:rsid w:val="00A0099C"/>
    <w:pPr>
      <w:autoSpaceDE w:val="0"/>
      <w:autoSpaceDN w:val="0"/>
      <w:adjustRightInd w:val="0"/>
    </w:pPr>
    <w:rPr>
      <w:color w:val="000000"/>
      <w:sz w:val="24"/>
      <w:szCs w:val="24"/>
    </w:rPr>
  </w:style>
  <w:style w:type="table" w:styleId="TableGrid">
    <w:name w:val="Table Grid"/>
    <w:basedOn w:val="TableNormal"/>
    <w:uiPriority w:val="39"/>
    <w:rsid w:val="00AD39C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6257A7"/>
    <w:rPr>
      <w:sz w:val="20"/>
      <w:szCs w:val="20"/>
    </w:rPr>
  </w:style>
  <w:style w:type="character" w:customStyle="1" w:styleId="FootnoteTextChar">
    <w:name w:val="Footnote Text Char"/>
    <w:basedOn w:val="DefaultParagraphFont"/>
    <w:link w:val="FootnoteText"/>
    <w:uiPriority w:val="99"/>
    <w:semiHidden/>
    <w:rsid w:val="006257A7"/>
    <w:rPr>
      <w:rFonts w:eastAsiaTheme="minorEastAsia"/>
    </w:rPr>
  </w:style>
  <w:style w:type="character" w:styleId="FootnoteReference">
    <w:name w:val="footnote reference"/>
    <w:basedOn w:val="DefaultParagraphFont"/>
    <w:uiPriority w:val="99"/>
    <w:semiHidden/>
    <w:unhideWhenUsed/>
    <w:rsid w:val="006257A7"/>
    <w:rPr>
      <w:vertAlign w:val="superscript"/>
    </w:rPr>
  </w:style>
  <w:style w:type="character" w:styleId="CommentReference">
    <w:name w:val="annotation reference"/>
    <w:basedOn w:val="DefaultParagraphFont"/>
    <w:uiPriority w:val="99"/>
    <w:semiHidden/>
    <w:unhideWhenUsed/>
    <w:rsid w:val="00A84F6E"/>
    <w:rPr>
      <w:sz w:val="16"/>
      <w:szCs w:val="16"/>
    </w:rPr>
  </w:style>
  <w:style w:type="paragraph" w:styleId="CommentText">
    <w:name w:val="annotation text"/>
    <w:basedOn w:val="Normal"/>
    <w:link w:val="CommentTextChar"/>
    <w:uiPriority w:val="99"/>
    <w:semiHidden/>
    <w:unhideWhenUsed/>
    <w:rsid w:val="00A84F6E"/>
    <w:rPr>
      <w:sz w:val="20"/>
      <w:szCs w:val="20"/>
    </w:rPr>
  </w:style>
  <w:style w:type="character" w:customStyle="1" w:styleId="CommentTextChar">
    <w:name w:val="Comment Text Char"/>
    <w:basedOn w:val="DefaultParagraphFont"/>
    <w:link w:val="CommentText"/>
    <w:uiPriority w:val="99"/>
    <w:semiHidden/>
    <w:rsid w:val="00A84F6E"/>
    <w:rPr>
      <w:rFonts w:eastAsiaTheme="minorEastAsia"/>
    </w:rPr>
  </w:style>
  <w:style w:type="paragraph" w:styleId="CommentSubject">
    <w:name w:val="annotation subject"/>
    <w:basedOn w:val="CommentText"/>
    <w:next w:val="CommentText"/>
    <w:link w:val="CommentSubjectChar"/>
    <w:uiPriority w:val="99"/>
    <w:semiHidden/>
    <w:unhideWhenUsed/>
    <w:rsid w:val="00A84F6E"/>
    <w:rPr>
      <w:b/>
      <w:bCs/>
    </w:rPr>
  </w:style>
  <w:style w:type="character" w:customStyle="1" w:styleId="CommentSubjectChar">
    <w:name w:val="Comment Subject Char"/>
    <w:basedOn w:val="CommentTextChar"/>
    <w:link w:val="CommentSubject"/>
    <w:uiPriority w:val="99"/>
    <w:semiHidden/>
    <w:rsid w:val="00A84F6E"/>
    <w:rPr>
      <w:rFonts w:eastAsiaTheme="minorEastAsia"/>
      <w:b/>
      <w:bCs/>
    </w:rPr>
  </w:style>
  <w:style w:type="paragraph" w:styleId="BalloonText">
    <w:name w:val="Balloon Text"/>
    <w:basedOn w:val="Normal"/>
    <w:link w:val="BalloonTextChar"/>
    <w:uiPriority w:val="99"/>
    <w:semiHidden/>
    <w:unhideWhenUsed/>
    <w:rsid w:val="00A84F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F6E"/>
    <w:rPr>
      <w:rFonts w:ascii="Segoe UI" w:eastAsiaTheme="minorEastAsia" w:hAnsi="Segoe UI" w:cs="Segoe UI"/>
      <w:sz w:val="18"/>
      <w:szCs w:val="18"/>
    </w:rPr>
  </w:style>
  <w:style w:type="paragraph" w:styleId="ListParagraph">
    <w:name w:val="List Paragraph"/>
    <w:basedOn w:val="Normal"/>
    <w:uiPriority w:val="34"/>
    <w:qFormat/>
    <w:rsid w:val="009D689E"/>
    <w:pPr>
      <w:spacing w:after="200" w:line="276" w:lineRule="auto"/>
      <w:ind w:left="720"/>
      <w:contextualSpacing/>
    </w:pPr>
    <w:rPr>
      <w:rFonts w:asciiTheme="minorHAnsi" w:eastAsiaTheme="minorHAnsi" w:hAnsiTheme="minorHAnsi" w:cstheme="minorBidi"/>
      <w:sz w:val="22"/>
      <w:szCs w:val="22"/>
      <w:lang w:val="en-US" w:eastAsia="en-US"/>
    </w:rPr>
  </w:style>
  <w:style w:type="paragraph" w:styleId="Header">
    <w:name w:val="header"/>
    <w:basedOn w:val="Normal"/>
    <w:link w:val="HeaderChar"/>
    <w:uiPriority w:val="99"/>
    <w:unhideWhenUsed/>
    <w:rsid w:val="00FE7145"/>
    <w:pPr>
      <w:tabs>
        <w:tab w:val="center" w:pos="4677"/>
        <w:tab w:val="right" w:pos="9355"/>
      </w:tabs>
    </w:pPr>
  </w:style>
  <w:style w:type="character" w:customStyle="1" w:styleId="HeaderChar">
    <w:name w:val="Header Char"/>
    <w:basedOn w:val="DefaultParagraphFont"/>
    <w:link w:val="Header"/>
    <w:uiPriority w:val="99"/>
    <w:rsid w:val="00FE7145"/>
    <w:rPr>
      <w:rFonts w:eastAsiaTheme="minorEastAsia"/>
      <w:sz w:val="24"/>
      <w:szCs w:val="24"/>
    </w:rPr>
  </w:style>
  <w:style w:type="paragraph" w:styleId="Footer">
    <w:name w:val="footer"/>
    <w:basedOn w:val="Normal"/>
    <w:link w:val="FooterChar"/>
    <w:uiPriority w:val="99"/>
    <w:unhideWhenUsed/>
    <w:rsid w:val="00FE7145"/>
    <w:pPr>
      <w:tabs>
        <w:tab w:val="center" w:pos="4677"/>
        <w:tab w:val="right" w:pos="9355"/>
      </w:tabs>
    </w:pPr>
  </w:style>
  <w:style w:type="character" w:customStyle="1" w:styleId="FooterChar">
    <w:name w:val="Footer Char"/>
    <w:basedOn w:val="DefaultParagraphFont"/>
    <w:link w:val="Footer"/>
    <w:uiPriority w:val="99"/>
    <w:rsid w:val="00FE7145"/>
    <w:rPr>
      <w:rFonts w:eastAsiaTheme="minorEastAsia"/>
      <w:sz w:val="24"/>
      <w:szCs w:val="24"/>
    </w:rPr>
  </w:style>
  <w:style w:type="paragraph" w:styleId="Revision">
    <w:name w:val="Revision"/>
    <w:hidden/>
    <w:uiPriority w:val="99"/>
    <w:semiHidden/>
    <w:rsid w:val="002913D3"/>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ind w:firstLine="567"/>
      <w:jc w:val="both"/>
    </w:pPr>
  </w:style>
  <w:style w:type="paragraph" w:customStyle="1" w:styleId="tt">
    <w:name w:val="tt"/>
    <w:basedOn w:val="Normal"/>
    <w:pPr>
      <w:jc w:val="center"/>
    </w:pPr>
    <w:rPr>
      <w:b/>
      <w:bCs/>
    </w:rPr>
  </w:style>
  <w:style w:type="paragraph" w:customStyle="1" w:styleId="pb">
    <w:name w:val="pb"/>
    <w:basedOn w:val="Normal"/>
    <w:pPr>
      <w:jc w:val="center"/>
    </w:pPr>
    <w:rPr>
      <w:i/>
      <w:iCs/>
      <w:color w:val="663300"/>
      <w:sz w:val="20"/>
      <w:szCs w:val="20"/>
    </w:rPr>
  </w:style>
  <w:style w:type="paragraph" w:customStyle="1" w:styleId="cu">
    <w:name w:val="cu"/>
    <w:basedOn w:val="Normal"/>
    <w:pPr>
      <w:spacing w:before="45"/>
      <w:ind w:left="1134" w:right="567" w:hanging="567"/>
      <w:jc w:val="both"/>
    </w:pPr>
    <w:rPr>
      <w:sz w:val="20"/>
      <w:szCs w:val="20"/>
    </w:rPr>
  </w:style>
  <w:style w:type="paragraph" w:customStyle="1" w:styleId="cut">
    <w:name w:val="cut"/>
    <w:basedOn w:val="Normal"/>
    <w:pPr>
      <w:ind w:left="567" w:right="567" w:firstLine="567"/>
      <w:jc w:val="center"/>
    </w:pPr>
    <w:rPr>
      <w:b/>
      <w:bCs/>
      <w:sz w:val="20"/>
      <w:szCs w:val="20"/>
    </w:rPr>
  </w:style>
  <w:style w:type="paragraph" w:customStyle="1" w:styleId="cp">
    <w:name w:val="cp"/>
    <w:basedOn w:val="Normal"/>
    <w:pPr>
      <w:jc w:val="center"/>
    </w:pPr>
    <w:rPr>
      <w:b/>
      <w:bCs/>
    </w:rPr>
  </w:style>
  <w:style w:type="paragraph" w:customStyle="1" w:styleId="nt">
    <w:name w:val="nt"/>
    <w:basedOn w:val="Normal"/>
    <w:pPr>
      <w:ind w:left="567" w:right="567" w:hanging="567"/>
      <w:jc w:val="both"/>
    </w:pPr>
    <w:rPr>
      <w:i/>
      <w:iCs/>
      <w:color w:val="663300"/>
      <w:sz w:val="20"/>
      <w:szCs w:val="20"/>
    </w:rPr>
  </w:style>
  <w:style w:type="paragraph" w:customStyle="1" w:styleId="md">
    <w:name w:val="md"/>
    <w:basedOn w:val="Normal"/>
    <w:pPr>
      <w:ind w:firstLine="567"/>
      <w:jc w:val="both"/>
    </w:pPr>
    <w:rPr>
      <w:i/>
      <w:iCs/>
      <w:color w:val="663300"/>
      <w:sz w:val="20"/>
      <w:szCs w:val="20"/>
    </w:rPr>
  </w:style>
  <w:style w:type="paragraph" w:customStyle="1" w:styleId="cn">
    <w:name w:val="cn"/>
    <w:basedOn w:val="Normal"/>
    <w:pPr>
      <w:jc w:val="center"/>
    </w:pPr>
  </w:style>
  <w:style w:type="paragraph" w:customStyle="1" w:styleId="cb">
    <w:name w:val="cb"/>
    <w:basedOn w:val="Normal"/>
    <w:pPr>
      <w:jc w:val="center"/>
    </w:pPr>
    <w:rPr>
      <w:b/>
      <w:bCs/>
    </w:rPr>
  </w:style>
  <w:style w:type="paragraph" w:customStyle="1" w:styleId="rg">
    <w:name w:val="rg"/>
    <w:basedOn w:val="Normal"/>
    <w:pPr>
      <w:jc w:val="right"/>
    </w:pPr>
  </w:style>
  <w:style w:type="paragraph" w:customStyle="1" w:styleId="js">
    <w:name w:val="js"/>
    <w:basedOn w:val="Normal"/>
    <w:pPr>
      <w:jc w:val="both"/>
    </w:pPr>
  </w:style>
  <w:style w:type="paragraph" w:customStyle="1" w:styleId="lf">
    <w:name w:val="lf"/>
    <w:basedOn w:val="Normal"/>
  </w:style>
  <w:style w:type="paragraph" w:customStyle="1" w:styleId="forma">
    <w:name w:val="forma"/>
    <w:basedOn w:val="Normal"/>
    <w:pPr>
      <w:ind w:firstLine="567"/>
      <w:jc w:val="both"/>
    </w:pPr>
    <w:rPr>
      <w:rFonts w:ascii="Arial" w:hAnsi="Arial" w:cs="Arial"/>
      <w:sz w:val="20"/>
      <w:szCs w:val="20"/>
    </w:rPr>
  </w:style>
  <w:style w:type="paragraph" w:customStyle="1" w:styleId="sm">
    <w:name w:val="sm"/>
    <w:basedOn w:val="Normal"/>
    <w:pPr>
      <w:spacing w:before="240"/>
      <w:ind w:left="567" w:firstLine="567"/>
    </w:pPr>
    <w:rPr>
      <w:b/>
      <w:bCs/>
    </w:rPr>
  </w:style>
  <w:style w:type="paragraph" w:customStyle="1" w:styleId="smfunctia">
    <w:name w:val="sm_functia"/>
    <w:basedOn w:val="Normal"/>
    <w:pPr>
      <w:ind w:firstLine="567"/>
      <w:jc w:val="both"/>
    </w:pPr>
  </w:style>
  <w:style w:type="paragraph" w:customStyle="1" w:styleId="smdata">
    <w:name w:val="sm_data"/>
    <w:basedOn w:val="Normal"/>
    <w:pPr>
      <w:ind w:firstLine="567"/>
      <w:jc w:val="both"/>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Default">
    <w:name w:val="Default"/>
    <w:rsid w:val="00A0099C"/>
    <w:pPr>
      <w:autoSpaceDE w:val="0"/>
      <w:autoSpaceDN w:val="0"/>
      <w:adjustRightInd w:val="0"/>
    </w:pPr>
    <w:rPr>
      <w:color w:val="000000"/>
      <w:sz w:val="24"/>
      <w:szCs w:val="24"/>
    </w:rPr>
  </w:style>
  <w:style w:type="table" w:styleId="TableGrid">
    <w:name w:val="Table Grid"/>
    <w:basedOn w:val="TableNormal"/>
    <w:uiPriority w:val="39"/>
    <w:rsid w:val="00AD39C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6257A7"/>
    <w:rPr>
      <w:sz w:val="20"/>
      <w:szCs w:val="20"/>
    </w:rPr>
  </w:style>
  <w:style w:type="character" w:customStyle="1" w:styleId="FootnoteTextChar">
    <w:name w:val="Footnote Text Char"/>
    <w:basedOn w:val="DefaultParagraphFont"/>
    <w:link w:val="FootnoteText"/>
    <w:uiPriority w:val="99"/>
    <w:semiHidden/>
    <w:rsid w:val="006257A7"/>
    <w:rPr>
      <w:rFonts w:eastAsiaTheme="minorEastAsia"/>
    </w:rPr>
  </w:style>
  <w:style w:type="character" w:styleId="FootnoteReference">
    <w:name w:val="footnote reference"/>
    <w:basedOn w:val="DefaultParagraphFont"/>
    <w:uiPriority w:val="99"/>
    <w:semiHidden/>
    <w:unhideWhenUsed/>
    <w:rsid w:val="006257A7"/>
    <w:rPr>
      <w:vertAlign w:val="superscript"/>
    </w:rPr>
  </w:style>
  <w:style w:type="character" w:styleId="CommentReference">
    <w:name w:val="annotation reference"/>
    <w:basedOn w:val="DefaultParagraphFont"/>
    <w:uiPriority w:val="99"/>
    <w:semiHidden/>
    <w:unhideWhenUsed/>
    <w:rsid w:val="00A84F6E"/>
    <w:rPr>
      <w:sz w:val="16"/>
      <w:szCs w:val="16"/>
    </w:rPr>
  </w:style>
  <w:style w:type="paragraph" w:styleId="CommentText">
    <w:name w:val="annotation text"/>
    <w:basedOn w:val="Normal"/>
    <w:link w:val="CommentTextChar"/>
    <w:uiPriority w:val="99"/>
    <w:semiHidden/>
    <w:unhideWhenUsed/>
    <w:rsid w:val="00A84F6E"/>
    <w:rPr>
      <w:sz w:val="20"/>
      <w:szCs w:val="20"/>
    </w:rPr>
  </w:style>
  <w:style w:type="character" w:customStyle="1" w:styleId="CommentTextChar">
    <w:name w:val="Comment Text Char"/>
    <w:basedOn w:val="DefaultParagraphFont"/>
    <w:link w:val="CommentText"/>
    <w:uiPriority w:val="99"/>
    <w:semiHidden/>
    <w:rsid w:val="00A84F6E"/>
    <w:rPr>
      <w:rFonts w:eastAsiaTheme="minorEastAsia"/>
    </w:rPr>
  </w:style>
  <w:style w:type="paragraph" w:styleId="CommentSubject">
    <w:name w:val="annotation subject"/>
    <w:basedOn w:val="CommentText"/>
    <w:next w:val="CommentText"/>
    <w:link w:val="CommentSubjectChar"/>
    <w:uiPriority w:val="99"/>
    <w:semiHidden/>
    <w:unhideWhenUsed/>
    <w:rsid w:val="00A84F6E"/>
    <w:rPr>
      <w:b/>
      <w:bCs/>
    </w:rPr>
  </w:style>
  <w:style w:type="character" w:customStyle="1" w:styleId="CommentSubjectChar">
    <w:name w:val="Comment Subject Char"/>
    <w:basedOn w:val="CommentTextChar"/>
    <w:link w:val="CommentSubject"/>
    <w:uiPriority w:val="99"/>
    <w:semiHidden/>
    <w:rsid w:val="00A84F6E"/>
    <w:rPr>
      <w:rFonts w:eastAsiaTheme="minorEastAsia"/>
      <w:b/>
      <w:bCs/>
    </w:rPr>
  </w:style>
  <w:style w:type="paragraph" w:styleId="BalloonText">
    <w:name w:val="Balloon Text"/>
    <w:basedOn w:val="Normal"/>
    <w:link w:val="BalloonTextChar"/>
    <w:uiPriority w:val="99"/>
    <w:semiHidden/>
    <w:unhideWhenUsed/>
    <w:rsid w:val="00A84F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F6E"/>
    <w:rPr>
      <w:rFonts w:ascii="Segoe UI" w:eastAsiaTheme="minorEastAsia" w:hAnsi="Segoe UI" w:cs="Segoe UI"/>
      <w:sz w:val="18"/>
      <w:szCs w:val="18"/>
    </w:rPr>
  </w:style>
  <w:style w:type="paragraph" w:styleId="ListParagraph">
    <w:name w:val="List Paragraph"/>
    <w:basedOn w:val="Normal"/>
    <w:uiPriority w:val="34"/>
    <w:qFormat/>
    <w:rsid w:val="009D689E"/>
    <w:pPr>
      <w:spacing w:after="200" w:line="276" w:lineRule="auto"/>
      <w:ind w:left="720"/>
      <w:contextualSpacing/>
    </w:pPr>
    <w:rPr>
      <w:rFonts w:asciiTheme="minorHAnsi" w:eastAsiaTheme="minorHAnsi" w:hAnsiTheme="minorHAnsi" w:cstheme="minorBidi"/>
      <w:sz w:val="22"/>
      <w:szCs w:val="22"/>
      <w:lang w:val="en-US" w:eastAsia="en-US"/>
    </w:rPr>
  </w:style>
  <w:style w:type="paragraph" w:styleId="Header">
    <w:name w:val="header"/>
    <w:basedOn w:val="Normal"/>
    <w:link w:val="HeaderChar"/>
    <w:uiPriority w:val="99"/>
    <w:unhideWhenUsed/>
    <w:rsid w:val="00FE7145"/>
    <w:pPr>
      <w:tabs>
        <w:tab w:val="center" w:pos="4677"/>
        <w:tab w:val="right" w:pos="9355"/>
      </w:tabs>
    </w:pPr>
  </w:style>
  <w:style w:type="character" w:customStyle="1" w:styleId="HeaderChar">
    <w:name w:val="Header Char"/>
    <w:basedOn w:val="DefaultParagraphFont"/>
    <w:link w:val="Header"/>
    <w:uiPriority w:val="99"/>
    <w:rsid w:val="00FE7145"/>
    <w:rPr>
      <w:rFonts w:eastAsiaTheme="minorEastAsia"/>
      <w:sz w:val="24"/>
      <w:szCs w:val="24"/>
    </w:rPr>
  </w:style>
  <w:style w:type="paragraph" w:styleId="Footer">
    <w:name w:val="footer"/>
    <w:basedOn w:val="Normal"/>
    <w:link w:val="FooterChar"/>
    <w:uiPriority w:val="99"/>
    <w:unhideWhenUsed/>
    <w:rsid w:val="00FE7145"/>
    <w:pPr>
      <w:tabs>
        <w:tab w:val="center" w:pos="4677"/>
        <w:tab w:val="right" w:pos="9355"/>
      </w:tabs>
    </w:pPr>
  </w:style>
  <w:style w:type="character" w:customStyle="1" w:styleId="FooterChar">
    <w:name w:val="Footer Char"/>
    <w:basedOn w:val="DefaultParagraphFont"/>
    <w:link w:val="Footer"/>
    <w:uiPriority w:val="99"/>
    <w:rsid w:val="00FE7145"/>
    <w:rPr>
      <w:rFonts w:eastAsiaTheme="minorEastAsia"/>
      <w:sz w:val="24"/>
      <w:szCs w:val="24"/>
    </w:rPr>
  </w:style>
  <w:style w:type="paragraph" w:styleId="Revision">
    <w:name w:val="Revision"/>
    <w:hidden/>
    <w:uiPriority w:val="99"/>
    <w:semiHidden/>
    <w:rsid w:val="002913D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3.weforum.org/docs/WEF_TheGlobalCompetitivenessReport2019.pdf" TargetMode="External"/><Relationship Id="rId2" Type="http://schemas.openxmlformats.org/officeDocument/2006/relationships/hyperlink" Target="http://uipac.md/uploads/0/images/large/codb-2019-raport-rom.pdf" TargetMode="External"/><Relationship Id="rId1" Type="http://schemas.openxmlformats.org/officeDocument/2006/relationships/hyperlink" Target="http://uipac.md/uploads/0/images/large/codb-2019-raport-rom.pdf" TargetMode="External"/><Relationship Id="rId6" Type="http://schemas.openxmlformats.org/officeDocument/2006/relationships/hyperlink" Target="https://justicemoldova.md/ce-probleme-invoca-oamenii-de-afaceri-se-propune-crearea-institutiei-ombudsman-al-businessului/?fbclid=IwAR2wFXEc6VjAhJquiujeLA3ZVCVN2McBjdc00EKwQ4UQMgV0PkrwgoZ4OKA" TargetMode="External"/><Relationship Id="rId5" Type="http://schemas.openxmlformats.org/officeDocument/2006/relationships/hyperlink" Target="https://www.moldpres.md/news/2019/08/07/19006159" TargetMode="External"/><Relationship Id="rId4" Type="http://schemas.openxmlformats.org/officeDocument/2006/relationships/hyperlink" Target="https://agora.md/stiri/7466/investitori-din-moldova-propun-crearea-unui-oficiu-de-ombudsman-in-afaceri"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9BD12D6-4886-439A-BB49-4F5EB4D1FD7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AC204C6-B5DF-4A01-B5A7-8590C108C698}">
      <dgm:prSet phldrT="[Text]" custT="1"/>
      <dgm:spPr/>
      <dgm:t>
        <a:bodyPr/>
        <a:lstStyle/>
        <a:p>
          <a:r>
            <a:rPr lang="ro-RO" sz="1000" b="1"/>
            <a:t>Ombudsman</a:t>
          </a:r>
          <a:endParaRPr lang="en-GB" sz="1000" b="1"/>
        </a:p>
      </dgm:t>
    </dgm:pt>
    <dgm:pt modelId="{D8DE2889-9524-4B6A-B090-F5E6EDD365C6}" type="parTrans" cxnId="{FD792F19-4FD8-4332-AE9F-8014B21B8D65}">
      <dgm:prSet/>
      <dgm:spPr/>
      <dgm:t>
        <a:bodyPr/>
        <a:lstStyle/>
        <a:p>
          <a:endParaRPr lang="en-GB"/>
        </a:p>
      </dgm:t>
    </dgm:pt>
    <dgm:pt modelId="{659EDB3B-52B0-4195-8CDE-FECE5888158C}" type="sibTrans" cxnId="{FD792F19-4FD8-4332-AE9F-8014B21B8D65}">
      <dgm:prSet/>
      <dgm:spPr/>
      <dgm:t>
        <a:bodyPr/>
        <a:lstStyle/>
        <a:p>
          <a:endParaRPr lang="en-GB"/>
        </a:p>
      </dgm:t>
    </dgm:pt>
    <dgm:pt modelId="{54E8A752-0A8F-413A-8C41-1083E8253308}" type="asst">
      <dgm:prSet phldrT="[Text]" custT="1"/>
      <dgm:spPr/>
      <dgm:t>
        <a:bodyPr/>
        <a:lstStyle/>
        <a:p>
          <a:r>
            <a:rPr lang="ro-RO" sz="1000" b="1"/>
            <a:t>Reprezentant</a:t>
          </a:r>
          <a:r>
            <a:rPr lang="ro-RO" sz="1000"/>
            <a:t> în teritoriu (Nord)</a:t>
          </a:r>
          <a:endParaRPr lang="en-GB" sz="1000"/>
        </a:p>
      </dgm:t>
    </dgm:pt>
    <dgm:pt modelId="{1B507E12-D66D-4191-B6A3-6C0C5B8D2C47}" type="parTrans" cxnId="{80326E92-A509-407A-A041-05ABBA4A76EE}">
      <dgm:prSet/>
      <dgm:spPr/>
      <dgm:t>
        <a:bodyPr/>
        <a:lstStyle/>
        <a:p>
          <a:endParaRPr lang="en-GB"/>
        </a:p>
      </dgm:t>
    </dgm:pt>
    <dgm:pt modelId="{B651DD6F-2D40-47FD-A423-80ACB0AC78CF}" type="sibTrans" cxnId="{80326E92-A509-407A-A041-05ABBA4A76EE}">
      <dgm:prSet/>
      <dgm:spPr/>
      <dgm:t>
        <a:bodyPr/>
        <a:lstStyle/>
        <a:p>
          <a:endParaRPr lang="en-GB"/>
        </a:p>
      </dgm:t>
    </dgm:pt>
    <dgm:pt modelId="{A04C1271-DE5E-4036-B753-F6DCB70BB0F6}">
      <dgm:prSet phldrT="[Text]" custT="1"/>
      <dgm:spPr/>
      <dgm:t>
        <a:bodyPr/>
        <a:lstStyle/>
        <a:p>
          <a:r>
            <a:rPr lang="ro-RO" sz="1000"/>
            <a:t>Direcția 1</a:t>
          </a:r>
        </a:p>
        <a:p>
          <a:r>
            <a:rPr lang="ro-RO" sz="1000"/>
            <a:t>(2 persoane)</a:t>
          </a:r>
          <a:endParaRPr lang="en-GB" sz="1000"/>
        </a:p>
      </dgm:t>
    </dgm:pt>
    <dgm:pt modelId="{028D74BE-15FA-4B9C-82ED-F826CF19E432}" type="parTrans" cxnId="{339B2030-9587-4555-AFDC-D223A61215E3}">
      <dgm:prSet/>
      <dgm:spPr/>
      <dgm:t>
        <a:bodyPr/>
        <a:lstStyle/>
        <a:p>
          <a:endParaRPr lang="en-GB"/>
        </a:p>
      </dgm:t>
    </dgm:pt>
    <dgm:pt modelId="{481A21C6-A98B-4DC8-B902-9F1737B19B41}" type="sibTrans" cxnId="{339B2030-9587-4555-AFDC-D223A61215E3}">
      <dgm:prSet/>
      <dgm:spPr/>
      <dgm:t>
        <a:bodyPr/>
        <a:lstStyle/>
        <a:p>
          <a:endParaRPr lang="en-GB"/>
        </a:p>
      </dgm:t>
    </dgm:pt>
    <dgm:pt modelId="{F09A769C-75A1-40DF-926E-D3D82C626336}">
      <dgm:prSet phldrT="[Text]" custT="1"/>
      <dgm:spPr/>
      <dgm:t>
        <a:bodyPr/>
        <a:lstStyle/>
        <a:p>
          <a:r>
            <a:rPr lang="ro-RO" sz="1000"/>
            <a:t>Direcția 2</a:t>
          </a:r>
        </a:p>
        <a:p>
          <a:r>
            <a:rPr lang="ro-RO" sz="1000"/>
            <a:t>(2 persoane)</a:t>
          </a:r>
          <a:endParaRPr lang="en-GB" sz="1000"/>
        </a:p>
      </dgm:t>
    </dgm:pt>
    <dgm:pt modelId="{C6598A23-329B-495D-B13D-B9606A27A10E}" type="parTrans" cxnId="{62107C35-349B-4E39-AB04-63709F81847B}">
      <dgm:prSet/>
      <dgm:spPr/>
      <dgm:t>
        <a:bodyPr/>
        <a:lstStyle/>
        <a:p>
          <a:endParaRPr lang="en-GB"/>
        </a:p>
      </dgm:t>
    </dgm:pt>
    <dgm:pt modelId="{1794C6B5-8353-49DD-9D82-FF797DB8C05A}" type="sibTrans" cxnId="{62107C35-349B-4E39-AB04-63709F81847B}">
      <dgm:prSet/>
      <dgm:spPr/>
      <dgm:t>
        <a:bodyPr/>
        <a:lstStyle/>
        <a:p>
          <a:endParaRPr lang="en-GB"/>
        </a:p>
      </dgm:t>
    </dgm:pt>
    <dgm:pt modelId="{04CCB7C6-D570-4C59-BF7D-5EB023FBEDA3}">
      <dgm:prSet phldrT="[Text]" custT="1"/>
      <dgm:spPr/>
      <dgm:t>
        <a:bodyPr/>
        <a:lstStyle/>
        <a:p>
          <a:r>
            <a:rPr lang="ro-RO" sz="1000"/>
            <a:t>Direcția 3</a:t>
          </a:r>
        </a:p>
        <a:p>
          <a:r>
            <a:rPr lang="ro-RO" sz="1000"/>
            <a:t>(2 persoane)</a:t>
          </a:r>
          <a:endParaRPr lang="en-GB" sz="1000"/>
        </a:p>
      </dgm:t>
    </dgm:pt>
    <dgm:pt modelId="{E3819FF4-8176-43E8-A690-926ACE73876C}" type="parTrans" cxnId="{46BF195E-7068-4501-B5E3-8C5524A7C0CE}">
      <dgm:prSet/>
      <dgm:spPr/>
      <dgm:t>
        <a:bodyPr/>
        <a:lstStyle/>
        <a:p>
          <a:endParaRPr lang="en-GB"/>
        </a:p>
      </dgm:t>
    </dgm:pt>
    <dgm:pt modelId="{49E069A4-2AF9-4F9D-A9D6-3570368564D6}" type="sibTrans" cxnId="{46BF195E-7068-4501-B5E3-8C5524A7C0CE}">
      <dgm:prSet/>
      <dgm:spPr/>
      <dgm:t>
        <a:bodyPr/>
        <a:lstStyle/>
        <a:p>
          <a:endParaRPr lang="en-GB"/>
        </a:p>
      </dgm:t>
    </dgm:pt>
    <dgm:pt modelId="{A708FA11-6E9F-4C94-B477-78048028A48A}">
      <dgm:prSet custT="1"/>
      <dgm:spPr/>
      <dgm:t>
        <a:bodyPr/>
        <a:lstStyle/>
        <a:p>
          <a:r>
            <a:rPr lang="ro-RO" sz="1000"/>
            <a:t>Secția juridică</a:t>
          </a:r>
        </a:p>
        <a:p>
          <a:r>
            <a:rPr lang="ro-RO" sz="1000"/>
            <a:t>(2 persoane)</a:t>
          </a:r>
          <a:endParaRPr lang="en-GB" sz="1000"/>
        </a:p>
      </dgm:t>
    </dgm:pt>
    <dgm:pt modelId="{445453CB-03A7-4223-A889-C4F064C7C37A}" type="parTrans" cxnId="{C7071660-E31F-4450-AD53-164EA2C8E553}">
      <dgm:prSet/>
      <dgm:spPr/>
      <dgm:t>
        <a:bodyPr/>
        <a:lstStyle/>
        <a:p>
          <a:endParaRPr lang="en-GB"/>
        </a:p>
      </dgm:t>
    </dgm:pt>
    <dgm:pt modelId="{71AF90C3-80B5-4A2A-BFAF-764156E35C6A}" type="sibTrans" cxnId="{C7071660-E31F-4450-AD53-164EA2C8E553}">
      <dgm:prSet/>
      <dgm:spPr/>
      <dgm:t>
        <a:bodyPr/>
        <a:lstStyle/>
        <a:p>
          <a:endParaRPr lang="en-GB"/>
        </a:p>
      </dgm:t>
    </dgm:pt>
    <dgm:pt modelId="{3E43CC92-AC99-4CD0-9A68-12A3F6883EB3}" type="asst">
      <dgm:prSet custT="1"/>
      <dgm:spPr/>
      <dgm:t>
        <a:bodyPr/>
        <a:lstStyle/>
        <a:p>
          <a:r>
            <a:rPr lang="ro-RO" sz="1000" b="1"/>
            <a:t>Reprezentant</a:t>
          </a:r>
          <a:r>
            <a:rPr lang="ro-RO" sz="1000"/>
            <a:t> în teritoriu (Sud)</a:t>
          </a:r>
          <a:endParaRPr lang="en-GB" sz="1000"/>
        </a:p>
      </dgm:t>
    </dgm:pt>
    <dgm:pt modelId="{AEB85382-0D55-49F1-AF50-70382293C194}" type="parTrans" cxnId="{0FBA4E68-BA0E-4F11-A2D4-65261A268638}">
      <dgm:prSet/>
      <dgm:spPr/>
      <dgm:t>
        <a:bodyPr/>
        <a:lstStyle/>
        <a:p>
          <a:endParaRPr lang="en-GB"/>
        </a:p>
      </dgm:t>
    </dgm:pt>
    <dgm:pt modelId="{ABC16D31-3876-40A1-9182-E50931F0F58A}" type="sibTrans" cxnId="{0FBA4E68-BA0E-4F11-A2D4-65261A268638}">
      <dgm:prSet/>
      <dgm:spPr/>
      <dgm:t>
        <a:bodyPr/>
        <a:lstStyle/>
        <a:p>
          <a:endParaRPr lang="en-GB"/>
        </a:p>
      </dgm:t>
    </dgm:pt>
    <dgm:pt modelId="{C27625D9-ECA0-46E3-8C54-10851E6BB6C2}">
      <dgm:prSet custT="1"/>
      <dgm:spPr/>
      <dgm:t>
        <a:bodyPr/>
        <a:lstStyle/>
        <a:p>
          <a:r>
            <a:rPr lang="ro-RO" sz="800"/>
            <a:t>Secretariat, secția adminitrativ-financiară</a:t>
          </a:r>
          <a:endParaRPr lang="en-GB" sz="800"/>
        </a:p>
      </dgm:t>
    </dgm:pt>
    <dgm:pt modelId="{0068D3BD-FC85-4573-AAC2-CC49426B14FE}" type="parTrans" cxnId="{849DFC02-5A38-45F9-8D3C-661D0109A325}">
      <dgm:prSet/>
      <dgm:spPr/>
      <dgm:t>
        <a:bodyPr/>
        <a:lstStyle/>
        <a:p>
          <a:endParaRPr lang="en-GB"/>
        </a:p>
      </dgm:t>
    </dgm:pt>
    <dgm:pt modelId="{03B19332-03E7-4169-9EFC-545EB8CFA26B}" type="sibTrans" cxnId="{849DFC02-5A38-45F9-8D3C-661D0109A325}">
      <dgm:prSet/>
      <dgm:spPr/>
      <dgm:t>
        <a:bodyPr/>
        <a:lstStyle/>
        <a:p>
          <a:endParaRPr lang="en-GB"/>
        </a:p>
      </dgm:t>
    </dgm:pt>
    <dgm:pt modelId="{0347CEB8-A97E-44F3-A6C0-25299BD933E7}" type="pres">
      <dgm:prSet presAssocID="{49BD12D6-4886-439A-BB49-4F5EB4D1FD75}" presName="hierChild1" presStyleCnt="0">
        <dgm:presLayoutVars>
          <dgm:orgChart val="1"/>
          <dgm:chPref val="1"/>
          <dgm:dir/>
          <dgm:animOne val="branch"/>
          <dgm:animLvl val="lvl"/>
          <dgm:resizeHandles/>
        </dgm:presLayoutVars>
      </dgm:prSet>
      <dgm:spPr/>
      <dgm:t>
        <a:bodyPr/>
        <a:lstStyle/>
        <a:p>
          <a:endParaRPr lang="ro-RO"/>
        </a:p>
      </dgm:t>
    </dgm:pt>
    <dgm:pt modelId="{CF52B008-2A75-4E66-B713-98F707DE6A79}" type="pres">
      <dgm:prSet presAssocID="{9AC204C6-B5DF-4A01-B5A7-8590C108C698}" presName="hierRoot1" presStyleCnt="0">
        <dgm:presLayoutVars>
          <dgm:hierBranch val="init"/>
        </dgm:presLayoutVars>
      </dgm:prSet>
      <dgm:spPr/>
    </dgm:pt>
    <dgm:pt modelId="{DC927AF2-48B5-4A8E-B96D-BF7E82AFF418}" type="pres">
      <dgm:prSet presAssocID="{9AC204C6-B5DF-4A01-B5A7-8590C108C698}" presName="rootComposite1" presStyleCnt="0"/>
      <dgm:spPr/>
    </dgm:pt>
    <dgm:pt modelId="{E90A540F-7601-4FD9-BF37-5CBA71517B91}" type="pres">
      <dgm:prSet presAssocID="{9AC204C6-B5DF-4A01-B5A7-8590C108C698}" presName="rootText1" presStyleLbl="node0" presStyleIdx="0" presStyleCnt="1">
        <dgm:presLayoutVars>
          <dgm:chPref val="3"/>
        </dgm:presLayoutVars>
      </dgm:prSet>
      <dgm:spPr/>
      <dgm:t>
        <a:bodyPr/>
        <a:lstStyle/>
        <a:p>
          <a:endParaRPr lang="ro-RO"/>
        </a:p>
      </dgm:t>
    </dgm:pt>
    <dgm:pt modelId="{19164B06-F196-42EC-B6EF-C0870A00DADD}" type="pres">
      <dgm:prSet presAssocID="{9AC204C6-B5DF-4A01-B5A7-8590C108C698}" presName="rootConnector1" presStyleLbl="node1" presStyleIdx="0" presStyleCnt="0"/>
      <dgm:spPr/>
      <dgm:t>
        <a:bodyPr/>
        <a:lstStyle/>
        <a:p>
          <a:endParaRPr lang="ro-RO"/>
        </a:p>
      </dgm:t>
    </dgm:pt>
    <dgm:pt modelId="{AC21076E-221D-4952-88C7-036E93A20DF1}" type="pres">
      <dgm:prSet presAssocID="{9AC204C6-B5DF-4A01-B5A7-8590C108C698}" presName="hierChild2" presStyleCnt="0"/>
      <dgm:spPr/>
    </dgm:pt>
    <dgm:pt modelId="{7B658FE4-BBB5-4E6C-AE20-91FFFBA4E4B8}" type="pres">
      <dgm:prSet presAssocID="{028D74BE-15FA-4B9C-82ED-F826CF19E432}" presName="Name37" presStyleLbl="parChTrans1D2" presStyleIdx="0" presStyleCnt="7"/>
      <dgm:spPr/>
      <dgm:t>
        <a:bodyPr/>
        <a:lstStyle/>
        <a:p>
          <a:endParaRPr lang="ro-RO"/>
        </a:p>
      </dgm:t>
    </dgm:pt>
    <dgm:pt modelId="{F1210C65-3DBE-4366-9C46-79D3F4494853}" type="pres">
      <dgm:prSet presAssocID="{A04C1271-DE5E-4036-B753-F6DCB70BB0F6}" presName="hierRoot2" presStyleCnt="0">
        <dgm:presLayoutVars>
          <dgm:hierBranch val="init"/>
        </dgm:presLayoutVars>
      </dgm:prSet>
      <dgm:spPr/>
    </dgm:pt>
    <dgm:pt modelId="{8368E3E1-08E8-4D7B-BFBA-95D78B56F93C}" type="pres">
      <dgm:prSet presAssocID="{A04C1271-DE5E-4036-B753-F6DCB70BB0F6}" presName="rootComposite" presStyleCnt="0"/>
      <dgm:spPr/>
    </dgm:pt>
    <dgm:pt modelId="{0B7E8A6D-A932-427A-AA8C-AB9F0D6E5FFF}" type="pres">
      <dgm:prSet presAssocID="{A04C1271-DE5E-4036-B753-F6DCB70BB0F6}" presName="rootText" presStyleLbl="node2" presStyleIdx="0" presStyleCnt="5">
        <dgm:presLayoutVars>
          <dgm:chPref val="3"/>
        </dgm:presLayoutVars>
      </dgm:prSet>
      <dgm:spPr/>
      <dgm:t>
        <a:bodyPr/>
        <a:lstStyle/>
        <a:p>
          <a:endParaRPr lang="ro-RO"/>
        </a:p>
      </dgm:t>
    </dgm:pt>
    <dgm:pt modelId="{CE184DFF-7297-4127-A4FC-7404081FA401}" type="pres">
      <dgm:prSet presAssocID="{A04C1271-DE5E-4036-B753-F6DCB70BB0F6}" presName="rootConnector" presStyleLbl="node2" presStyleIdx="0" presStyleCnt="5"/>
      <dgm:spPr/>
      <dgm:t>
        <a:bodyPr/>
        <a:lstStyle/>
        <a:p>
          <a:endParaRPr lang="ro-RO"/>
        </a:p>
      </dgm:t>
    </dgm:pt>
    <dgm:pt modelId="{67EF678B-79A9-495F-BE56-628CF4D26B9F}" type="pres">
      <dgm:prSet presAssocID="{A04C1271-DE5E-4036-B753-F6DCB70BB0F6}" presName="hierChild4" presStyleCnt="0"/>
      <dgm:spPr/>
    </dgm:pt>
    <dgm:pt modelId="{6757146D-D90F-45DE-B909-F84F99012C96}" type="pres">
      <dgm:prSet presAssocID="{A04C1271-DE5E-4036-B753-F6DCB70BB0F6}" presName="hierChild5" presStyleCnt="0"/>
      <dgm:spPr/>
    </dgm:pt>
    <dgm:pt modelId="{75F2E13A-3715-4AD6-B6AE-853FFE7C3423}" type="pres">
      <dgm:prSet presAssocID="{C6598A23-329B-495D-B13D-B9606A27A10E}" presName="Name37" presStyleLbl="parChTrans1D2" presStyleIdx="1" presStyleCnt="7"/>
      <dgm:spPr/>
      <dgm:t>
        <a:bodyPr/>
        <a:lstStyle/>
        <a:p>
          <a:endParaRPr lang="ro-RO"/>
        </a:p>
      </dgm:t>
    </dgm:pt>
    <dgm:pt modelId="{8DA03E03-4802-4DF9-AA91-94E92294669B}" type="pres">
      <dgm:prSet presAssocID="{F09A769C-75A1-40DF-926E-D3D82C626336}" presName="hierRoot2" presStyleCnt="0">
        <dgm:presLayoutVars>
          <dgm:hierBranch val="init"/>
        </dgm:presLayoutVars>
      </dgm:prSet>
      <dgm:spPr/>
    </dgm:pt>
    <dgm:pt modelId="{D59414C2-6AB3-48FB-A5C9-01BC9B01FF58}" type="pres">
      <dgm:prSet presAssocID="{F09A769C-75A1-40DF-926E-D3D82C626336}" presName="rootComposite" presStyleCnt="0"/>
      <dgm:spPr/>
    </dgm:pt>
    <dgm:pt modelId="{B18F2BC8-F009-4CD3-AC99-F1DC34C47116}" type="pres">
      <dgm:prSet presAssocID="{F09A769C-75A1-40DF-926E-D3D82C626336}" presName="rootText" presStyleLbl="node2" presStyleIdx="1" presStyleCnt="5">
        <dgm:presLayoutVars>
          <dgm:chPref val="3"/>
        </dgm:presLayoutVars>
      </dgm:prSet>
      <dgm:spPr/>
      <dgm:t>
        <a:bodyPr/>
        <a:lstStyle/>
        <a:p>
          <a:endParaRPr lang="ro-RO"/>
        </a:p>
      </dgm:t>
    </dgm:pt>
    <dgm:pt modelId="{F3C38475-525F-41E2-84B4-90BB27EF26BC}" type="pres">
      <dgm:prSet presAssocID="{F09A769C-75A1-40DF-926E-D3D82C626336}" presName="rootConnector" presStyleLbl="node2" presStyleIdx="1" presStyleCnt="5"/>
      <dgm:spPr/>
      <dgm:t>
        <a:bodyPr/>
        <a:lstStyle/>
        <a:p>
          <a:endParaRPr lang="ro-RO"/>
        </a:p>
      </dgm:t>
    </dgm:pt>
    <dgm:pt modelId="{45737362-EA26-42D6-823E-8C74E04A33C0}" type="pres">
      <dgm:prSet presAssocID="{F09A769C-75A1-40DF-926E-D3D82C626336}" presName="hierChild4" presStyleCnt="0"/>
      <dgm:spPr/>
    </dgm:pt>
    <dgm:pt modelId="{02065597-0B98-4055-9BFE-B6F8814AB4CB}" type="pres">
      <dgm:prSet presAssocID="{F09A769C-75A1-40DF-926E-D3D82C626336}" presName="hierChild5" presStyleCnt="0"/>
      <dgm:spPr/>
    </dgm:pt>
    <dgm:pt modelId="{5F9DD14A-4DE6-45DC-A1BE-E9564B0515F6}" type="pres">
      <dgm:prSet presAssocID="{E3819FF4-8176-43E8-A690-926ACE73876C}" presName="Name37" presStyleLbl="parChTrans1D2" presStyleIdx="2" presStyleCnt="7"/>
      <dgm:spPr/>
      <dgm:t>
        <a:bodyPr/>
        <a:lstStyle/>
        <a:p>
          <a:endParaRPr lang="ro-RO"/>
        </a:p>
      </dgm:t>
    </dgm:pt>
    <dgm:pt modelId="{A2F788CF-DFA4-429A-A939-19BCB768F9CC}" type="pres">
      <dgm:prSet presAssocID="{04CCB7C6-D570-4C59-BF7D-5EB023FBEDA3}" presName="hierRoot2" presStyleCnt="0">
        <dgm:presLayoutVars>
          <dgm:hierBranch val="init"/>
        </dgm:presLayoutVars>
      </dgm:prSet>
      <dgm:spPr/>
    </dgm:pt>
    <dgm:pt modelId="{F33F8B94-DD6A-450C-AC3B-D8BCE140C654}" type="pres">
      <dgm:prSet presAssocID="{04CCB7C6-D570-4C59-BF7D-5EB023FBEDA3}" presName="rootComposite" presStyleCnt="0"/>
      <dgm:spPr/>
    </dgm:pt>
    <dgm:pt modelId="{E33BD30B-CDF6-41C5-91D5-95C0B817D88A}" type="pres">
      <dgm:prSet presAssocID="{04CCB7C6-D570-4C59-BF7D-5EB023FBEDA3}" presName="rootText" presStyleLbl="node2" presStyleIdx="2" presStyleCnt="5">
        <dgm:presLayoutVars>
          <dgm:chPref val="3"/>
        </dgm:presLayoutVars>
      </dgm:prSet>
      <dgm:spPr/>
      <dgm:t>
        <a:bodyPr/>
        <a:lstStyle/>
        <a:p>
          <a:endParaRPr lang="ro-RO"/>
        </a:p>
      </dgm:t>
    </dgm:pt>
    <dgm:pt modelId="{0C670C39-4C3C-4891-BCD0-BCBC1B01C8AC}" type="pres">
      <dgm:prSet presAssocID="{04CCB7C6-D570-4C59-BF7D-5EB023FBEDA3}" presName="rootConnector" presStyleLbl="node2" presStyleIdx="2" presStyleCnt="5"/>
      <dgm:spPr/>
      <dgm:t>
        <a:bodyPr/>
        <a:lstStyle/>
        <a:p>
          <a:endParaRPr lang="ro-RO"/>
        </a:p>
      </dgm:t>
    </dgm:pt>
    <dgm:pt modelId="{62A940CE-B94A-471D-8480-9D21FA888B05}" type="pres">
      <dgm:prSet presAssocID="{04CCB7C6-D570-4C59-BF7D-5EB023FBEDA3}" presName="hierChild4" presStyleCnt="0"/>
      <dgm:spPr/>
    </dgm:pt>
    <dgm:pt modelId="{59D72F63-1C76-4FBD-AFC7-7F1D0046C3D7}" type="pres">
      <dgm:prSet presAssocID="{04CCB7C6-D570-4C59-BF7D-5EB023FBEDA3}" presName="hierChild5" presStyleCnt="0"/>
      <dgm:spPr/>
    </dgm:pt>
    <dgm:pt modelId="{754067CD-8EC7-43CF-B60D-977513DCC51A}" type="pres">
      <dgm:prSet presAssocID="{445453CB-03A7-4223-A889-C4F064C7C37A}" presName="Name37" presStyleLbl="parChTrans1D2" presStyleIdx="3" presStyleCnt="7"/>
      <dgm:spPr/>
      <dgm:t>
        <a:bodyPr/>
        <a:lstStyle/>
        <a:p>
          <a:endParaRPr lang="ro-RO"/>
        </a:p>
      </dgm:t>
    </dgm:pt>
    <dgm:pt modelId="{4C5A64CE-0FBA-48B9-BDFA-50230E4EF57C}" type="pres">
      <dgm:prSet presAssocID="{A708FA11-6E9F-4C94-B477-78048028A48A}" presName="hierRoot2" presStyleCnt="0">
        <dgm:presLayoutVars>
          <dgm:hierBranch val="init"/>
        </dgm:presLayoutVars>
      </dgm:prSet>
      <dgm:spPr/>
    </dgm:pt>
    <dgm:pt modelId="{65E9A402-1B9E-4FB0-896A-98577FB3A929}" type="pres">
      <dgm:prSet presAssocID="{A708FA11-6E9F-4C94-B477-78048028A48A}" presName="rootComposite" presStyleCnt="0"/>
      <dgm:spPr/>
    </dgm:pt>
    <dgm:pt modelId="{BD74E9FC-8920-4214-912C-314E18822B0F}" type="pres">
      <dgm:prSet presAssocID="{A708FA11-6E9F-4C94-B477-78048028A48A}" presName="rootText" presStyleLbl="node2" presStyleIdx="3" presStyleCnt="5">
        <dgm:presLayoutVars>
          <dgm:chPref val="3"/>
        </dgm:presLayoutVars>
      </dgm:prSet>
      <dgm:spPr/>
      <dgm:t>
        <a:bodyPr/>
        <a:lstStyle/>
        <a:p>
          <a:endParaRPr lang="ro-RO"/>
        </a:p>
      </dgm:t>
    </dgm:pt>
    <dgm:pt modelId="{CEDA2231-1D35-4A01-A86F-5ED57325D6B7}" type="pres">
      <dgm:prSet presAssocID="{A708FA11-6E9F-4C94-B477-78048028A48A}" presName="rootConnector" presStyleLbl="node2" presStyleIdx="3" presStyleCnt="5"/>
      <dgm:spPr/>
      <dgm:t>
        <a:bodyPr/>
        <a:lstStyle/>
        <a:p>
          <a:endParaRPr lang="ro-RO"/>
        </a:p>
      </dgm:t>
    </dgm:pt>
    <dgm:pt modelId="{2086318A-8FB6-4260-B187-ECC535E29C7A}" type="pres">
      <dgm:prSet presAssocID="{A708FA11-6E9F-4C94-B477-78048028A48A}" presName="hierChild4" presStyleCnt="0"/>
      <dgm:spPr/>
    </dgm:pt>
    <dgm:pt modelId="{A26095AB-1D05-410C-849D-805D6EE35E18}" type="pres">
      <dgm:prSet presAssocID="{A708FA11-6E9F-4C94-B477-78048028A48A}" presName="hierChild5" presStyleCnt="0"/>
      <dgm:spPr/>
    </dgm:pt>
    <dgm:pt modelId="{B93A7AF2-71A0-41F0-A037-128D056B6141}" type="pres">
      <dgm:prSet presAssocID="{0068D3BD-FC85-4573-AAC2-CC49426B14FE}" presName="Name37" presStyleLbl="parChTrans1D2" presStyleIdx="4" presStyleCnt="7"/>
      <dgm:spPr/>
      <dgm:t>
        <a:bodyPr/>
        <a:lstStyle/>
        <a:p>
          <a:endParaRPr lang="ro-RO"/>
        </a:p>
      </dgm:t>
    </dgm:pt>
    <dgm:pt modelId="{E304E524-33B4-4666-BF7D-C469CCAD3A3F}" type="pres">
      <dgm:prSet presAssocID="{C27625D9-ECA0-46E3-8C54-10851E6BB6C2}" presName="hierRoot2" presStyleCnt="0">
        <dgm:presLayoutVars>
          <dgm:hierBranch val="init"/>
        </dgm:presLayoutVars>
      </dgm:prSet>
      <dgm:spPr/>
    </dgm:pt>
    <dgm:pt modelId="{595E149D-A830-484B-9CD0-5AB119B3020E}" type="pres">
      <dgm:prSet presAssocID="{C27625D9-ECA0-46E3-8C54-10851E6BB6C2}" presName="rootComposite" presStyleCnt="0"/>
      <dgm:spPr/>
    </dgm:pt>
    <dgm:pt modelId="{0D098B44-517D-4C02-95AA-0AE4E65E2264}" type="pres">
      <dgm:prSet presAssocID="{C27625D9-ECA0-46E3-8C54-10851E6BB6C2}" presName="rootText" presStyleLbl="node2" presStyleIdx="4" presStyleCnt="5">
        <dgm:presLayoutVars>
          <dgm:chPref val="3"/>
        </dgm:presLayoutVars>
      </dgm:prSet>
      <dgm:spPr/>
      <dgm:t>
        <a:bodyPr/>
        <a:lstStyle/>
        <a:p>
          <a:endParaRPr lang="ro-RO"/>
        </a:p>
      </dgm:t>
    </dgm:pt>
    <dgm:pt modelId="{E9AD74A7-0BB9-4AD6-ADC2-7F5106FF95D7}" type="pres">
      <dgm:prSet presAssocID="{C27625D9-ECA0-46E3-8C54-10851E6BB6C2}" presName="rootConnector" presStyleLbl="node2" presStyleIdx="4" presStyleCnt="5"/>
      <dgm:spPr/>
      <dgm:t>
        <a:bodyPr/>
        <a:lstStyle/>
        <a:p>
          <a:endParaRPr lang="ro-RO"/>
        </a:p>
      </dgm:t>
    </dgm:pt>
    <dgm:pt modelId="{022F1745-7012-4B8B-AB2C-EF56F9146DC0}" type="pres">
      <dgm:prSet presAssocID="{C27625D9-ECA0-46E3-8C54-10851E6BB6C2}" presName="hierChild4" presStyleCnt="0"/>
      <dgm:spPr/>
    </dgm:pt>
    <dgm:pt modelId="{1809706D-45AF-48F7-B2C2-937A475540B0}" type="pres">
      <dgm:prSet presAssocID="{C27625D9-ECA0-46E3-8C54-10851E6BB6C2}" presName="hierChild5" presStyleCnt="0"/>
      <dgm:spPr/>
    </dgm:pt>
    <dgm:pt modelId="{BA87A6C7-5081-4A62-A8ED-C67441305FB4}" type="pres">
      <dgm:prSet presAssocID="{9AC204C6-B5DF-4A01-B5A7-8590C108C698}" presName="hierChild3" presStyleCnt="0"/>
      <dgm:spPr/>
    </dgm:pt>
    <dgm:pt modelId="{299E6D29-5A3C-4A53-B634-7B9C183B2D10}" type="pres">
      <dgm:prSet presAssocID="{1B507E12-D66D-4191-B6A3-6C0C5B8D2C47}" presName="Name111" presStyleLbl="parChTrans1D2" presStyleIdx="5" presStyleCnt="7"/>
      <dgm:spPr/>
      <dgm:t>
        <a:bodyPr/>
        <a:lstStyle/>
        <a:p>
          <a:endParaRPr lang="ro-RO"/>
        </a:p>
      </dgm:t>
    </dgm:pt>
    <dgm:pt modelId="{A7946956-9B3A-4894-8D4F-C9C520F56ABA}" type="pres">
      <dgm:prSet presAssocID="{54E8A752-0A8F-413A-8C41-1083E8253308}" presName="hierRoot3" presStyleCnt="0">
        <dgm:presLayoutVars>
          <dgm:hierBranch val="init"/>
        </dgm:presLayoutVars>
      </dgm:prSet>
      <dgm:spPr/>
    </dgm:pt>
    <dgm:pt modelId="{9D0499FE-1BF9-4C6D-BA24-8C3CF8090982}" type="pres">
      <dgm:prSet presAssocID="{54E8A752-0A8F-413A-8C41-1083E8253308}" presName="rootComposite3" presStyleCnt="0"/>
      <dgm:spPr/>
    </dgm:pt>
    <dgm:pt modelId="{3D7203D1-6227-4388-B32E-8BEEFDB6F767}" type="pres">
      <dgm:prSet presAssocID="{54E8A752-0A8F-413A-8C41-1083E8253308}" presName="rootText3" presStyleLbl="asst1" presStyleIdx="0" presStyleCnt="2" custScaleX="108176">
        <dgm:presLayoutVars>
          <dgm:chPref val="3"/>
        </dgm:presLayoutVars>
      </dgm:prSet>
      <dgm:spPr/>
      <dgm:t>
        <a:bodyPr/>
        <a:lstStyle/>
        <a:p>
          <a:endParaRPr lang="ro-RO"/>
        </a:p>
      </dgm:t>
    </dgm:pt>
    <dgm:pt modelId="{2B4576D1-7C53-428B-98BC-80B255FDF52B}" type="pres">
      <dgm:prSet presAssocID="{54E8A752-0A8F-413A-8C41-1083E8253308}" presName="rootConnector3" presStyleLbl="asst1" presStyleIdx="0" presStyleCnt="2"/>
      <dgm:spPr/>
      <dgm:t>
        <a:bodyPr/>
        <a:lstStyle/>
        <a:p>
          <a:endParaRPr lang="ro-RO"/>
        </a:p>
      </dgm:t>
    </dgm:pt>
    <dgm:pt modelId="{1D23D8BE-C3C6-4E5C-9EE7-476694FF0C8A}" type="pres">
      <dgm:prSet presAssocID="{54E8A752-0A8F-413A-8C41-1083E8253308}" presName="hierChild6" presStyleCnt="0"/>
      <dgm:spPr/>
    </dgm:pt>
    <dgm:pt modelId="{FE2D5C25-6BEF-4205-B8E2-0AC9EC7FFB2C}" type="pres">
      <dgm:prSet presAssocID="{54E8A752-0A8F-413A-8C41-1083E8253308}" presName="hierChild7" presStyleCnt="0"/>
      <dgm:spPr/>
    </dgm:pt>
    <dgm:pt modelId="{2C8CE61D-7330-4E19-94AB-30E37556EF1B}" type="pres">
      <dgm:prSet presAssocID="{AEB85382-0D55-49F1-AF50-70382293C194}" presName="Name111" presStyleLbl="parChTrans1D2" presStyleIdx="6" presStyleCnt="7"/>
      <dgm:spPr/>
      <dgm:t>
        <a:bodyPr/>
        <a:lstStyle/>
        <a:p>
          <a:endParaRPr lang="ro-RO"/>
        </a:p>
      </dgm:t>
    </dgm:pt>
    <dgm:pt modelId="{B84A4B49-6510-40B5-99CD-D796F73DFB3D}" type="pres">
      <dgm:prSet presAssocID="{3E43CC92-AC99-4CD0-9A68-12A3F6883EB3}" presName="hierRoot3" presStyleCnt="0">
        <dgm:presLayoutVars>
          <dgm:hierBranch val="init"/>
        </dgm:presLayoutVars>
      </dgm:prSet>
      <dgm:spPr/>
    </dgm:pt>
    <dgm:pt modelId="{5E259C3D-FE37-447E-8B9E-CC6E4CFE4AE3}" type="pres">
      <dgm:prSet presAssocID="{3E43CC92-AC99-4CD0-9A68-12A3F6883EB3}" presName="rootComposite3" presStyleCnt="0"/>
      <dgm:spPr/>
    </dgm:pt>
    <dgm:pt modelId="{AEFCED20-1988-4B65-B7C2-35DE13CBBCA0}" type="pres">
      <dgm:prSet presAssocID="{3E43CC92-AC99-4CD0-9A68-12A3F6883EB3}" presName="rootText3" presStyleLbl="asst1" presStyleIdx="1" presStyleCnt="2" custScaleX="116305">
        <dgm:presLayoutVars>
          <dgm:chPref val="3"/>
        </dgm:presLayoutVars>
      </dgm:prSet>
      <dgm:spPr/>
      <dgm:t>
        <a:bodyPr/>
        <a:lstStyle/>
        <a:p>
          <a:endParaRPr lang="ro-RO"/>
        </a:p>
      </dgm:t>
    </dgm:pt>
    <dgm:pt modelId="{8BB04214-ECA3-4047-A868-F240A0C80C19}" type="pres">
      <dgm:prSet presAssocID="{3E43CC92-AC99-4CD0-9A68-12A3F6883EB3}" presName="rootConnector3" presStyleLbl="asst1" presStyleIdx="1" presStyleCnt="2"/>
      <dgm:spPr/>
      <dgm:t>
        <a:bodyPr/>
        <a:lstStyle/>
        <a:p>
          <a:endParaRPr lang="ro-RO"/>
        </a:p>
      </dgm:t>
    </dgm:pt>
    <dgm:pt modelId="{D65CF98A-5730-4DF3-BD31-E56A1D7A66B5}" type="pres">
      <dgm:prSet presAssocID="{3E43CC92-AC99-4CD0-9A68-12A3F6883EB3}" presName="hierChild6" presStyleCnt="0"/>
      <dgm:spPr/>
    </dgm:pt>
    <dgm:pt modelId="{D4819493-8202-4FE3-A7B4-2DEBF58FBD25}" type="pres">
      <dgm:prSet presAssocID="{3E43CC92-AC99-4CD0-9A68-12A3F6883EB3}" presName="hierChild7" presStyleCnt="0"/>
      <dgm:spPr/>
    </dgm:pt>
  </dgm:ptLst>
  <dgm:cxnLst>
    <dgm:cxn modelId="{C62B5A2A-B384-4A12-9450-129F0BA09478}" type="presOf" srcId="{445453CB-03A7-4223-A889-C4F064C7C37A}" destId="{754067CD-8EC7-43CF-B60D-977513DCC51A}" srcOrd="0" destOrd="0" presId="urn:microsoft.com/office/officeart/2005/8/layout/orgChart1"/>
    <dgm:cxn modelId="{2FC9B497-A42C-46CE-8151-807E2F0746B9}" type="presOf" srcId="{9AC204C6-B5DF-4A01-B5A7-8590C108C698}" destId="{E90A540F-7601-4FD9-BF37-5CBA71517B91}" srcOrd="0" destOrd="0" presId="urn:microsoft.com/office/officeart/2005/8/layout/orgChart1"/>
    <dgm:cxn modelId="{6E46AEA6-88C5-4EAF-A6D9-ADC5708F8363}" type="presOf" srcId="{1B507E12-D66D-4191-B6A3-6C0C5B8D2C47}" destId="{299E6D29-5A3C-4A53-B634-7B9C183B2D10}" srcOrd="0" destOrd="0" presId="urn:microsoft.com/office/officeart/2005/8/layout/orgChart1"/>
    <dgm:cxn modelId="{343AFA2D-AB6A-4615-B8D4-AD1E2B52B7E9}" type="presOf" srcId="{04CCB7C6-D570-4C59-BF7D-5EB023FBEDA3}" destId="{0C670C39-4C3C-4891-BCD0-BCBC1B01C8AC}" srcOrd="1" destOrd="0" presId="urn:microsoft.com/office/officeart/2005/8/layout/orgChart1"/>
    <dgm:cxn modelId="{A22BA5C6-DED4-42F4-AF72-7AB901990662}" type="presOf" srcId="{3E43CC92-AC99-4CD0-9A68-12A3F6883EB3}" destId="{AEFCED20-1988-4B65-B7C2-35DE13CBBCA0}" srcOrd="0" destOrd="0" presId="urn:microsoft.com/office/officeart/2005/8/layout/orgChart1"/>
    <dgm:cxn modelId="{5EB43E49-8A0E-47BD-B88F-B2FCC94F6285}" type="presOf" srcId="{9AC204C6-B5DF-4A01-B5A7-8590C108C698}" destId="{19164B06-F196-42EC-B6EF-C0870A00DADD}" srcOrd="1" destOrd="0" presId="urn:microsoft.com/office/officeart/2005/8/layout/orgChart1"/>
    <dgm:cxn modelId="{0FBA4E68-BA0E-4F11-A2D4-65261A268638}" srcId="{9AC204C6-B5DF-4A01-B5A7-8590C108C698}" destId="{3E43CC92-AC99-4CD0-9A68-12A3F6883EB3}" srcOrd="1" destOrd="0" parTransId="{AEB85382-0D55-49F1-AF50-70382293C194}" sibTransId="{ABC16D31-3876-40A1-9182-E50931F0F58A}"/>
    <dgm:cxn modelId="{10F122E7-5A0A-467B-8CEE-4E40FF2E7A65}" type="presOf" srcId="{0068D3BD-FC85-4573-AAC2-CC49426B14FE}" destId="{B93A7AF2-71A0-41F0-A037-128D056B6141}" srcOrd="0" destOrd="0" presId="urn:microsoft.com/office/officeart/2005/8/layout/orgChart1"/>
    <dgm:cxn modelId="{B7BB27BE-DF90-4732-A9A5-A4D35D9FE800}" type="presOf" srcId="{E3819FF4-8176-43E8-A690-926ACE73876C}" destId="{5F9DD14A-4DE6-45DC-A1BE-E9564B0515F6}" srcOrd="0" destOrd="0" presId="urn:microsoft.com/office/officeart/2005/8/layout/orgChart1"/>
    <dgm:cxn modelId="{1BF4FCB0-93CA-4FED-AF96-873D368ED115}" type="presOf" srcId="{F09A769C-75A1-40DF-926E-D3D82C626336}" destId="{B18F2BC8-F009-4CD3-AC99-F1DC34C47116}" srcOrd="0" destOrd="0" presId="urn:microsoft.com/office/officeart/2005/8/layout/orgChart1"/>
    <dgm:cxn modelId="{62107C35-349B-4E39-AB04-63709F81847B}" srcId="{9AC204C6-B5DF-4A01-B5A7-8590C108C698}" destId="{F09A769C-75A1-40DF-926E-D3D82C626336}" srcOrd="3" destOrd="0" parTransId="{C6598A23-329B-495D-B13D-B9606A27A10E}" sibTransId="{1794C6B5-8353-49DD-9D82-FF797DB8C05A}"/>
    <dgm:cxn modelId="{BE14D2D5-CD6A-40CC-B858-63AD37510326}" type="presOf" srcId="{F09A769C-75A1-40DF-926E-D3D82C626336}" destId="{F3C38475-525F-41E2-84B4-90BB27EF26BC}" srcOrd="1" destOrd="0" presId="urn:microsoft.com/office/officeart/2005/8/layout/orgChart1"/>
    <dgm:cxn modelId="{35CA7957-B1DD-44EB-897B-411EB7E94A1A}" type="presOf" srcId="{A708FA11-6E9F-4C94-B477-78048028A48A}" destId="{CEDA2231-1D35-4A01-A86F-5ED57325D6B7}" srcOrd="1" destOrd="0" presId="urn:microsoft.com/office/officeart/2005/8/layout/orgChart1"/>
    <dgm:cxn modelId="{46BF195E-7068-4501-B5E3-8C5524A7C0CE}" srcId="{9AC204C6-B5DF-4A01-B5A7-8590C108C698}" destId="{04CCB7C6-D570-4C59-BF7D-5EB023FBEDA3}" srcOrd="4" destOrd="0" parTransId="{E3819FF4-8176-43E8-A690-926ACE73876C}" sibTransId="{49E069A4-2AF9-4F9D-A9D6-3570368564D6}"/>
    <dgm:cxn modelId="{339B2030-9587-4555-AFDC-D223A61215E3}" srcId="{9AC204C6-B5DF-4A01-B5A7-8590C108C698}" destId="{A04C1271-DE5E-4036-B753-F6DCB70BB0F6}" srcOrd="2" destOrd="0" parTransId="{028D74BE-15FA-4B9C-82ED-F826CF19E432}" sibTransId="{481A21C6-A98B-4DC8-B902-9F1737B19B41}"/>
    <dgm:cxn modelId="{2B10E359-6E7B-4DB6-BC4C-E030C5A8A896}" type="presOf" srcId="{A04C1271-DE5E-4036-B753-F6DCB70BB0F6}" destId="{CE184DFF-7297-4127-A4FC-7404081FA401}" srcOrd="1" destOrd="0" presId="urn:microsoft.com/office/officeart/2005/8/layout/orgChart1"/>
    <dgm:cxn modelId="{27184D3A-6F51-40A9-A8A4-60898E2499F6}" type="presOf" srcId="{04CCB7C6-D570-4C59-BF7D-5EB023FBEDA3}" destId="{E33BD30B-CDF6-41C5-91D5-95C0B817D88A}" srcOrd="0" destOrd="0" presId="urn:microsoft.com/office/officeart/2005/8/layout/orgChart1"/>
    <dgm:cxn modelId="{80326E92-A509-407A-A041-05ABBA4A76EE}" srcId="{9AC204C6-B5DF-4A01-B5A7-8590C108C698}" destId="{54E8A752-0A8F-413A-8C41-1083E8253308}" srcOrd="0" destOrd="0" parTransId="{1B507E12-D66D-4191-B6A3-6C0C5B8D2C47}" sibTransId="{B651DD6F-2D40-47FD-A423-80ACB0AC78CF}"/>
    <dgm:cxn modelId="{A9935150-E0A4-4678-A895-C3CD38F748C0}" type="presOf" srcId="{3E43CC92-AC99-4CD0-9A68-12A3F6883EB3}" destId="{8BB04214-ECA3-4047-A868-F240A0C80C19}" srcOrd="1" destOrd="0" presId="urn:microsoft.com/office/officeart/2005/8/layout/orgChart1"/>
    <dgm:cxn modelId="{1596D9BF-FD55-46D9-886C-0D3BAE82114E}" type="presOf" srcId="{54E8A752-0A8F-413A-8C41-1083E8253308}" destId="{3D7203D1-6227-4388-B32E-8BEEFDB6F767}" srcOrd="0" destOrd="0" presId="urn:microsoft.com/office/officeart/2005/8/layout/orgChart1"/>
    <dgm:cxn modelId="{15BADA61-4761-40F6-9E57-C9A5DF4E354A}" type="presOf" srcId="{A04C1271-DE5E-4036-B753-F6DCB70BB0F6}" destId="{0B7E8A6D-A932-427A-AA8C-AB9F0D6E5FFF}" srcOrd="0" destOrd="0" presId="urn:microsoft.com/office/officeart/2005/8/layout/orgChart1"/>
    <dgm:cxn modelId="{849DFC02-5A38-45F9-8D3C-661D0109A325}" srcId="{9AC204C6-B5DF-4A01-B5A7-8590C108C698}" destId="{C27625D9-ECA0-46E3-8C54-10851E6BB6C2}" srcOrd="6" destOrd="0" parTransId="{0068D3BD-FC85-4573-AAC2-CC49426B14FE}" sibTransId="{03B19332-03E7-4169-9EFC-545EB8CFA26B}"/>
    <dgm:cxn modelId="{FD792F19-4FD8-4332-AE9F-8014B21B8D65}" srcId="{49BD12D6-4886-439A-BB49-4F5EB4D1FD75}" destId="{9AC204C6-B5DF-4A01-B5A7-8590C108C698}" srcOrd="0" destOrd="0" parTransId="{D8DE2889-9524-4B6A-B090-F5E6EDD365C6}" sibTransId="{659EDB3B-52B0-4195-8CDE-FECE5888158C}"/>
    <dgm:cxn modelId="{8CAFB4FA-87FD-49C8-8759-ED8CA77C017B}" type="presOf" srcId="{C27625D9-ECA0-46E3-8C54-10851E6BB6C2}" destId="{E9AD74A7-0BB9-4AD6-ADC2-7F5106FF95D7}" srcOrd="1" destOrd="0" presId="urn:microsoft.com/office/officeart/2005/8/layout/orgChart1"/>
    <dgm:cxn modelId="{96DCE2F9-3843-4BE9-B38A-13AA2828FF57}" type="presOf" srcId="{028D74BE-15FA-4B9C-82ED-F826CF19E432}" destId="{7B658FE4-BBB5-4E6C-AE20-91FFFBA4E4B8}" srcOrd="0" destOrd="0" presId="urn:microsoft.com/office/officeart/2005/8/layout/orgChart1"/>
    <dgm:cxn modelId="{94B6FE46-CBB1-4569-A9B5-5AAB2E7E208E}" type="presOf" srcId="{C27625D9-ECA0-46E3-8C54-10851E6BB6C2}" destId="{0D098B44-517D-4C02-95AA-0AE4E65E2264}" srcOrd="0" destOrd="0" presId="urn:microsoft.com/office/officeart/2005/8/layout/orgChart1"/>
    <dgm:cxn modelId="{C7071660-E31F-4450-AD53-164EA2C8E553}" srcId="{9AC204C6-B5DF-4A01-B5A7-8590C108C698}" destId="{A708FA11-6E9F-4C94-B477-78048028A48A}" srcOrd="5" destOrd="0" parTransId="{445453CB-03A7-4223-A889-C4F064C7C37A}" sibTransId="{71AF90C3-80B5-4A2A-BFAF-764156E35C6A}"/>
    <dgm:cxn modelId="{17477F00-7D80-4A10-A034-09A8BCE8BD4E}" type="presOf" srcId="{C6598A23-329B-495D-B13D-B9606A27A10E}" destId="{75F2E13A-3715-4AD6-B6AE-853FFE7C3423}" srcOrd="0" destOrd="0" presId="urn:microsoft.com/office/officeart/2005/8/layout/orgChart1"/>
    <dgm:cxn modelId="{50539A1A-A05C-41C2-A594-16D9053287BB}" type="presOf" srcId="{54E8A752-0A8F-413A-8C41-1083E8253308}" destId="{2B4576D1-7C53-428B-98BC-80B255FDF52B}" srcOrd="1" destOrd="0" presId="urn:microsoft.com/office/officeart/2005/8/layout/orgChart1"/>
    <dgm:cxn modelId="{0EB8DFED-468C-4CF2-9B34-8A5176AE1963}" type="presOf" srcId="{A708FA11-6E9F-4C94-B477-78048028A48A}" destId="{BD74E9FC-8920-4214-912C-314E18822B0F}" srcOrd="0" destOrd="0" presId="urn:microsoft.com/office/officeart/2005/8/layout/orgChart1"/>
    <dgm:cxn modelId="{BBBFF284-83D6-4F55-895F-46A0C19BDC26}" type="presOf" srcId="{49BD12D6-4886-439A-BB49-4F5EB4D1FD75}" destId="{0347CEB8-A97E-44F3-A6C0-25299BD933E7}" srcOrd="0" destOrd="0" presId="urn:microsoft.com/office/officeart/2005/8/layout/orgChart1"/>
    <dgm:cxn modelId="{8B543D04-6B18-4F90-AF6F-43AEA985F432}" type="presOf" srcId="{AEB85382-0D55-49F1-AF50-70382293C194}" destId="{2C8CE61D-7330-4E19-94AB-30E37556EF1B}" srcOrd="0" destOrd="0" presId="urn:microsoft.com/office/officeart/2005/8/layout/orgChart1"/>
    <dgm:cxn modelId="{59D67507-E952-4F24-9AD2-8C7793D5E65F}" type="presParOf" srcId="{0347CEB8-A97E-44F3-A6C0-25299BD933E7}" destId="{CF52B008-2A75-4E66-B713-98F707DE6A79}" srcOrd="0" destOrd="0" presId="urn:microsoft.com/office/officeart/2005/8/layout/orgChart1"/>
    <dgm:cxn modelId="{C873FF65-B579-4FEB-92CD-7F987CB07F6E}" type="presParOf" srcId="{CF52B008-2A75-4E66-B713-98F707DE6A79}" destId="{DC927AF2-48B5-4A8E-B96D-BF7E82AFF418}" srcOrd="0" destOrd="0" presId="urn:microsoft.com/office/officeart/2005/8/layout/orgChart1"/>
    <dgm:cxn modelId="{494A0043-CA56-41F0-810C-E4FC727CC656}" type="presParOf" srcId="{DC927AF2-48B5-4A8E-B96D-BF7E82AFF418}" destId="{E90A540F-7601-4FD9-BF37-5CBA71517B91}" srcOrd="0" destOrd="0" presId="urn:microsoft.com/office/officeart/2005/8/layout/orgChart1"/>
    <dgm:cxn modelId="{D60106B9-A877-4F68-8595-D4E7AA4AA269}" type="presParOf" srcId="{DC927AF2-48B5-4A8E-B96D-BF7E82AFF418}" destId="{19164B06-F196-42EC-B6EF-C0870A00DADD}" srcOrd="1" destOrd="0" presId="urn:microsoft.com/office/officeart/2005/8/layout/orgChart1"/>
    <dgm:cxn modelId="{EEC1B658-D2C9-4E98-9F24-3996B32E72A2}" type="presParOf" srcId="{CF52B008-2A75-4E66-B713-98F707DE6A79}" destId="{AC21076E-221D-4952-88C7-036E93A20DF1}" srcOrd="1" destOrd="0" presId="urn:microsoft.com/office/officeart/2005/8/layout/orgChart1"/>
    <dgm:cxn modelId="{806F706F-CCF6-4DC3-8BF4-74E229954AA2}" type="presParOf" srcId="{AC21076E-221D-4952-88C7-036E93A20DF1}" destId="{7B658FE4-BBB5-4E6C-AE20-91FFFBA4E4B8}" srcOrd="0" destOrd="0" presId="urn:microsoft.com/office/officeart/2005/8/layout/orgChart1"/>
    <dgm:cxn modelId="{8F55369D-7A0C-4E87-AD70-52DEE4EC81DA}" type="presParOf" srcId="{AC21076E-221D-4952-88C7-036E93A20DF1}" destId="{F1210C65-3DBE-4366-9C46-79D3F4494853}" srcOrd="1" destOrd="0" presId="urn:microsoft.com/office/officeart/2005/8/layout/orgChart1"/>
    <dgm:cxn modelId="{70540C92-2EE1-4113-A4D6-546560F4FC02}" type="presParOf" srcId="{F1210C65-3DBE-4366-9C46-79D3F4494853}" destId="{8368E3E1-08E8-4D7B-BFBA-95D78B56F93C}" srcOrd="0" destOrd="0" presId="urn:microsoft.com/office/officeart/2005/8/layout/orgChart1"/>
    <dgm:cxn modelId="{138E037E-652E-4AA0-A76F-CB6A865D6090}" type="presParOf" srcId="{8368E3E1-08E8-4D7B-BFBA-95D78B56F93C}" destId="{0B7E8A6D-A932-427A-AA8C-AB9F0D6E5FFF}" srcOrd="0" destOrd="0" presId="urn:microsoft.com/office/officeart/2005/8/layout/orgChart1"/>
    <dgm:cxn modelId="{2D7B9256-6F96-47D9-AA62-C6F5150F638A}" type="presParOf" srcId="{8368E3E1-08E8-4D7B-BFBA-95D78B56F93C}" destId="{CE184DFF-7297-4127-A4FC-7404081FA401}" srcOrd="1" destOrd="0" presId="urn:microsoft.com/office/officeart/2005/8/layout/orgChart1"/>
    <dgm:cxn modelId="{A4832530-FF3D-441D-9456-4CEA8210B1CB}" type="presParOf" srcId="{F1210C65-3DBE-4366-9C46-79D3F4494853}" destId="{67EF678B-79A9-495F-BE56-628CF4D26B9F}" srcOrd="1" destOrd="0" presId="urn:microsoft.com/office/officeart/2005/8/layout/orgChart1"/>
    <dgm:cxn modelId="{CF703530-855A-4B08-A8FD-0B2413BFF44B}" type="presParOf" srcId="{F1210C65-3DBE-4366-9C46-79D3F4494853}" destId="{6757146D-D90F-45DE-B909-F84F99012C96}" srcOrd="2" destOrd="0" presId="urn:microsoft.com/office/officeart/2005/8/layout/orgChart1"/>
    <dgm:cxn modelId="{3F2D507F-4E6D-4EEB-9AD3-7458CF680C5A}" type="presParOf" srcId="{AC21076E-221D-4952-88C7-036E93A20DF1}" destId="{75F2E13A-3715-4AD6-B6AE-853FFE7C3423}" srcOrd="2" destOrd="0" presId="urn:microsoft.com/office/officeart/2005/8/layout/orgChart1"/>
    <dgm:cxn modelId="{389E46D5-3E21-44D2-9D07-F7A4F5FEDC33}" type="presParOf" srcId="{AC21076E-221D-4952-88C7-036E93A20DF1}" destId="{8DA03E03-4802-4DF9-AA91-94E92294669B}" srcOrd="3" destOrd="0" presId="urn:microsoft.com/office/officeart/2005/8/layout/orgChart1"/>
    <dgm:cxn modelId="{6F51E56F-902A-467E-9676-9E1CE05175C1}" type="presParOf" srcId="{8DA03E03-4802-4DF9-AA91-94E92294669B}" destId="{D59414C2-6AB3-48FB-A5C9-01BC9B01FF58}" srcOrd="0" destOrd="0" presId="urn:microsoft.com/office/officeart/2005/8/layout/orgChart1"/>
    <dgm:cxn modelId="{41351C11-90F2-4E8F-A137-B3CFA696A7E8}" type="presParOf" srcId="{D59414C2-6AB3-48FB-A5C9-01BC9B01FF58}" destId="{B18F2BC8-F009-4CD3-AC99-F1DC34C47116}" srcOrd="0" destOrd="0" presId="urn:microsoft.com/office/officeart/2005/8/layout/orgChart1"/>
    <dgm:cxn modelId="{10CD88C5-3324-43B5-923C-D0F557A6BCFA}" type="presParOf" srcId="{D59414C2-6AB3-48FB-A5C9-01BC9B01FF58}" destId="{F3C38475-525F-41E2-84B4-90BB27EF26BC}" srcOrd="1" destOrd="0" presId="urn:microsoft.com/office/officeart/2005/8/layout/orgChart1"/>
    <dgm:cxn modelId="{576C914A-2FA1-4DE8-946C-1BA1674587A4}" type="presParOf" srcId="{8DA03E03-4802-4DF9-AA91-94E92294669B}" destId="{45737362-EA26-42D6-823E-8C74E04A33C0}" srcOrd="1" destOrd="0" presId="urn:microsoft.com/office/officeart/2005/8/layout/orgChart1"/>
    <dgm:cxn modelId="{C2F07EFF-898C-4A9B-ACDD-1B8D9E32E03D}" type="presParOf" srcId="{8DA03E03-4802-4DF9-AA91-94E92294669B}" destId="{02065597-0B98-4055-9BFE-B6F8814AB4CB}" srcOrd="2" destOrd="0" presId="urn:microsoft.com/office/officeart/2005/8/layout/orgChart1"/>
    <dgm:cxn modelId="{D62116CE-179C-4439-A60B-22838DDFF28A}" type="presParOf" srcId="{AC21076E-221D-4952-88C7-036E93A20DF1}" destId="{5F9DD14A-4DE6-45DC-A1BE-E9564B0515F6}" srcOrd="4" destOrd="0" presId="urn:microsoft.com/office/officeart/2005/8/layout/orgChart1"/>
    <dgm:cxn modelId="{9086FAEB-3F74-45E4-9B83-9FB656BCB550}" type="presParOf" srcId="{AC21076E-221D-4952-88C7-036E93A20DF1}" destId="{A2F788CF-DFA4-429A-A939-19BCB768F9CC}" srcOrd="5" destOrd="0" presId="urn:microsoft.com/office/officeart/2005/8/layout/orgChart1"/>
    <dgm:cxn modelId="{B4EE1F97-4020-41BC-B7B7-E7909F603558}" type="presParOf" srcId="{A2F788CF-DFA4-429A-A939-19BCB768F9CC}" destId="{F33F8B94-DD6A-450C-AC3B-D8BCE140C654}" srcOrd="0" destOrd="0" presId="urn:microsoft.com/office/officeart/2005/8/layout/orgChart1"/>
    <dgm:cxn modelId="{852F781A-4378-4EC1-85FA-EC730B8C9CB9}" type="presParOf" srcId="{F33F8B94-DD6A-450C-AC3B-D8BCE140C654}" destId="{E33BD30B-CDF6-41C5-91D5-95C0B817D88A}" srcOrd="0" destOrd="0" presId="urn:microsoft.com/office/officeart/2005/8/layout/orgChart1"/>
    <dgm:cxn modelId="{E63B44E9-1E17-43C0-9F88-20CE2406B58E}" type="presParOf" srcId="{F33F8B94-DD6A-450C-AC3B-D8BCE140C654}" destId="{0C670C39-4C3C-4891-BCD0-BCBC1B01C8AC}" srcOrd="1" destOrd="0" presId="urn:microsoft.com/office/officeart/2005/8/layout/orgChart1"/>
    <dgm:cxn modelId="{83AFA32F-F03F-4D6D-92D1-548F13434FF4}" type="presParOf" srcId="{A2F788CF-DFA4-429A-A939-19BCB768F9CC}" destId="{62A940CE-B94A-471D-8480-9D21FA888B05}" srcOrd="1" destOrd="0" presId="urn:microsoft.com/office/officeart/2005/8/layout/orgChart1"/>
    <dgm:cxn modelId="{D1EEBCBB-79BF-4D1F-A1BA-CF6A28322EA7}" type="presParOf" srcId="{A2F788CF-DFA4-429A-A939-19BCB768F9CC}" destId="{59D72F63-1C76-4FBD-AFC7-7F1D0046C3D7}" srcOrd="2" destOrd="0" presId="urn:microsoft.com/office/officeart/2005/8/layout/orgChart1"/>
    <dgm:cxn modelId="{A16BFFD3-65BF-4C90-B257-2A30E365AD67}" type="presParOf" srcId="{AC21076E-221D-4952-88C7-036E93A20DF1}" destId="{754067CD-8EC7-43CF-B60D-977513DCC51A}" srcOrd="6" destOrd="0" presId="urn:microsoft.com/office/officeart/2005/8/layout/orgChart1"/>
    <dgm:cxn modelId="{29A369F5-DECF-4B54-929C-841E140B08BC}" type="presParOf" srcId="{AC21076E-221D-4952-88C7-036E93A20DF1}" destId="{4C5A64CE-0FBA-48B9-BDFA-50230E4EF57C}" srcOrd="7" destOrd="0" presId="urn:microsoft.com/office/officeart/2005/8/layout/orgChart1"/>
    <dgm:cxn modelId="{70C47F82-D520-4D75-97F8-3BCE1C59959F}" type="presParOf" srcId="{4C5A64CE-0FBA-48B9-BDFA-50230E4EF57C}" destId="{65E9A402-1B9E-4FB0-896A-98577FB3A929}" srcOrd="0" destOrd="0" presId="urn:microsoft.com/office/officeart/2005/8/layout/orgChart1"/>
    <dgm:cxn modelId="{4D2F9A74-1306-4CC3-8A05-AFDCE6417ED6}" type="presParOf" srcId="{65E9A402-1B9E-4FB0-896A-98577FB3A929}" destId="{BD74E9FC-8920-4214-912C-314E18822B0F}" srcOrd="0" destOrd="0" presId="urn:microsoft.com/office/officeart/2005/8/layout/orgChart1"/>
    <dgm:cxn modelId="{43DE8E7A-FD78-4CB6-96BF-DB1A38382525}" type="presParOf" srcId="{65E9A402-1B9E-4FB0-896A-98577FB3A929}" destId="{CEDA2231-1D35-4A01-A86F-5ED57325D6B7}" srcOrd="1" destOrd="0" presId="urn:microsoft.com/office/officeart/2005/8/layout/orgChart1"/>
    <dgm:cxn modelId="{ED4E5990-7D10-40AC-86EC-813E7AD2E2BB}" type="presParOf" srcId="{4C5A64CE-0FBA-48B9-BDFA-50230E4EF57C}" destId="{2086318A-8FB6-4260-B187-ECC535E29C7A}" srcOrd="1" destOrd="0" presId="urn:microsoft.com/office/officeart/2005/8/layout/orgChart1"/>
    <dgm:cxn modelId="{9B152B42-05F5-4360-B348-635EE62B8260}" type="presParOf" srcId="{4C5A64CE-0FBA-48B9-BDFA-50230E4EF57C}" destId="{A26095AB-1D05-410C-849D-805D6EE35E18}" srcOrd="2" destOrd="0" presId="urn:microsoft.com/office/officeart/2005/8/layout/orgChart1"/>
    <dgm:cxn modelId="{560528D8-15EF-477B-BBB6-06663E6B56B1}" type="presParOf" srcId="{AC21076E-221D-4952-88C7-036E93A20DF1}" destId="{B93A7AF2-71A0-41F0-A037-128D056B6141}" srcOrd="8" destOrd="0" presId="urn:microsoft.com/office/officeart/2005/8/layout/orgChart1"/>
    <dgm:cxn modelId="{95803371-AD4B-40A6-90EA-CC2844712143}" type="presParOf" srcId="{AC21076E-221D-4952-88C7-036E93A20DF1}" destId="{E304E524-33B4-4666-BF7D-C469CCAD3A3F}" srcOrd="9" destOrd="0" presId="urn:microsoft.com/office/officeart/2005/8/layout/orgChart1"/>
    <dgm:cxn modelId="{AE5F145A-729D-4F92-B8B8-610231F3F17D}" type="presParOf" srcId="{E304E524-33B4-4666-BF7D-C469CCAD3A3F}" destId="{595E149D-A830-484B-9CD0-5AB119B3020E}" srcOrd="0" destOrd="0" presId="urn:microsoft.com/office/officeart/2005/8/layout/orgChart1"/>
    <dgm:cxn modelId="{3E2AB226-3D78-4581-8FA4-7A4E9328EE45}" type="presParOf" srcId="{595E149D-A830-484B-9CD0-5AB119B3020E}" destId="{0D098B44-517D-4C02-95AA-0AE4E65E2264}" srcOrd="0" destOrd="0" presId="urn:microsoft.com/office/officeart/2005/8/layout/orgChart1"/>
    <dgm:cxn modelId="{1A916CAC-8C14-4C9C-B522-3AE82D8F7D3D}" type="presParOf" srcId="{595E149D-A830-484B-9CD0-5AB119B3020E}" destId="{E9AD74A7-0BB9-4AD6-ADC2-7F5106FF95D7}" srcOrd="1" destOrd="0" presId="urn:microsoft.com/office/officeart/2005/8/layout/orgChart1"/>
    <dgm:cxn modelId="{7554CC93-DA6E-4A45-A755-9FCA3616E3E1}" type="presParOf" srcId="{E304E524-33B4-4666-BF7D-C469CCAD3A3F}" destId="{022F1745-7012-4B8B-AB2C-EF56F9146DC0}" srcOrd="1" destOrd="0" presId="urn:microsoft.com/office/officeart/2005/8/layout/orgChart1"/>
    <dgm:cxn modelId="{2FE98D88-DD85-4745-B6BD-9F600FD935CC}" type="presParOf" srcId="{E304E524-33B4-4666-BF7D-C469CCAD3A3F}" destId="{1809706D-45AF-48F7-B2C2-937A475540B0}" srcOrd="2" destOrd="0" presId="urn:microsoft.com/office/officeart/2005/8/layout/orgChart1"/>
    <dgm:cxn modelId="{E41E32C9-5A90-4C62-81A3-FF537EE80CB8}" type="presParOf" srcId="{CF52B008-2A75-4E66-B713-98F707DE6A79}" destId="{BA87A6C7-5081-4A62-A8ED-C67441305FB4}" srcOrd="2" destOrd="0" presId="urn:microsoft.com/office/officeart/2005/8/layout/orgChart1"/>
    <dgm:cxn modelId="{CD4CFBD1-1531-47CA-B444-34F07DC7E0D8}" type="presParOf" srcId="{BA87A6C7-5081-4A62-A8ED-C67441305FB4}" destId="{299E6D29-5A3C-4A53-B634-7B9C183B2D10}" srcOrd="0" destOrd="0" presId="urn:microsoft.com/office/officeart/2005/8/layout/orgChart1"/>
    <dgm:cxn modelId="{1D0D8B9D-8864-4825-8C10-54B518E26D9E}" type="presParOf" srcId="{BA87A6C7-5081-4A62-A8ED-C67441305FB4}" destId="{A7946956-9B3A-4894-8D4F-C9C520F56ABA}" srcOrd="1" destOrd="0" presId="urn:microsoft.com/office/officeart/2005/8/layout/orgChart1"/>
    <dgm:cxn modelId="{6C3809EA-42BB-4F5E-A6C4-1EE925B6B7B9}" type="presParOf" srcId="{A7946956-9B3A-4894-8D4F-C9C520F56ABA}" destId="{9D0499FE-1BF9-4C6D-BA24-8C3CF8090982}" srcOrd="0" destOrd="0" presId="urn:microsoft.com/office/officeart/2005/8/layout/orgChart1"/>
    <dgm:cxn modelId="{4B9E06F4-B70D-43DD-9B46-6A652C4C2E70}" type="presParOf" srcId="{9D0499FE-1BF9-4C6D-BA24-8C3CF8090982}" destId="{3D7203D1-6227-4388-B32E-8BEEFDB6F767}" srcOrd="0" destOrd="0" presId="urn:microsoft.com/office/officeart/2005/8/layout/orgChart1"/>
    <dgm:cxn modelId="{0EF55872-A396-4E50-BF2D-2E0ACD7D8532}" type="presParOf" srcId="{9D0499FE-1BF9-4C6D-BA24-8C3CF8090982}" destId="{2B4576D1-7C53-428B-98BC-80B255FDF52B}" srcOrd="1" destOrd="0" presId="urn:microsoft.com/office/officeart/2005/8/layout/orgChart1"/>
    <dgm:cxn modelId="{57EB2873-0558-402C-A317-1F526B1083E1}" type="presParOf" srcId="{A7946956-9B3A-4894-8D4F-C9C520F56ABA}" destId="{1D23D8BE-C3C6-4E5C-9EE7-476694FF0C8A}" srcOrd="1" destOrd="0" presId="urn:microsoft.com/office/officeart/2005/8/layout/orgChart1"/>
    <dgm:cxn modelId="{8DCE24E0-12FF-4DA4-B566-2D11E261A7F7}" type="presParOf" srcId="{A7946956-9B3A-4894-8D4F-C9C520F56ABA}" destId="{FE2D5C25-6BEF-4205-B8E2-0AC9EC7FFB2C}" srcOrd="2" destOrd="0" presId="urn:microsoft.com/office/officeart/2005/8/layout/orgChart1"/>
    <dgm:cxn modelId="{57C81A17-2625-466E-911A-DC9D1CC6B973}" type="presParOf" srcId="{BA87A6C7-5081-4A62-A8ED-C67441305FB4}" destId="{2C8CE61D-7330-4E19-94AB-30E37556EF1B}" srcOrd="2" destOrd="0" presId="urn:microsoft.com/office/officeart/2005/8/layout/orgChart1"/>
    <dgm:cxn modelId="{50D14A68-0FCA-4476-803B-E6207AE23AD3}" type="presParOf" srcId="{BA87A6C7-5081-4A62-A8ED-C67441305FB4}" destId="{B84A4B49-6510-40B5-99CD-D796F73DFB3D}" srcOrd="3" destOrd="0" presId="urn:microsoft.com/office/officeart/2005/8/layout/orgChart1"/>
    <dgm:cxn modelId="{1D988927-693D-41F1-BE5A-241471D014B5}" type="presParOf" srcId="{B84A4B49-6510-40B5-99CD-D796F73DFB3D}" destId="{5E259C3D-FE37-447E-8B9E-CC6E4CFE4AE3}" srcOrd="0" destOrd="0" presId="urn:microsoft.com/office/officeart/2005/8/layout/orgChart1"/>
    <dgm:cxn modelId="{BD172A74-0EB3-4BE2-A541-C29E3664F7C0}" type="presParOf" srcId="{5E259C3D-FE37-447E-8B9E-CC6E4CFE4AE3}" destId="{AEFCED20-1988-4B65-B7C2-35DE13CBBCA0}" srcOrd="0" destOrd="0" presId="urn:microsoft.com/office/officeart/2005/8/layout/orgChart1"/>
    <dgm:cxn modelId="{C5771996-B73C-48E7-B0E9-DF24FD6A3F0F}" type="presParOf" srcId="{5E259C3D-FE37-447E-8B9E-CC6E4CFE4AE3}" destId="{8BB04214-ECA3-4047-A868-F240A0C80C19}" srcOrd="1" destOrd="0" presId="urn:microsoft.com/office/officeart/2005/8/layout/orgChart1"/>
    <dgm:cxn modelId="{CDB8FC87-BCF6-42B6-8E86-5720ACD6D4A0}" type="presParOf" srcId="{B84A4B49-6510-40B5-99CD-D796F73DFB3D}" destId="{D65CF98A-5730-4DF3-BD31-E56A1D7A66B5}" srcOrd="1" destOrd="0" presId="urn:microsoft.com/office/officeart/2005/8/layout/orgChart1"/>
    <dgm:cxn modelId="{202D4E08-61B0-4533-BC02-DB530343E53B}" type="presParOf" srcId="{B84A4B49-6510-40B5-99CD-D796F73DFB3D}" destId="{D4819493-8202-4FE3-A7B4-2DEBF58FBD25}"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C8CE61D-7330-4E19-94AB-30E37556EF1B}">
      <dsp:nvSpPr>
        <dsp:cNvPr id="0" name=""/>
        <dsp:cNvSpPr/>
      </dsp:nvSpPr>
      <dsp:spPr>
        <a:xfrm>
          <a:off x="2609850" y="420762"/>
          <a:ext cx="91440" cy="386957"/>
        </a:xfrm>
        <a:custGeom>
          <a:avLst/>
          <a:gdLst/>
          <a:ahLst/>
          <a:cxnLst/>
          <a:rect l="0" t="0" r="0" b="0"/>
          <a:pathLst>
            <a:path>
              <a:moveTo>
                <a:pt x="45720" y="0"/>
              </a:moveTo>
              <a:lnTo>
                <a:pt x="45720" y="386957"/>
              </a:lnTo>
              <a:lnTo>
                <a:pt x="134047" y="38695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9E6D29-5A3C-4A53-B634-7B9C183B2D10}">
      <dsp:nvSpPr>
        <dsp:cNvPr id="0" name=""/>
        <dsp:cNvSpPr/>
      </dsp:nvSpPr>
      <dsp:spPr>
        <a:xfrm>
          <a:off x="2521522" y="420762"/>
          <a:ext cx="91440" cy="386957"/>
        </a:xfrm>
        <a:custGeom>
          <a:avLst/>
          <a:gdLst/>
          <a:ahLst/>
          <a:cxnLst/>
          <a:rect l="0" t="0" r="0" b="0"/>
          <a:pathLst>
            <a:path>
              <a:moveTo>
                <a:pt x="134047" y="0"/>
              </a:moveTo>
              <a:lnTo>
                <a:pt x="134047" y="386957"/>
              </a:lnTo>
              <a:lnTo>
                <a:pt x="45720" y="38695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93A7AF2-71A0-41F0-A037-128D056B6141}">
      <dsp:nvSpPr>
        <dsp:cNvPr id="0" name=""/>
        <dsp:cNvSpPr/>
      </dsp:nvSpPr>
      <dsp:spPr>
        <a:xfrm>
          <a:off x="2655570" y="420762"/>
          <a:ext cx="2035731" cy="773914"/>
        </a:xfrm>
        <a:custGeom>
          <a:avLst/>
          <a:gdLst/>
          <a:ahLst/>
          <a:cxnLst/>
          <a:rect l="0" t="0" r="0" b="0"/>
          <a:pathLst>
            <a:path>
              <a:moveTo>
                <a:pt x="0" y="0"/>
              </a:moveTo>
              <a:lnTo>
                <a:pt x="0" y="685587"/>
              </a:lnTo>
              <a:lnTo>
                <a:pt x="2035731" y="685587"/>
              </a:lnTo>
              <a:lnTo>
                <a:pt x="2035731" y="7739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4067CD-8EC7-43CF-B60D-977513DCC51A}">
      <dsp:nvSpPr>
        <dsp:cNvPr id="0" name=""/>
        <dsp:cNvSpPr/>
      </dsp:nvSpPr>
      <dsp:spPr>
        <a:xfrm>
          <a:off x="2655570" y="420762"/>
          <a:ext cx="1017865" cy="773914"/>
        </a:xfrm>
        <a:custGeom>
          <a:avLst/>
          <a:gdLst/>
          <a:ahLst/>
          <a:cxnLst/>
          <a:rect l="0" t="0" r="0" b="0"/>
          <a:pathLst>
            <a:path>
              <a:moveTo>
                <a:pt x="0" y="0"/>
              </a:moveTo>
              <a:lnTo>
                <a:pt x="0" y="685587"/>
              </a:lnTo>
              <a:lnTo>
                <a:pt x="1017865" y="685587"/>
              </a:lnTo>
              <a:lnTo>
                <a:pt x="1017865" y="7739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9DD14A-4DE6-45DC-A1BE-E9564B0515F6}">
      <dsp:nvSpPr>
        <dsp:cNvPr id="0" name=""/>
        <dsp:cNvSpPr/>
      </dsp:nvSpPr>
      <dsp:spPr>
        <a:xfrm>
          <a:off x="2609850" y="420762"/>
          <a:ext cx="91440" cy="773914"/>
        </a:xfrm>
        <a:custGeom>
          <a:avLst/>
          <a:gdLst/>
          <a:ahLst/>
          <a:cxnLst/>
          <a:rect l="0" t="0" r="0" b="0"/>
          <a:pathLst>
            <a:path>
              <a:moveTo>
                <a:pt x="45720" y="0"/>
              </a:moveTo>
              <a:lnTo>
                <a:pt x="45720" y="7739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F2E13A-3715-4AD6-B6AE-853FFE7C3423}">
      <dsp:nvSpPr>
        <dsp:cNvPr id="0" name=""/>
        <dsp:cNvSpPr/>
      </dsp:nvSpPr>
      <dsp:spPr>
        <a:xfrm>
          <a:off x="1637704" y="420762"/>
          <a:ext cx="1017865" cy="773914"/>
        </a:xfrm>
        <a:custGeom>
          <a:avLst/>
          <a:gdLst/>
          <a:ahLst/>
          <a:cxnLst/>
          <a:rect l="0" t="0" r="0" b="0"/>
          <a:pathLst>
            <a:path>
              <a:moveTo>
                <a:pt x="1017865" y="0"/>
              </a:moveTo>
              <a:lnTo>
                <a:pt x="1017865" y="685587"/>
              </a:lnTo>
              <a:lnTo>
                <a:pt x="0" y="685587"/>
              </a:lnTo>
              <a:lnTo>
                <a:pt x="0" y="7739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658FE4-BBB5-4E6C-AE20-91FFFBA4E4B8}">
      <dsp:nvSpPr>
        <dsp:cNvPr id="0" name=""/>
        <dsp:cNvSpPr/>
      </dsp:nvSpPr>
      <dsp:spPr>
        <a:xfrm>
          <a:off x="619838" y="420762"/>
          <a:ext cx="2035731" cy="773914"/>
        </a:xfrm>
        <a:custGeom>
          <a:avLst/>
          <a:gdLst/>
          <a:ahLst/>
          <a:cxnLst/>
          <a:rect l="0" t="0" r="0" b="0"/>
          <a:pathLst>
            <a:path>
              <a:moveTo>
                <a:pt x="2035731" y="0"/>
              </a:moveTo>
              <a:lnTo>
                <a:pt x="2035731" y="685587"/>
              </a:lnTo>
              <a:lnTo>
                <a:pt x="0" y="685587"/>
              </a:lnTo>
              <a:lnTo>
                <a:pt x="0" y="7739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0A540F-7601-4FD9-BF37-5CBA71517B91}">
      <dsp:nvSpPr>
        <dsp:cNvPr id="0" name=""/>
        <dsp:cNvSpPr/>
      </dsp:nvSpPr>
      <dsp:spPr>
        <a:xfrm>
          <a:off x="2234964" y="157"/>
          <a:ext cx="841211" cy="42060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o-RO" sz="1000" b="1" kern="1200"/>
            <a:t>Ombudsman</a:t>
          </a:r>
          <a:endParaRPr lang="en-GB" sz="1000" b="1" kern="1200"/>
        </a:p>
      </dsp:txBody>
      <dsp:txXfrm>
        <a:off x="2234964" y="157"/>
        <a:ext cx="841211" cy="420605"/>
      </dsp:txXfrm>
    </dsp:sp>
    <dsp:sp modelId="{0B7E8A6D-A932-427A-AA8C-AB9F0D6E5FFF}">
      <dsp:nvSpPr>
        <dsp:cNvPr id="0" name=""/>
        <dsp:cNvSpPr/>
      </dsp:nvSpPr>
      <dsp:spPr>
        <a:xfrm>
          <a:off x="199232" y="1194677"/>
          <a:ext cx="841211" cy="42060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o-RO" sz="1000" kern="1200"/>
            <a:t>Direcția 1</a:t>
          </a:r>
        </a:p>
        <a:p>
          <a:pPr lvl="0" algn="ctr" defTabSz="444500">
            <a:lnSpc>
              <a:spcPct val="90000"/>
            </a:lnSpc>
            <a:spcBef>
              <a:spcPct val="0"/>
            </a:spcBef>
            <a:spcAft>
              <a:spcPct val="35000"/>
            </a:spcAft>
          </a:pPr>
          <a:r>
            <a:rPr lang="ro-RO" sz="1000" kern="1200"/>
            <a:t>(2 persoane)</a:t>
          </a:r>
          <a:endParaRPr lang="en-GB" sz="1000" kern="1200"/>
        </a:p>
      </dsp:txBody>
      <dsp:txXfrm>
        <a:off x="199232" y="1194677"/>
        <a:ext cx="841211" cy="420605"/>
      </dsp:txXfrm>
    </dsp:sp>
    <dsp:sp modelId="{B18F2BC8-F009-4CD3-AC99-F1DC34C47116}">
      <dsp:nvSpPr>
        <dsp:cNvPr id="0" name=""/>
        <dsp:cNvSpPr/>
      </dsp:nvSpPr>
      <dsp:spPr>
        <a:xfrm>
          <a:off x="1217098" y="1194677"/>
          <a:ext cx="841211" cy="42060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o-RO" sz="1000" kern="1200"/>
            <a:t>Direcția 2</a:t>
          </a:r>
        </a:p>
        <a:p>
          <a:pPr lvl="0" algn="ctr" defTabSz="444500">
            <a:lnSpc>
              <a:spcPct val="90000"/>
            </a:lnSpc>
            <a:spcBef>
              <a:spcPct val="0"/>
            </a:spcBef>
            <a:spcAft>
              <a:spcPct val="35000"/>
            </a:spcAft>
          </a:pPr>
          <a:r>
            <a:rPr lang="ro-RO" sz="1000" kern="1200"/>
            <a:t>(2 persoane)</a:t>
          </a:r>
          <a:endParaRPr lang="en-GB" sz="1000" kern="1200"/>
        </a:p>
      </dsp:txBody>
      <dsp:txXfrm>
        <a:off x="1217098" y="1194677"/>
        <a:ext cx="841211" cy="420605"/>
      </dsp:txXfrm>
    </dsp:sp>
    <dsp:sp modelId="{E33BD30B-CDF6-41C5-91D5-95C0B817D88A}">
      <dsp:nvSpPr>
        <dsp:cNvPr id="0" name=""/>
        <dsp:cNvSpPr/>
      </dsp:nvSpPr>
      <dsp:spPr>
        <a:xfrm>
          <a:off x="2234964" y="1194677"/>
          <a:ext cx="841211" cy="42060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o-RO" sz="1000" kern="1200"/>
            <a:t>Direcția 3</a:t>
          </a:r>
        </a:p>
        <a:p>
          <a:pPr lvl="0" algn="ctr" defTabSz="444500">
            <a:lnSpc>
              <a:spcPct val="90000"/>
            </a:lnSpc>
            <a:spcBef>
              <a:spcPct val="0"/>
            </a:spcBef>
            <a:spcAft>
              <a:spcPct val="35000"/>
            </a:spcAft>
          </a:pPr>
          <a:r>
            <a:rPr lang="ro-RO" sz="1000" kern="1200"/>
            <a:t>(2 persoane)</a:t>
          </a:r>
          <a:endParaRPr lang="en-GB" sz="1000" kern="1200"/>
        </a:p>
      </dsp:txBody>
      <dsp:txXfrm>
        <a:off x="2234964" y="1194677"/>
        <a:ext cx="841211" cy="420605"/>
      </dsp:txXfrm>
    </dsp:sp>
    <dsp:sp modelId="{BD74E9FC-8920-4214-912C-314E18822B0F}">
      <dsp:nvSpPr>
        <dsp:cNvPr id="0" name=""/>
        <dsp:cNvSpPr/>
      </dsp:nvSpPr>
      <dsp:spPr>
        <a:xfrm>
          <a:off x="3252830" y="1194677"/>
          <a:ext cx="841211" cy="42060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o-RO" sz="1000" kern="1200"/>
            <a:t>Secția juridică</a:t>
          </a:r>
        </a:p>
        <a:p>
          <a:pPr lvl="0" algn="ctr" defTabSz="444500">
            <a:lnSpc>
              <a:spcPct val="90000"/>
            </a:lnSpc>
            <a:spcBef>
              <a:spcPct val="0"/>
            </a:spcBef>
            <a:spcAft>
              <a:spcPct val="35000"/>
            </a:spcAft>
          </a:pPr>
          <a:r>
            <a:rPr lang="ro-RO" sz="1000" kern="1200"/>
            <a:t>(2 persoane)</a:t>
          </a:r>
          <a:endParaRPr lang="en-GB" sz="1000" kern="1200"/>
        </a:p>
      </dsp:txBody>
      <dsp:txXfrm>
        <a:off x="3252830" y="1194677"/>
        <a:ext cx="841211" cy="420605"/>
      </dsp:txXfrm>
    </dsp:sp>
    <dsp:sp modelId="{0D098B44-517D-4C02-95AA-0AE4E65E2264}">
      <dsp:nvSpPr>
        <dsp:cNvPr id="0" name=""/>
        <dsp:cNvSpPr/>
      </dsp:nvSpPr>
      <dsp:spPr>
        <a:xfrm>
          <a:off x="4270695" y="1194677"/>
          <a:ext cx="841211" cy="42060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o-RO" sz="800" kern="1200"/>
            <a:t>Secretariat, secția adminitrativ-financiară</a:t>
          </a:r>
          <a:endParaRPr lang="en-GB" sz="800" kern="1200"/>
        </a:p>
      </dsp:txBody>
      <dsp:txXfrm>
        <a:off x="4270695" y="1194677"/>
        <a:ext cx="841211" cy="420605"/>
      </dsp:txXfrm>
    </dsp:sp>
    <dsp:sp modelId="{3D7203D1-6227-4388-B32E-8BEEFDB6F767}">
      <dsp:nvSpPr>
        <dsp:cNvPr id="0" name=""/>
        <dsp:cNvSpPr/>
      </dsp:nvSpPr>
      <dsp:spPr>
        <a:xfrm>
          <a:off x="1657253" y="597417"/>
          <a:ext cx="909988" cy="42060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o-RO" sz="1000" b="1" kern="1200"/>
            <a:t>Reprezentant</a:t>
          </a:r>
          <a:r>
            <a:rPr lang="ro-RO" sz="1000" kern="1200"/>
            <a:t> în teritoriu (Nord)</a:t>
          </a:r>
          <a:endParaRPr lang="en-GB" sz="1000" kern="1200"/>
        </a:p>
      </dsp:txBody>
      <dsp:txXfrm>
        <a:off x="1657253" y="597417"/>
        <a:ext cx="909988" cy="420605"/>
      </dsp:txXfrm>
    </dsp:sp>
    <dsp:sp modelId="{AEFCED20-1988-4B65-B7C2-35DE13CBBCA0}">
      <dsp:nvSpPr>
        <dsp:cNvPr id="0" name=""/>
        <dsp:cNvSpPr/>
      </dsp:nvSpPr>
      <dsp:spPr>
        <a:xfrm>
          <a:off x="2743897" y="597417"/>
          <a:ext cx="978370" cy="42060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o-RO" sz="1000" b="1" kern="1200"/>
            <a:t>Reprezentant</a:t>
          </a:r>
          <a:r>
            <a:rPr lang="ro-RO" sz="1000" kern="1200"/>
            <a:t> în teritoriu (Sud)</a:t>
          </a:r>
          <a:endParaRPr lang="en-GB" sz="1000" kern="1200"/>
        </a:p>
      </dsp:txBody>
      <dsp:txXfrm>
        <a:off x="2743897" y="597417"/>
        <a:ext cx="978370" cy="42060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99DE0-4266-466D-A8DB-E11B5A2AC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16</Pages>
  <Words>9222</Words>
  <Characters>53493</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Valentina Chiper</cp:lastModifiedBy>
  <cp:revision>9</cp:revision>
  <dcterms:created xsi:type="dcterms:W3CDTF">2020-06-24T10:18:00Z</dcterms:created>
  <dcterms:modified xsi:type="dcterms:W3CDTF">2020-06-26T05:45:00Z</dcterms:modified>
</cp:coreProperties>
</file>