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93F" w:rsidRPr="009349F2" w:rsidRDefault="0070393F" w:rsidP="0070393F">
      <w:pPr>
        <w:jc w:val="center"/>
        <w:rPr>
          <w:b/>
          <w:sz w:val="28"/>
          <w:szCs w:val="28"/>
          <w:lang w:val="ro-MD"/>
        </w:rPr>
      </w:pPr>
      <w:r w:rsidRPr="009349F2">
        <w:rPr>
          <w:b/>
          <w:sz w:val="28"/>
          <w:szCs w:val="28"/>
          <w:lang w:val="ro-MD"/>
        </w:rPr>
        <w:t>Notă informativă</w:t>
      </w:r>
    </w:p>
    <w:p w:rsidR="0070393F" w:rsidRPr="009349F2" w:rsidRDefault="0070393F" w:rsidP="0070393F">
      <w:pPr>
        <w:shd w:val="clear" w:color="auto" w:fill="FFFFFF"/>
        <w:spacing w:before="165" w:after="165"/>
        <w:ind w:right="-472"/>
        <w:jc w:val="center"/>
        <w:outlineLvl w:val="3"/>
        <w:rPr>
          <w:rFonts w:eastAsia="Times New Roman"/>
          <w:b/>
          <w:sz w:val="28"/>
          <w:szCs w:val="28"/>
          <w:lang w:val="ro-MD" w:eastAsia="ro-RO"/>
        </w:rPr>
      </w:pPr>
      <w:r w:rsidRPr="009349F2">
        <w:rPr>
          <w:b/>
          <w:sz w:val="28"/>
          <w:szCs w:val="28"/>
          <w:lang w:val="ro-MD"/>
        </w:rPr>
        <w:t xml:space="preserve">la proiectul </w:t>
      </w:r>
      <w:proofErr w:type="spellStart"/>
      <w:r w:rsidRPr="009349F2">
        <w:rPr>
          <w:b/>
          <w:sz w:val="28"/>
          <w:szCs w:val="28"/>
          <w:lang w:val="ro-MD"/>
        </w:rPr>
        <w:t>Hotărîrii</w:t>
      </w:r>
      <w:proofErr w:type="spellEnd"/>
      <w:r w:rsidRPr="009349F2">
        <w:rPr>
          <w:b/>
          <w:sz w:val="28"/>
          <w:szCs w:val="28"/>
          <w:lang w:val="ro-MD"/>
        </w:rPr>
        <w:t xml:space="preserve"> de Guvern</w:t>
      </w:r>
      <w:r w:rsidRPr="009349F2">
        <w:rPr>
          <w:rFonts w:eastAsia="Times New Roman"/>
          <w:b/>
          <w:sz w:val="28"/>
          <w:szCs w:val="28"/>
          <w:lang w:val="ro-MD" w:eastAsia="ro-RO"/>
        </w:rPr>
        <w:t xml:space="preserve"> cu privire la abrogarea </w:t>
      </w:r>
      <w:proofErr w:type="spellStart"/>
      <w:r w:rsidRPr="009349F2">
        <w:rPr>
          <w:rFonts w:eastAsia="Times New Roman"/>
          <w:b/>
          <w:sz w:val="28"/>
          <w:szCs w:val="28"/>
          <w:lang w:val="ro-MD" w:eastAsia="ro-RO"/>
        </w:rPr>
        <w:t>Hotărîrii</w:t>
      </w:r>
      <w:proofErr w:type="spellEnd"/>
      <w:r w:rsidRPr="009349F2">
        <w:rPr>
          <w:rFonts w:eastAsia="Times New Roman"/>
          <w:b/>
          <w:sz w:val="28"/>
          <w:szCs w:val="28"/>
          <w:lang w:val="ro-MD" w:eastAsia="ro-RO"/>
        </w:rPr>
        <w:t xml:space="preserve"> Guvernului nr.87/2020 </w:t>
      </w:r>
      <w:r w:rsidRPr="009349F2">
        <w:rPr>
          <w:rFonts w:eastAsia="Times New Roman"/>
          <w:b/>
          <w:color w:val="000000"/>
          <w:sz w:val="28"/>
          <w:szCs w:val="28"/>
          <w:lang w:val="ro-MD" w:eastAsia="ro-RO"/>
        </w:rPr>
        <w:t>cu privire la unele măsuri de prevenire a introducerii virusului gripei aviare</w:t>
      </w:r>
      <w:r w:rsidRPr="009349F2">
        <w:rPr>
          <w:rFonts w:eastAsia="Times New Roman"/>
          <w:b/>
          <w:sz w:val="28"/>
          <w:szCs w:val="28"/>
          <w:lang w:val="ro-MD" w:eastAsia="ro-RO"/>
        </w:rPr>
        <w:t>.</w:t>
      </w:r>
    </w:p>
    <w:p w:rsidR="0070393F" w:rsidRPr="009349F2" w:rsidRDefault="0070393F" w:rsidP="0070393F">
      <w:pPr>
        <w:shd w:val="clear" w:color="auto" w:fill="FFFFFF"/>
        <w:spacing w:before="165" w:after="165"/>
        <w:jc w:val="center"/>
        <w:outlineLvl w:val="3"/>
        <w:rPr>
          <w:i/>
          <w:sz w:val="28"/>
          <w:szCs w:val="28"/>
          <w:lang w:val="ro-MD"/>
        </w:rPr>
      </w:pPr>
    </w:p>
    <w:p w:rsidR="0070393F" w:rsidRPr="009349F2" w:rsidRDefault="0070393F" w:rsidP="0070393F">
      <w:pPr>
        <w:ind w:firstLine="709"/>
        <w:jc w:val="both"/>
        <w:rPr>
          <w:b/>
          <w:i/>
          <w:noProof/>
          <w:color w:val="000000"/>
          <w:sz w:val="28"/>
          <w:lang w:val="ro-MD"/>
        </w:rPr>
      </w:pPr>
      <w:r w:rsidRPr="009349F2">
        <w:rPr>
          <w:b/>
          <w:i/>
          <w:noProof/>
          <w:color w:val="000000"/>
          <w:sz w:val="28"/>
          <w:lang w:val="ro-MD"/>
        </w:rPr>
        <w:t>1. Denumirea autorului şi, după caz a participanţilor la elaborarea proiectului</w:t>
      </w:r>
    </w:p>
    <w:p w:rsidR="0070393F" w:rsidRPr="009349F2" w:rsidRDefault="0070393F" w:rsidP="0070393F">
      <w:pPr>
        <w:ind w:firstLine="708"/>
        <w:jc w:val="both"/>
        <w:rPr>
          <w:color w:val="000000"/>
          <w:sz w:val="28"/>
          <w:szCs w:val="28"/>
          <w:lang w:val="ro-MD"/>
        </w:rPr>
      </w:pPr>
      <w:r w:rsidRPr="009349F2">
        <w:rPr>
          <w:color w:val="000000"/>
          <w:sz w:val="28"/>
          <w:szCs w:val="28"/>
          <w:lang w:val="ro-MD"/>
        </w:rPr>
        <w:t>Proiectul este elaborat și promovat de Ministerul Agriculturii, Dezvoltării Regionale și Mediului.</w:t>
      </w:r>
    </w:p>
    <w:p w:rsidR="0070393F" w:rsidRPr="009349F2" w:rsidRDefault="0070393F" w:rsidP="0070393F">
      <w:pPr>
        <w:ind w:firstLine="708"/>
        <w:jc w:val="both"/>
        <w:rPr>
          <w:b/>
          <w:i/>
          <w:color w:val="000000"/>
          <w:sz w:val="28"/>
          <w:szCs w:val="28"/>
          <w:lang w:val="ro-MD"/>
        </w:rPr>
      </w:pPr>
      <w:r w:rsidRPr="009349F2">
        <w:rPr>
          <w:b/>
          <w:i/>
          <w:color w:val="000000"/>
          <w:sz w:val="28"/>
          <w:szCs w:val="28"/>
          <w:lang w:val="ro-MD"/>
        </w:rPr>
        <w:t xml:space="preserve">2. </w:t>
      </w:r>
      <w:r w:rsidRPr="009349F2">
        <w:rPr>
          <w:b/>
          <w:i/>
          <w:noProof/>
          <w:color w:val="000000"/>
          <w:sz w:val="28"/>
          <w:lang w:val="ro-MD"/>
        </w:rPr>
        <w:t xml:space="preserve">Condiţiile ce au impus elaborarea proiectului actului normativ şi finalităţile urmărite </w:t>
      </w:r>
    </w:p>
    <w:p w:rsidR="002E24A4" w:rsidRDefault="00CC331B" w:rsidP="003A6500">
      <w:pPr>
        <w:pStyle w:val="Frspaiere"/>
        <w:jc w:val="both"/>
        <w:rPr>
          <w:sz w:val="28"/>
          <w:szCs w:val="28"/>
          <w:lang w:val="ro-MD"/>
        </w:rPr>
      </w:pPr>
      <w:r w:rsidRPr="009349F2">
        <w:rPr>
          <w:sz w:val="28"/>
          <w:szCs w:val="28"/>
          <w:lang w:val="ro-MD"/>
        </w:rPr>
        <w:tab/>
      </w:r>
      <w:r w:rsidR="0070393F" w:rsidRPr="009349F2">
        <w:rPr>
          <w:sz w:val="28"/>
          <w:szCs w:val="28"/>
          <w:lang w:val="ro-MD"/>
        </w:rPr>
        <w:t>Prezentul proiect de Hotărâre de</w:t>
      </w:r>
      <w:r w:rsidRPr="009349F2">
        <w:rPr>
          <w:sz w:val="28"/>
          <w:szCs w:val="28"/>
          <w:lang w:val="ro-MD"/>
        </w:rPr>
        <w:t xml:space="preserve"> Guvern este elaborat în scopul</w:t>
      </w:r>
      <w:r w:rsidR="00646E87" w:rsidRPr="009349F2">
        <w:rPr>
          <w:sz w:val="28"/>
          <w:szCs w:val="28"/>
          <w:lang w:val="ro-MD"/>
        </w:rPr>
        <w:t xml:space="preserve"> respectării angajamentelor asu</w:t>
      </w:r>
      <w:r w:rsidR="00421FA4">
        <w:rPr>
          <w:sz w:val="28"/>
          <w:szCs w:val="28"/>
          <w:lang w:val="ro-MD"/>
        </w:rPr>
        <w:t>mate de către Republica Moldova</w:t>
      </w:r>
      <w:bookmarkStart w:id="0" w:name="_GoBack"/>
      <w:bookmarkEnd w:id="0"/>
      <w:r w:rsidR="00646E87" w:rsidRPr="009349F2">
        <w:rPr>
          <w:sz w:val="28"/>
          <w:szCs w:val="28"/>
          <w:lang w:val="ro-MD"/>
        </w:rPr>
        <w:t xml:space="preserve"> în cadrul Organizației Mondiale a Comerțului</w:t>
      </w:r>
      <w:r w:rsidRPr="009349F2">
        <w:rPr>
          <w:sz w:val="28"/>
          <w:szCs w:val="28"/>
          <w:lang w:val="ro-MD"/>
        </w:rPr>
        <w:t xml:space="preserve"> </w:t>
      </w:r>
      <w:r w:rsidR="00646E87" w:rsidRPr="009349F2">
        <w:rPr>
          <w:sz w:val="28"/>
          <w:szCs w:val="28"/>
          <w:lang w:val="ro-MD"/>
        </w:rPr>
        <w:t xml:space="preserve">și </w:t>
      </w:r>
      <w:r w:rsidRPr="009349F2">
        <w:rPr>
          <w:sz w:val="28"/>
          <w:szCs w:val="28"/>
          <w:lang w:val="ro-MD"/>
        </w:rPr>
        <w:t>creării</w:t>
      </w:r>
      <w:r w:rsidR="008C0E39" w:rsidRPr="009349F2">
        <w:rPr>
          <w:sz w:val="28"/>
          <w:szCs w:val="28"/>
          <w:lang w:val="ro-MD"/>
        </w:rPr>
        <w:t xml:space="preserve"> </w:t>
      </w:r>
      <w:r w:rsidR="009349F2" w:rsidRPr="009349F2">
        <w:rPr>
          <w:sz w:val="28"/>
          <w:szCs w:val="28"/>
          <w:lang w:val="ro-MD"/>
        </w:rPr>
        <w:t>condițiilor</w:t>
      </w:r>
      <w:r w:rsidR="004F3CD8" w:rsidRPr="009349F2">
        <w:rPr>
          <w:sz w:val="28"/>
          <w:szCs w:val="28"/>
          <w:lang w:val="ro-MD"/>
        </w:rPr>
        <w:t xml:space="preserve"> favorabil </w:t>
      </w:r>
      <w:r w:rsidR="008C0E39" w:rsidRPr="009349F2">
        <w:rPr>
          <w:sz w:val="28"/>
          <w:szCs w:val="28"/>
          <w:lang w:val="ro-MD"/>
        </w:rPr>
        <w:t>pentru</w:t>
      </w:r>
      <w:r w:rsidR="003A6500" w:rsidRPr="009349F2">
        <w:rPr>
          <w:sz w:val="28"/>
          <w:szCs w:val="28"/>
          <w:lang w:val="ro-MD"/>
        </w:rPr>
        <w:t xml:space="preserve"> dezvoltarea relațiilor comerciale cu partea Ucraineană</w:t>
      </w:r>
      <w:r w:rsidR="0000586B" w:rsidRPr="009349F2">
        <w:rPr>
          <w:sz w:val="28"/>
          <w:szCs w:val="28"/>
          <w:lang w:val="ro-MD"/>
        </w:rPr>
        <w:t xml:space="preserve">, </w:t>
      </w:r>
      <w:r w:rsidR="003A6500" w:rsidRPr="009349F2">
        <w:rPr>
          <w:sz w:val="28"/>
          <w:szCs w:val="28"/>
          <w:lang w:val="ro-MD"/>
        </w:rPr>
        <w:t>care</w:t>
      </w:r>
      <w:r w:rsidR="008D433B" w:rsidRPr="009349F2">
        <w:rPr>
          <w:sz w:val="28"/>
          <w:szCs w:val="28"/>
          <w:lang w:val="ro-MD"/>
        </w:rPr>
        <w:t xml:space="preserve"> </w:t>
      </w:r>
      <w:r w:rsidR="00915F19">
        <w:rPr>
          <w:sz w:val="28"/>
          <w:szCs w:val="28"/>
          <w:lang w:val="ro-MD"/>
        </w:rPr>
        <w:t xml:space="preserve">în urma </w:t>
      </w:r>
      <w:r w:rsidR="008C0E39" w:rsidRPr="009349F2">
        <w:rPr>
          <w:sz w:val="28"/>
          <w:szCs w:val="28"/>
          <w:lang w:val="ro-MD"/>
        </w:rPr>
        <w:t xml:space="preserve">aplicării politicii de depopulare totală </w:t>
      </w:r>
      <w:r w:rsidR="008D433B" w:rsidRPr="009349F2">
        <w:rPr>
          <w:sz w:val="28"/>
          <w:szCs w:val="28"/>
          <w:lang w:val="ro-MD"/>
        </w:rPr>
        <w:t>a raportat finalizarea operațiunilor de curățare și dezinfectare</w:t>
      </w:r>
      <w:r w:rsidR="008C0E39" w:rsidRPr="009349F2">
        <w:rPr>
          <w:sz w:val="28"/>
          <w:szCs w:val="28"/>
          <w:lang w:val="ro-MD"/>
        </w:rPr>
        <w:t xml:space="preserve"> în zonele în care au fost depistate focare de gripă aviară (HPAI</w:t>
      </w:r>
      <w:r w:rsidRPr="009349F2">
        <w:rPr>
          <w:sz w:val="28"/>
          <w:szCs w:val="28"/>
          <w:lang w:val="ro-MD"/>
        </w:rPr>
        <w:t xml:space="preserve">), </w:t>
      </w:r>
      <w:r w:rsidR="009349F2" w:rsidRPr="009349F2">
        <w:rPr>
          <w:sz w:val="28"/>
          <w:szCs w:val="28"/>
          <w:lang w:val="ro-MD"/>
        </w:rPr>
        <w:t>prezentând</w:t>
      </w:r>
      <w:r w:rsidR="008D433B" w:rsidRPr="009349F2">
        <w:rPr>
          <w:sz w:val="28"/>
          <w:szCs w:val="28"/>
          <w:lang w:val="ro-MD"/>
        </w:rPr>
        <w:t xml:space="preserve"> informații </w:t>
      </w:r>
      <w:r w:rsidR="003A6500" w:rsidRPr="009349F2">
        <w:rPr>
          <w:sz w:val="28"/>
          <w:szCs w:val="28"/>
          <w:lang w:val="ro-MD"/>
        </w:rPr>
        <w:t xml:space="preserve">privind situația epidemiologică de pe teritoriul său și </w:t>
      </w:r>
      <w:r w:rsidRPr="009349F2">
        <w:rPr>
          <w:sz w:val="28"/>
          <w:szCs w:val="28"/>
          <w:lang w:val="ro-MD"/>
        </w:rPr>
        <w:t>măsurile care au fost</w:t>
      </w:r>
      <w:r w:rsidR="003A6500" w:rsidRPr="009349F2">
        <w:rPr>
          <w:sz w:val="28"/>
          <w:szCs w:val="28"/>
          <w:lang w:val="ro-MD"/>
        </w:rPr>
        <w:t xml:space="preserve"> luat</w:t>
      </w:r>
      <w:r w:rsidRPr="009349F2">
        <w:rPr>
          <w:sz w:val="28"/>
          <w:szCs w:val="28"/>
          <w:lang w:val="ro-MD"/>
        </w:rPr>
        <w:t>e</w:t>
      </w:r>
      <w:r w:rsidR="003A6500" w:rsidRPr="009349F2">
        <w:rPr>
          <w:sz w:val="28"/>
          <w:szCs w:val="28"/>
          <w:lang w:val="ro-MD"/>
        </w:rPr>
        <w:t xml:space="preserve"> pentru a preveni răspândirea în continuare a gripei aviare în afara zonelor cu acces restricționat</w:t>
      </w:r>
      <w:r w:rsidR="002E24A4">
        <w:rPr>
          <w:sz w:val="28"/>
          <w:szCs w:val="28"/>
          <w:lang w:val="ro-MD"/>
        </w:rPr>
        <w:t>.</w:t>
      </w:r>
    </w:p>
    <w:p w:rsidR="003A6500" w:rsidRPr="009349F2" w:rsidRDefault="002E24A4" w:rsidP="002E24A4">
      <w:pPr>
        <w:pStyle w:val="Frspaiere"/>
        <w:ind w:firstLine="708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Astfel</w:t>
      </w:r>
      <w:r w:rsidR="003A6500" w:rsidRPr="009349F2">
        <w:rPr>
          <w:sz w:val="28"/>
          <w:szCs w:val="28"/>
          <w:lang w:val="ro-MD"/>
        </w:rPr>
        <w:t xml:space="preserve"> </w:t>
      </w:r>
      <w:r w:rsidR="009349F2" w:rsidRPr="009349F2">
        <w:rPr>
          <w:sz w:val="28"/>
          <w:szCs w:val="28"/>
          <w:lang w:val="ro-MD"/>
        </w:rPr>
        <w:t>luând</w:t>
      </w:r>
      <w:r w:rsidR="003A6500" w:rsidRPr="009349F2">
        <w:rPr>
          <w:sz w:val="28"/>
          <w:szCs w:val="28"/>
          <w:lang w:val="ro-MD"/>
        </w:rPr>
        <w:t xml:space="preserve"> în</w:t>
      </w:r>
      <w:r w:rsidR="004127D3">
        <w:rPr>
          <w:sz w:val="28"/>
          <w:szCs w:val="28"/>
          <w:lang w:val="ro-MD"/>
        </w:rPr>
        <w:t xml:space="preserve"> considerație </w:t>
      </w:r>
      <w:r w:rsidR="009A1689">
        <w:rPr>
          <w:sz w:val="28"/>
          <w:szCs w:val="28"/>
          <w:lang w:val="ro-MD"/>
        </w:rPr>
        <w:t>totalitatea măsurilor</w:t>
      </w:r>
      <w:r w:rsidR="00413A93">
        <w:rPr>
          <w:sz w:val="28"/>
          <w:szCs w:val="28"/>
          <w:lang w:val="ro-MD"/>
        </w:rPr>
        <w:t xml:space="preserve"> întreprinse de partea Ucraineană în vederea eradicării gripei aviare</w:t>
      </w:r>
      <w:r w:rsidR="003A6500" w:rsidRPr="009349F2">
        <w:rPr>
          <w:sz w:val="28"/>
          <w:szCs w:val="28"/>
          <w:lang w:val="ro-MD"/>
        </w:rPr>
        <w:t xml:space="preserve">, considerăm </w:t>
      </w:r>
      <w:r w:rsidR="00CC331B" w:rsidRPr="009349F2">
        <w:rPr>
          <w:sz w:val="28"/>
          <w:szCs w:val="28"/>
          <w:lang w:val="ro-MD"/>
        </w:rPr>
        <w:t xml:space="preserve">necesar abrogarea </w:t>
      </w:r>
      <w:r w:rsidR="003A6500" w:rsidRPr="009349F2">
        <w:rPr>
          <w:sz w:val="28"/>
          <w:szCs w:val="28"/>
          <w:lang w:val="ro-MD"/>
        </w:rPr>
        <w:t>restricțiilor privind introducerea în Republica Moldova a păsărilor de curte, al păsărilor ținute în captivitate sau al altor păsări, al produselor și al subpr</w:t>
      </w:r>
      <w:r w:rsidR="00CC331B" w:rsidRPr="009349F2">
        <w:rPr>
          <w:sz w:val="28"/>
          <w:szCs w:val="28"/>
          <w:lang w:val="ro-MD"/>
        </w:rPr>
        <w:t>oduselor obținute de la acestea</w:t>
      </w:r>
      <w:r w:rsidR="003A6500" w:rsidRPr="009349F2">
        <w:rPr>
          <w:sz w:val="28"/>
          <w:szCs w:val="28"/>
          <w:lang w:val="ro-MD"/>
        </w:rPr>
        <w:t>.</w:t>
      </w:r>
    </w:p>
    <w:p w:rsidR="0070393F" w:rsidRPr="009349F2" w:rsidRDefault="0070393F" w:rsidP="0070393F">
      <w:pPr>
        <w:ind w:firstLine="709"/>
        <w:jc w:val="both"/>
        <w:rPr>
          <w:b/>
          <w:i/>
          <w:sz w:val="28"/>
          <w:szCs w:val="28"/>
          <w:lang w:val="ro-MD"/>
        </w:rPr>
      </w:pPr>
      <w:r w:rsidRPr="009349F2">
        <w:rPr>
          <w:b/>
          <w:i/>
          <w:sz w:val="28"/>
          <w:szCs w:val="28"/>
          <w:lang w:val="ro-MD"/>
        </w:rPr>
        <w:t>3. Descrierea gradului de compatibilitate, pentru proiectele care au ca scop armonizarea legislației naționale cu legislația Uniunii Europene</w:t>
      </w:r>
    </w:p>
    <w:p w:rsidR="0070393F" w:rsidRPr="009349F2" w:rsidRDefault="0070393F" w:rsidP="0070393F">
      <w:pPr>
        <w:ind w:firstLine="708"/>
        <w:jc w:val="both"/>
        <w:rPr>
          <w:color w:val="000000"/>
          <w:sz w:val="28"/>
          <w:szCs w:val="28"/>
          <w:lang w:val="ro-MD"/>
        </w:rPr>
      </w:pPr>
      <w:r w:rsidRPr="009349F2">
        <w:rPr>
          <w:rFonts w:eastAsia="TimesNewRoman"/>
          <w:sz w:val="28"/>
          <w:szCs w:val="28"/>
          <w:lang w:val="ro-MD"/>
        </w:rPr>
        <w:t xml:space="preserve">Prezentul proiect nu transpune </w:t>
      </w:r>
      <w:r w:rsidRPr="009349F2">
        <w:rPr>
          <w:color w:val="000000"/>
          <w:sz w:val="28"/>
          <w:szCs w:val="28"/>
          <w:lang w:val="ro-MD"/>
        </w:rPr>
        <w:t>acte ale Uniunii Europene în legislația națională.</w:t>
      </w:r>
    </w:p>
    <w:p w:rsidR="0070393F" w:rsidRPr="009349F2" w:rsidRDefault="0070393F" w:rsidP="0070393F">
      <w:pPr>
        <w:ind w:firstLine="708"/>
        <w:jc w:val="both"/>
        <w:rPr>
          <w:sz w:val="28"/>
          <w:szCs w:val="28"/>
          <w:lang w:val="ro-MD"/>
        </w:rPr>
      </w:pPr>
      <w:r w:rsidRPr="009349F2">
        <w:rPr>
          <w:rFonts w:eastAsia="Calibri"/>
          <w:b/>
          <w:bCs/>
          <w:i/>
          <w:noProof/>
          <w:color w:val="000000"/>
          <w:sz w:val="28"/>
          <w:szCs w:val="28"/>
          <w:lang w:val="ro-MD" w:eastAsia="ru-RU"/>
        </w:rPr>
        <w:t>4. Principalele prevederi ale proiectului şi evidenţierea elementelor noi</w:t>
      </w:r>
    </w:p>
    <w:p w:rsidR="00A602CA" w:rsidRPr="009349F2" w:rsidRDefault="0070393F" w:rsidP="0070393F">
      <w:pPr>
        <w:ind w:firstLine="709"/>
        <w:jc w:val="both"/>
        <w:rPr>
          <w:color w:val="FF0000"/>
          <w:sz w:val="28"/>
          <w:szCs w:val="28"/>
          <w:lang w:val="ro-MD"/>
        </w:rPr>
      </w:pPr>
      <w:r w:rsidRPr="009349F2">
        <w:rPr>
          <w:color w:val="000000" w:themeColor="text1"/>
          <w:sz w:val="28"/>
          <w:szCs w:val="28"/>
          <w:lang w:val="ro-MD"/>
        </w:rPr>
        <w:t xml:space="preserve">Prezentul proiect prevede </w:t>
      </w:r>
      <w:r w:rsidR="008C0E39" w:rsidRPr="009349F2">
        <w:rPr>
          <w:color w:val="000000" w:themeColor="text1"/>
          <w:sz w:val="28"/>
          <w:szCs w:val="28"/>
          <w:lang w:val="ro-MD"/>
        </w:rPr>
        <w:t>abrogarea</w:t>
      </w:r>
      <w:r w:rsidR="000B010A" w:rsidRPr="009349F2">
        <w:rPr>
          <w:color w:val="000000" w:themeColor="text1"/>
          <w:sz w:val="28"/>
          <w:szCs w:val="28"/>
          <w:lang w:val="ro-MD"/>
        </w:rPr>
        <w:t xml:space="preserve"> inter</w:t>
      </w:r>
      <w:r w:rsidR="00B61E09" w:rsidRPr="009349F2">
        <w:rPr>
          <w:color w:val="000000" w:themeColor="text1"/>
          <w:sz w:val="28"/>
          <w:szCs w:val="28"/>
          <w:lang w:val="ro-MD"/>
        </w:rPr>
        <w:t>dicției la import din Ucraina</w:t>
      </w:r>
      <w:r w:rsidR="008C0E39" w:rsidRPr="009349F2">
        <w:rPr>
          <w:color w:val="000000" w:themeColor="text1"/>
          <w:sz w:val="28"/>
          <w:szCs w:val="28"/>
          <w:lang w:val="ro-MD"/>
        </w:rPr>
        <w:t xml:space="preserve"> a</w:t>
      </w:r>
      <w:r w:rsidR="00B61E09" w:rsidRPr="009349F2">
        <w:rPr>
          <w:color w:val="000000" w:themeColor="text1"/>
          <w:sz w:val="28"/>
          <w:szCs w:val="28"/>
          <w:lang w:val="ro-MD"/>
        </w:rPr>
        <w:t xml:space="preserve"> </w:t>
      </w:r>
      <w:r w:rsidR="000B010A" w:rsidRPr="009349F2">
        <w:rPr>
          <w:color w:val="000000" w:themeColor="text1"/>
          <w:sz w:val="28"/>
          <w:szCs w:val="28"/>
          <w:lang w:val="ro-MD"/>
        </w:rPr>
        <w:t>păsărilor de curte, a păsărilor ținute în captivitate sau a altor păsări, al produselor și subproduselor obținute de la acestea,</w:t>
      </w:r>
      <w:r w:rsidR="000B010A" w:rsidRPr="009349F2">
        <w:rPr>
          <w:color w:val="000000" w:themeColor="text1"/>
          <w:sz w:val="28"/>
          <w:szCs w:val="28"/>
          <w:shd w:val="clear" w:color="auto" w:fill="FFFFFF"/>
          <w:lang w:val="ro-MD" w:eastAsia="ro-RO"/>
        </w:rPr>
        <w:t xml:space="preserve"> </w:t>
      </w:r>
      <w:r w:rsidR="009349F2" w:rsidRPr="009349F2">
        <w:rPr>
          <w:color w:val="000000" w:themeColor="text1"/>
          <w:sz w:val="28"/>
          <w:szCs w:val="28"/>
          <w:lang w:val="ro-MD" w:eastAsia="ro-RO"/>
        </w:rPr>
        <w:t>cât</w:t>
      </w:r>
      <w:r w:rsidR="00B61E09" w:rsidRPr="009349F2">
        <w:rPr>
          <w:color w:val="000000" w:themeColor="text1"/>
          <w:sz w:val="28"/>
          <w:szCs w:val="28"/>
          <w:lang w:val="ro-MD" w:eastAsia="ro-RO"/>
        </w:rPr>
        <w:t xml:space="preserve"> și </w:t>
      </w:r>
      <w:r w:rsidR="005A6ECD" w:rsidRPr="009349F2">
        <w:rPr>
          <w:rFonts w:eastAsia="Times New Roman"/>
          <w:color w:val="000000"/>
          <w:sz w:val="28"/>
          <w:szCs w:val="28"/>
          <w:shd w:val="clear" w:color="auto" w:fill="FFFFFF"/>
          <w:lang w:val="ro-MD" w:eastAsia="ro-RO"/>
        </w:rPr>
        <w:t>materialului seminal,</w:t>
      </w:r>
      <w:r w:rsidR="005A6ECD" w:rsidRPr="009349F2">
        <w:rPr>
          <w:rFonts w:ascii="Calibri" w:eastAsia="Times New Roman" w:hAnsi="Calibri"/>
          <w:color w:val="000000"/>
          <w:sz w:val="22"/>
          <w:szCs w:val="22"/>
          <w:shd w:val="clear" w:color="auto" w:fill="FFFFFF"/>
          <w:lang w:val="ro-MD" w:eastAsia="en-US"/>
        </w:rPr>
        <w:t xml:space="preserve"> </w:t>
      </w:r>
      <w:r w:rsidR="005A6ECD" w:rsidRPr="009349F2">
        <w:rPr>
          <w:rFonts w:eastAsia="Times New Roman"/>
          <w:color w:val="000000"/>
          <w:sz w:val="28"/>
          <w:szCs w:val="28"/>
          <w:shd w:val="clear" w:color="auto" w:fill="FFFFFF"/>
          <w:lang w:val="ro-MD" w:eastAsia="ro-RO"/>
        </w:rPr>
        <w:t>ovulelor și embrionilor provenite de la păsări receptive la virusul gripei aviare</w:t>
      </w:r>
      <w:r w:rsidR="00EC3B6D" w:rsidRPr="009349F2">
        <w:rPr>
          <w:rFonts w:eastAsia="Times New Roman"/>
          <w:color w:val="000000"/>
          <w:sz w:val="28"/>
          <w:szCs w:val="28"/>
          <w:shd w:val="clear" w:color="auto" w:fill="FFFFFF"/>
          <w:lang w:val="ro-MD" w:eastAsia="ro-RO"/>
        </w:rPr>
        <w:t>.</w:t>
      </w:r>
    </w:p>
    <w:p w:rsidR="0070393F" w:rsidRPr="009349F2" w:rsidRDefault="0070393F" w:rsidP="0070393F">
      <w:pPr>
        <w:ind w:firstLine="708"/>
        <w:jc w:val="both"/>
        <w:rPr>
          <w:rFonts w:eastAsia="Calibri"/>
          <w:b/>
          <w:bCs/>
          <w:i/>
          <w:noProof/>
          <w:color w:val="000000"/>
          <w:sz w:val="28"/>
          <w:szCs w:val="28"/>
          <w:lang w:val="ro-MD" w:eastAsia="ru-RU"/>
        </w:rPr>
      </w:pPr>
      <w:r w:rsidRPr="009349F2">
        <w:rPr>
          <w:rFonts w:eastAsia="Calibri"/>
          <w:b/>
          <w:bCs/>
          <w:i/>
          <w:noProof/>
          <w:color w:val="000000"/>
          <w:sz w:val="28"/>
          <w:szCs w:val="28"/>
          <w:lang w:val="ro-MD" w:eastAsia="ru-RU"/>
        </w:rPr>
        <w:t>5. Fundamentarea economico-financiară</w:t>
      </w:r>
    </w:p>
    <w:p w:rsidR="0070393F" w:rsidRPr="009349F2" w:rsidRDefault="0070393F" w:rsidP="0070393F">
      <w:pPr>
        <w:ind w:firstLine="709"/>
        <w:jc w:val="both"/>
        <w:rPr>
          <w:rFonts w:eastAsia="EUAlbertina-Bold-Identity-H"/>
          <w:sz w:val="28"/>
          <w:szCs w:val="28"/>
          <w:lang w:val="ro-MD"/>
        </w:rPr>
      </w:pPr>
      <w:r w:rsidRPr="009349F2">
        <w:rPr>
          <w:rFonts w:eastAsia="EUAlbertina-Bold-Identity-H"/>
          <w:sz w:val="28"/>
          <w:szCs w:val="28"/>
          <w:lang w:val="ro-MD"/>
        </w:rPr>
        <w:t xml:space="preserve">Implementarea prevederilor proiectului nu presupune cheltuieli suplimentare din bugetul de stat. </w:t>
      </w:r>
    </w:p>
    <w:p w:rsidR="0070393F" w:rsidRPr="009349F2" w:rsidRDefault="0070393F" w:rsidP="0070393F">
      <w:pPr>
        <w:ind w:firstLine="709"/>
        <w:jc w:val="both"/>
        <w:rPr>
          <w:b/>
          <w:i/>
          <w:sz w:val="28"/>
          <w:szCs w:val="28"/>
          <w:lang w:val="ro-MD"/>
        </w:rPr>
      </w:pPr>
      <w:r w:rsidRPr="009349F2">
        <w:rPr>
          <w:b/>
          <w:i/>
          <w:sz w:val="28"/>
          <w:szCs w:val="28"/>
          <w:lang w:val="ro-MD"/>
        </w:rPr>
        <w:t>6. Modul de încorporare a actului în cadrul normativ în vigoare</w:t>
      </w:r>
    </w:p>
    <w:p w:rsidR="0070393F" w:rsidRPr="009349F2" w:rsidRDefault="0070393F" w:rsidP="0070393F">
      <w:pPr>
        <w:ind w:firstLine="709"/>
        <w:jc w:val="both"/>
        <w:rPr>
          <w:sz w:val="28"/>
          <w:szCs w:val="28"/>
          <w:lang w:val="ro-MD"/>
        </w:rPr>
      </w:pPr>
      <w:r w:rsidRPr="009349F2">
        <w:rPr>
          <w:sz w:val="28"/>
          <w:szCs w:val="28"/>
          <w:lang w:val="ro-MD"/>
        </w:rPr>
        <w:t>Proiectul dat se află în concordanță cu legislația națională privind domeniu sanitar veterinar și siguranței alimentelor.</w:t>
      </w:r>
    </w:p>
    <w:p w:rsidR="0070393F" w:rsidRPr="009349F2" w:rsidRDefault="0070393F" w:rsidP="0070393F">
      <w:pPr>
        <w:ind w:firstLine="709"/>
        <w:jc w:val="both"/>
        <w:rPr>
          <w:b/>
          <w:i/>
          <w:sz w:val="28"/>
          <w:szCs w:val="28"/>
          <w:lang w:val="ro-MD"/>
        </w:rPr>
      </w:pPr>
      <w:r w:rsidRPr="009349F2">
        <w:rPr>
          <w:b/>
          <w:i/>
          <w:sz w:val="28"/>
          <w:szCs w:val="28"/>
          <w:lang w:val="ro-MD"/>
        </w:rPr>
        <w:t>7. Avizarea și consultarea publică a proiectului</w:t>
      </w:r>
    </w:p>
    <w:p w:rsidR="0070393F" w:rsidRPr="009349F2" w:rsidRDefault="0070393F" w:rsidP="0070393F">
      <w:pPr>
        <w:ind w:firstLine="709"/>
        <w:jc w:val="both"/>
        <w:rPr>
          <w:sz w:val="28"/>
          <w:szCs w:val="28"/>
          <w:lang w:val="ro-MD"/>
        </w:rPr>
      </w:pPr>
      <w:r w:rsidRPr="009349F2">
        <w:rPr>
          <w:sz w:val="28"/>
          <w:szCs w:val="28"/>
          <w:lang w:val="ro-MD"/>
        </w:rPr>
        <w:lastRenderedPageBreak/>
        <w:t xml:space="preserve">Proiectul </w:t>
      </w:r>
      <w:r w:rsidR="006F6AFD" w:rsidRPr="009349F2">
        <w:rPr>
          <w:sz w:val="28"/>
          <w:szCs w:val="28"/>
          <w:lang w:val="ro-MD"/>
        </w:rPr>
        <w:t>va fi</w:t>
      </w:r>
      <w:r w:rsidRPr="009349F2">
        <w:rPr>
          <w:sz w:val="28"/>
          <w:szCs w:val="28"/>
          <w:lang w:val="ro-MD"/>
        </w:rPr>
        <w:t xml:space="preserve"> supus avizării și consultării publice conform art. 32 din Legea 100/2017 cu privire la actele normative. </w:t>
      </w:r>
    </w:p>
    <w:p w:rsidR="0070393F" w:rsidRPr="009349F2" w:rsidRDefault="0070393F" w:rsidP="0070393F">
      <w:pPr>
        <w:autoSpaceDE w:val="0"/>
        <w:ind w:firstLine="708"/>
        <w:jc w:val="both"/>
        <w:rPr>
          <w:b/>
          <w:i/>
          <w:sz w:val="28"/>
          <w:szCs w:val="28"/>
          <w:lang w:val="ro-MD"/>
        </w:rPr>
      </w:pPr>
      <w:r w:rsidRPr="009349F2">
        <w:rPr>
          <w:b/>
          <w:i/>
          <w:sz w:val="28"/>
          <w:szCs w:val="28"/>
          <w:lang w:val="ro-MD"/>
        </w:rPr>
        <w:t xml:space="preserve">8.Constatările expertizei anticorupție </w:t>
      </w:r>
    </w:p>
    <w:p w:rsidR="0070393F" w:rsidRPr="009349F2" w:rsidRDefault="0070393F" w:rsidP="0070393F">
      <w:pPr>
        <w:autoSpaceDE w:val="0"/>
        <w:ind w:firstLine="708"/>
        <w:jc w:val="both"/>
        <w:rPr>
          <w:b/>
          <w:i/>
          <w:sz w:val="28"/>
          <w:szCs w:val="28"/>
          <w:lang w:val="ro-MD"/>
        </w:rPr>
      </w:pPr>
      <w:r w:rsidRPr="009349F2">
        <w:rPr>
          <w:sz w:val="28"/>
          <w:szCs w:val="28"/>
          <w:lang w:val="ro-MD"/>
        </w:rPr>
        <w:t xml:space="preserve">Proiectul </w:t>
      </w:r>
      <w:r w:rsidR="00BD54C2" w:rsidRPr="009349F2">
        <w:rPr>
          <w:sz w:val="28"/>
          <w:szCs w:val="28"/>
          <w:lang w:val="ro-MD"/>
        </w:rPr>
        <w:t>va fi</w:t>
      </w:r>
      <w:r w:rsidRPr="009349F2">
        <w:rPr>
          <w:sz w:val="28"/>
          <w:szCs w:val="28"/>
          <w:lang w:val="ro-MD"/>
        </w:rPr>
        <w:t xml:space="preserve"> supus expertizei anticorupție confo</w:t>
      </w:r>
      <w:r w:rsidR="00BD54C2" w:rsidRPr="009349F2">
        <w:rPr>
          <w:sz w:val="28"/>
          <w:szCs w:val="28"/>
          <w:lang w:val="ro-MD"/>
        </w:rPr>
        <w:t>rm art. 35 din Legea 100/2017.</w:t>
      </w:r>
      <w:r w:rsidRPr="009349F2">
        <w:rPr>
          <w:sz w:val="28"/>
          <w:szCs w:val="28"/>
          <w:lang w:val="ro-MD"/>
        </w:rPr>
        <w:t xml:space="preserve"> </w:t>
      </w:r>
    </w:p>
    <w:p w:rsidR="0070393F" w:rsidRPr="009349F2" w:rsidRDefault="0070393F" w:rsidP="0070393F">
      <w:pPr>
        <w:autoSpaceDE w:val="0"/>
        <w:ind w:firstLine="708"/>
        <w:jc w:val="both"/>
        <w:rPr>
          <w:b/>
          <w:i/>
          <w:sz w:val="28"/>
          <w:szCs w:val="28"/>
          <w:lang w:val="ro-MD"/>
        </w:rPr>
      </w:pPr>
      <w:r w:rsidRPr="009349F2">
        <w:rPr>
          <w:b/>
          <w:i/>
          <w:sz w:val="28"/>
          <w:szCs w:val="28"/>
          <w:lang w:val="ro-MD"/>
        </w:rPr>
        <w:t xml:space="preserve">9.Constatările expertizei de compatibilitate </w:t>
      </w:r>
    </w:p>
    <w:p w:rsidR="0070393F" w:rsidRPr="009349F2" w:rsidRDefault="0070393F" w:rsidP="0070393F">
      <w:pPr>
        <w:autoSpaceDE w:val="0"/>
        <w:ind w:firstLine="708"/>
        <w:jc w:val="both"/>
        <w:rPr>
          <w:sz w:val="28"/>
          <w:szCs w:val="28"/>
          <w:lang w:val="ro-MD"/>
        </w:rPr>
      </w:pPr>
      <w:r w:rsidRPr="009349F2">
        <w:rPr>
          <w:sz w:val="28"/>
          <w:szCs w:val="28"/>
          <w:lang w:val="ro-MD"/>
        </w:rPr>
        <w:t>Prezentul proiect nu conține norme privind armonizarea legislației naționale cu legislația Uniunii Europene.</w:t>
      </w:r>
    </w:p>
    <w:p w:rsidR="0070393F" w:rsidRPr="009349F2" w:rsidRDefault="0070393F" w:rsidP="0070393F">
      <w:pPr>
        <w:autoSpaceDE w:val="0"/>
        <w:ind w:firstLine="708"/>
        <w:jc w:val="both"/>
        <w:rPr>
          <w:b/>
          <w:i/>
          <w:sz w:val="28"/>
          <w:szCs w:val="28"/>
          <w:lang w:val="ro-MD"/>
        </w:rPr>
      </w:pPr>
      <w:r w:rsidRPr="009349F2">
        <w:rPr>
          <w:b/>
          <w:i/>
          <w:sz w:val="28"/>
          <w:szCs w:val="28"/>
          <w:lang w:val="ro-MD"/>
        </w:rPr>
        <w:t xml:space="preserve">10.Constatările expertizei juridice </w:t>
      </w:r>
    </w:p>
    <w:p w:rsidR="0070393F" w:rsidRPr="009349F2" w:rsidRDefault="0070393F" w:rsidP="0070393F">
      <w:pPr>
        <w:autoSpaceDE w:val="0"/>
        <w:ind w:firstLine="708"/>
        <w:jc w:val="both"/>
        <w:rPr>
          <w:sz w:val="28"/>
          <w:szCs w:val="28"/>
          <w:lang w:val="ro-MD"/>
        </w:rPr>
      </w:pPr>
      <w:r w:rsidRPr="009349F2">
        <w:rPr>
          <w:sz w:val="28"/>
          <w:szCs w:val="28"/>
          <w:lang w:val="ro-MD"/>
        </w:rPr>
        <w:t xml:space="preserve">Proiectul </w:t>
      </w:r>
      <w:r w:rsidR="00335623" w:rsidRPr="009349F2">
        <w:rPr>
          <w:sz w:val="28"/>
          <w:szCs w:val="28"/>
          <w:lang w:val="ro-MD"/>
        </w:rPr>
        <w:t>va fi</w:t>
      </w:r>
      <w:r w:rsidRPr="009349F2">
        <w:rPr>
          <w:sz w:val="28"/>
          <w:szCs w:val="28"/>
          <w:lang w:val="ro-MD"/>
        </w:rPr>
        <w:t xml:space="preserve"> supus expertizei juridice conform art. 37 din Legea 100/2017. </w:t>
      </w:r>
    </w:p>
    <w:p w:rsidR="0070393F" w:rsidRDefault="0070393F" w:rsidP="0070393F">
      <w:pPr>
        <w:rPr>
          <w:lang w:val="ro-MD"/>
        </w:rPr>
      </w:pPr>
    </w:p>
    <w:p w:rsidR="004A1E0A" w:rsidRDefault="004A1E0A" w:rsidP="0070393F">
      <w:pPr>
        <w:rPr>
          <w:lang w:val="ro-MD"/>
        </w:rPr>
      </w:pPr>
    </w:p>
    <w:p w:rsidR="004A1E0A" w:rsidRDefault="004A1E0A" w:rsidP="0070393F">
      <w:pPr>
        <w:rPr>
          <w:lang w:val="ro-MD"/>
        </w:rPr>
      </w:pPr>
    </w:p>
    <w:p w:rsidR="00F816DD" w:rsidRDefault="00F816DD" w:rsidP="0070393F">
      <w:pPr>
        <w:rPr>
          <w:lang w:val="ro-MD"/>
        </w:rPr>
      </w:pPr>
    </w:p>
    <w:p w:rsidR="00F816DD" w:rsidRDefault="00F816DD" w:rsidP="0070393F">
      <w:pPr>
        <w:rPr>
          <w:lang w:val="ro-MD"/>
        </w:rPr>
      </w:pPr>
    </w:p>
    <w:p w:rsidR="004A1E0A" w:rsidRPr="009349F2" w:rsidRDefault="004A1E0A" w:rsidP="0070393F">
      <w:pPr>
        <w:rPr>
          <w:lang w:val="ro-MD"/>
        </w:rPr>
      </w:pPr>
    </w:p>
    <w:p w:rsidR="00715E14" w:rsidRDefault="00715E14" w:rsidP="00715E14">
      <w:pPr>
        <w:ind w:firstLine="424"/>
        <w:jc w:val="both"/>
        <w:rPr>
          <w:sz w:val="28"/>
          <w:szCs w:val="28"/>
          <w:lang w:val="ro-MD"/>
        </w:rPr>
      </w:pPr>
      <w:r w:rsidRPr="00715E14">
        <w:rPr>
          <w:rFonts w:eastAsia="Calibri"/>
          <w:b/>
          <w:sz w:val="28"/>
          <w:szCs w:val="28"/>
          <w:lang w:val="en-US"/>
        </w:rPr>
        <w:t>Secretar de Stat</w:t>
      </w:r>
      <w:r w:rsidRPr="00715E14">
        <w:rPr>
          <w:rFonts w:eastAsia="Calibri"/>
          <w:b/>
          <w:sz w:val="28"/>
          <w:szCs w:val="28"/>
          <w:lang w:val="en-US"/>
        </w:rPr>
        <w:tab/>
      </w:r>
      <w:r w:rsidRPr="00715E14">
        <w:rPr>
          <w:rFonts w:eastAsia="Calibri"/>
          <w:b/>
          <w:sz w:val="28"/>
          <w:szCs w:val="28"/>
          <w:lang w:val="en-US"/>
        </w:rPr>
        <w:tab/>
      </w:r>
      <w:r w:rsidRPr="00715E14">
        <w:rPr>
          <w:rFonts w:eastAsia="Calibri"/>
          <w:b/>
          <w:sz w:val="28"/>
          <w:szCs w:val="28"/>
          <w:lang w:val="en-US"/>
        </w:rPr>
        <w:tab/>
      </w:r>
      <w:r w:rsidRPr="00715E14">
        <w:rPr>
          <w:rFonts w:eastAsia="Calibri"/>
          <w:b/>
          <w:sz w:val="28"/>
          <w:szCs w:val="28"/>
          <w:lang w:val="en-US"/>
        </w:rPr>
        <w:tab/>
      </w:r>
      <w:r w:rsidRPr="00715E14">
        <w:rPr>
          <w:rFonts w:eastAsia="Calibri"/>
          <w:b/>
          <w:sz w:val="28"/>
          <w:szCs w:val="28"/>
          <w:lang w:val="en-US"/>
        </w:rPr>
        <w:tab/>
      </w:r>
      <w:r w:rsidRPr="00715E14">
        <w:rPr>
          <w:rFonts w:eastAsia="Calibri"/>
          <w:b/>
          <w:sz w:val="28"/>
          <w:szCs w:val="28"/>
          <w:lang w:val="en-US"/>
        </w:rPr>
        <w:tab/>
        <w:t xml:space="preserve"> Mihail MACHIDON</w:t>
      </w:r>
    </w:p>
    <w:p w:rsidR="00715E14" w:rsidRDefault="00715E14" w:rsidP="00715E14">
      <w:pPr>
        <w:ind w:left="284" w:firstLine="708"/>
        <w:jc w:val="both"/>
        <w:rPr>
          <w:sz w:val="28"/>
          <w:szCs w:val="28"/>
          <w:lang w:val="ro-MD"/>
        </w:rPr>
      </w:pPr>
    </w:p>
    <w:p w:rsidR="00F816DD" w:rsidRPr="00F816DD" w:rsidRDefault="00F816DD" w:rsidP="00F816DD">
      <w:pPr>
        <w:spacing w:line="276" w:lineRule="auto"/>
        <w:ind w:right="-330"/>
        <w:jc w:val="both"/>
        <w:rPr>
          <w:rFonts w:eastAsia="Calibri"/>
          <w:b/>
          <w:color w:val="000000"/>
          <w:sz w:val="28"/>
          <w:szCs w:val="28"/>
          <w:lang w:val="ro-RO" w:eastAsia="en-US"/>
        </w:rPr>
      </w:pPr>
    </w:p>
    <w:p w:rsidR="00F816DD" w:rsidRDefault="00F816DD" w:rsidP="00F816DD">
      <w:pPr>
        <w:spacing w:line="259" w:lineRule="auto"/>
        <w:ind w:right="-330" w:firstLine="709"/>
        <w:jc w:val="both"/>
        <w:rPr>
          <w:rFonts w:eastAsia="Calibri" w:cstheme="minorBidi"/>
          <w:sz w:val="28"/>
          <w:szCs w:val="28"/>
          <w:lang w:val="ro-MD" w:eastAsia="en-US"/>
        </w:rPr>
      </w:pPr>
    </w:p>
    <w:p w:rsidR="00F816DD" w:rsidRPr="00F816DD" w:rsidRDefault="00F816DD" w:rsidP="00F816DD">
      <w:pPr>
        <w:spacing w:line="259" w:lineRule="auto"/>
        <w:ind w:right="-330" w:firstLine="709"/>
        <w:jc w:val="both"/>
        <w:rPr>
          <w:rFonts w:eastAsia="Calibri" w:cstheme="minorBidi"/>
          <w:sz w:val="28"/>
          <w:szCs w:val="28"/>
          <w:lang w:val="ro-MD" w:eastAsia="en-US"/>
        </w:rPr>
      </w:pPr>
    </w:p>
    <w:tbl>
      <w:tblPr>
        <w:tblStyle w:val="1"/>
        <w:tblW w:w="9356" w:type="dxa"/>
        <w:tblInd w:w="-5" w:type="dxa"/>
        <w:tblLook w:val="04A0" w:firstRow="1" w:lastRow="0" w:firstColumn="1" w:lastColumn="0" w:noHBand="0" w:noVBand="1"/>
      </w:tblPr>
      <w:tblGrid>
        <w:gridCol w:w="2175"/>
        <w:gridCol w:w="2670"/>
        <w:gridCol w:w="2000"/>
        <w:gridCol w:w="2511"/>
      </w:tblGrid>
      <w:tr w:rsidR="00F816DD" w:rsidRPr="00F816DD" w:rsidTr="00ED63B6">
        <w:tc>
          <w:tcPr>
            <w:tcW w:w="2175" w:type="dxa"/>
          </w:tcPr>
          <w:p w:rsidR="00F816DD" w:rsidRPr="00F816DD" w:rsidRDefault="00F816DD" w:rsidP="00F816DD">
            <w:pPr>
              <w:ind w:right="-330"/>
              <w:jc w:val="both"/>
              <w:rPr>
                <w:rFonts w:eastAsia="Calibri"/>
                <w:sz w:val="28"/>
                <w:szCs w:val="28"/>
                <w:lang w:val="ro-MD" w:eastAsia="en-US"/>
              </w:rPr>
            </w:pPr>
          </w:p>
        </w:tc>
        <w:tc>
          <w:tcPr>
            <w:tcW w:w="2670" w:type="dxa"/>
          </w:tcPr>
          <w:p w:rsidR="00F816DD" w:rsidRPr="00F816DD" w:rsidRDefault="00F816DD" w:rsidP="00F816DD">
            <w:pPr>
              <w:ind w:right="-330"/>
              <w:jc w:val="center"/>
              <w:rPr>
                <w:rFonts w:eastAsia="Calibri"/>
                <w:sz w:val="28"/>
                <w:szCs w:val="28"/>
                <w:lang w:val="ro-MD" w:eastAsia="en-US"/>
              </w:rPr>
            </w:pPr>
            <w:r w:rsidRPr="00F816DD">
              <w:rPr>
                <w:rFonts w:eastAsia="Calibri"/>
                <w:sz w:val="28"/>
                <w:szCs w:val="28"/>
                <w:lang w:val="ro-MD" w:eastAsia="en-US"/>
              </w:rPr>
              <w:t>Numele/prenumele</w:t>
            </w:r>
          </w:p>
        </w:tc>
        <w:tc>
          <w:tcPr>
            <w:tcW w:w="2000" w:type="dxa"/>
          </w:tcPr>
          <w:p w:rsidR="00F816DD" w:rsidRPr="00F816DD" w:rsidRDefault="00F816DD" w:rsidP="00F816DD">
            <w:pPr>
              <w:ind w:right="-330"/>
              <w:jc w:val="center"/>
              <w:rPr>
                <w:rFonts w:eastAsia="Calibri"/>
                <w:sz w:val="28"/>
                <w:szCs w:val="28"/>
                <w:lang w:val="ro-MD" w:eastAsia="en-US"/>
              </w:rPr>
            </w:pPr>
            <w:r w:rsidRPr="00F816DD">
              <w:rPr>
                <w:rFonts w:eastAsia="Calibri"/>
                <w:sz w:val="28"/>
                <w:szCs w:val="28"/>
                <w:lang w:val="ro-MD" w:eastAsia="en-US"/>
              </w:rPr>
              <w:t>Semnătura</w:t>
            </w:r>
          </w:p>
        </w:tc>
        <w:tc>
          <w:tcPr>
            <w:tcW w:w="2511" w:type="dxa"/>
          </w:tcPr>
          <w:p w:rsidR="00F816DD" w:rsidRPr="00F816DD" w:rsidRDefault="00F816DD" w:rsidP="00F816DD">
            <w:pPr>
              <w:ind w:right="-330"/>
              <w:jc w:val="center"/>
              <w:rPr>
                <w:rFonts w:eastAsia="Calibri"/>
                <w:sz w:val="28"/>
                <w:szCs w:val="28"/>
                <w:lang w:val="ro-MD" w:eastAsia="en-US"/>
              </w:rPr>
            </w:pPr>
            <w:r w:rsidRPr="00F816DD">
              <w:rPr>
                <w:rFonts w:eastAsia="Calibri"/>
                <w:sz w:val="28"/>
                <w:szCs w:val="28"/>
                <w:lang w:val="ro-MD" w:eastAsia="en-US"/>
              </w:rPr>
              <w:t>Data</w:t>
            </w:r>
          </w:p>
        </w:tc>
      </w:tr>
      <w:tr w:rsidR="00F816DD" w:rsidRPr="00F816DD" w:rsidTr="00ED63B6">
        <w:tc>
          <w:tcPr>
            <w:tcW w:w="2175" w:type="dxa"/>
          </w:tcPr>
          <w:p w:rsidR="00F816DD" w:rsidRPr="00F816DD" w:rsidRDefault="00F816DD" w:rsidP="00F816DD">
            <w:pPr>
              <w:ind w:right="-330"/>
              <w:jc w:val="both"/>
              <w:rPr>
                <w:rFonts w:eastAsia="Calibri"/>
                <w:sz w:val="28"/>
                <w:szCs w:val="28"/>
                <w:lang w:val="ro-MD" w:eastAsia="en-US"/>
              </w:rPr>
            </w:pPr>
            <w:r w:rsidRPr="00F816DD">
              <w:rPr>
                <w:rFonts w:eastAsia="Calibri"/>
                <w:sz w:val="28"/>
                <w:szCs w:val="28"/>
                <w:lang w:val="ro-MD" w:eastAsia="en-US"/>
              </w:rPr>
              <w:t>Executat/elaborat</w:t>
            </w:r>
          </w:p>
        </w:tc>
        <w:tc>
          <w:tcPr>
            <w:tcW w:w="2670" w:type="dxa"/>
          </w:tcPr>
          <w:p w:rsidR="00F816DD" w:rsidRPr="00F816DD" w:rsidRDefault="00F816DD" w:rsidP="00F816DD">
            <w:pPr>
              <w:ind w:right="-330"/>
              <w:jc w:val="center"/>
              <w:rPr>
                <w:rFonts w:eastAsia="Calibri"/>
                <w:sz w:val="28"/>
                <w:szCs w:val="28"/>
                <w:lang w:val="ro-MD" w:eastAsia="en-US"/>
              </w:rPr>
            </w:pPr>
            <w:r w:rsidRPr="00F816DD">
              <w:rPr>
                <w:rFonts w:eastAsia="Times New Roman"/>
                <w:color w:val="000000"/>
                <w:sz w:val="28"/>
                <w:szCs w:val="28"/>
                <w:lang w:val="ro-MD" w:eastAsia="en-US"/>
              </w:rPr>
              <w:t xml:space="preserve">Nicolai </w:t>
            </w:r>
            <w:proofErr w:type="spellStart"/>
            <w:r w:rsidRPr="00F816DD">
              <w:rPr>
                <w:rFonts w:eastAsia="Times New Roman"/>
                <w:color w:val="000000"/>
                <w:sz w:val="28"/>
                <w:szCs w:val="28"/>
                <w:lang w:val="ro-MD" w:eastAsia="en-US"/>
              </w:rPr>
              <w:t>Fiodorov</w:t>
            </w:r>
            <w:proofErr w:type="spellEnd"/>
          </w:p>
        </w:tc>
        <w:tc>
          <w:tcPr>
            <w:tcW w:w="2000" w:type="dxa"/>
          </w:tcPr>
          <w:p w:rsidR="00F816DD" w:rsidRPr="00F816DD" w:rsidRDefault="00F816DD" w:rsidP="00F816DD">
            <w:pPr>
              <w:ind w:right="-330"/>
              <w:jc w:val="both"/>
              <w:rPr>
                <w:rFonts w:eastAsia="Calibri"/>
                <w:sz w:val="28"/>
                <w:szCs w:val="28"/>
                <w:lang w:val="ro-MD" w:eastAsia="en-US"/>
              </w:rPr>
            </w:pPr>
          </w:p>
        </w:tc>
        <w:tc>
          <w:tcPr>
            <w:tcW w:w="2511" w:type="dxa"/>
            <w:vMerge w:val="restart"/>
            <w:vAlign w:val="center"/>
          </w:tcPr>
          <w:p w:rsidR="00F816DD" w:rsidRPr="00F816DD" w:rsidRDefault="00F816DD" w:rsidP="00F816DD">
            <w:pPr>
              <w:ind w:right="-330"/>
              <w:jc w:val="center"/>
              <w:rPr>
                <w:rFonts w:eastAsia="Calibri"/>
                <w:sz w:val="28"/>
                <w:szCs w:val="28"/>
                <w:lang w:val="ro-MD" w:eastAsia="en-US"/>
              </w:rPr>
            </w:pPr>
            <w:r w:rsidRPr="00F816DD">
              <w:rPr>
                <w:rFonts w:eastAsia="Calibri"/>
                <w:sz w:val="28"/>
                <w:szCs w:val="28"/>
                <w:lang w:val="ro-MD" w:eastAsia="en-US"/>
              </w:rPr>
              <w:t>06.03.2020</w:t>
            </w:r>
          </w:p>
        </w:tc>
      </w:tr>
      <w:tr w:rsidR="00F816DD" w:rsidRPr="00F816DD" w:rsidTr="00ED63B6">
        <w:trPr>
          <w:trHeight w:val="377"/>
        </w:trPr>
        <w:tc>
          <w:tcPr>
            <w:tcW w:w="2175" w:type="dxa"/>
          </w:tcPr>
          <w:p w:rsidR="00F816DD" w:rsidRPr="00F816DD" w:rsidRDefault="00F816DD" w:rsidP="00F816DD">
            <w:pPr>
              <w:ind w:right="-330"/>
              <w:jc w:val="both"/>
              <w:rPr>
                <w:rFonts w:eastAsia="Calibri"/>
                <w:sz w:val="28"/>
                <w:szCs w:val="28"/>
                <w:lang w:val="ro-MD" w:eastAsia="en-US"/>
              </w:rPr>
            </w:pPr>
            <w:r w:rsidRPr="00F816DD">
              <w:rPr>
                <w:rFonts w:eastAsia="Calibri"/>
                <w:sz w:val="28"/>
                <w:szCs w:val="28"/>
                <w:lang w:val="ro-MD" w:eastAsia="en-US"/>
              </w:rPr>
              <w:t>Coordonat/vizat</w:t>
            </w:r>
          </w:p>
        </w:tc>
        <w:tc>
          <w:tcPr>
            <w:tcW w:w="2670" w:type="dxa"/>
          </w:tcPr>
          <w:p w:rsidR="00F816DD" w:rsidRPr="00F816DD" w:rsidRDefault="00F816DD" w:rsidP="00F816DD">
            <w:pPr>
              <w:ind w:right="-330"/>
              <w:jc w:val="center"/>
              <w:rPr>
                <w:rFonts w:eastAsia="Times New Roman"/>
                <w:color w:val="000000"/>
                <w:sz w:val="28"/>
                <w:szCs w:val="28"/>
                <w:lang w:val="ro-MD" w:eastAsia="en-US"/>
              </w:rPr>
            </w:pPr>
            <w:r w:rsidRPr="00F816DD">
              <w:rPr>
                <w:rFonts w:eastAsia="Times New Roman"/>
                <w:color w:val="000000"/>
                <w:sz w:val="28"/>
                <w:szCs w:val="28"/>
                <w:lang w:val="ro-MD" w:eastAsia="en-US"/>
              </w:rPr>
              <w:t xml:space="preserve">Vitalie </w:t>
            </w:r>
            <w:proofErr w:type="spellStart"/>
            <w:r w:rsidRPr="00F816DD">
              <w:rPr>
                <w:rFonts w:eastAsia="Times New Roman"/>
                <w:color w:val="000000"/>
                <w:sz w:val="28"/>
                <w:szCs w:val="28"/>
                <w:lang w:val="ro-MD" w:eastAsia="en-US"/>
              </w:rPr>
              <w:t>Dragan</w:t>
            </w:r>
            <w:proofErr w:type="spellEnd"/>
          </w:p>
        </w:tc>
        <w:tc>
          <w:tcPr>
            <w:tcW w:w="2000" w:type="dxa"/>
          </w:tcPr>
          <w:p w:rsidR="00F816DD" w:rsidRPr="00F816DD" w:rsidRDefault="00F816DD" w:rsidP="00F816DD">
            <w:pPr>
              <w:ind w:right="-330"/>
              <w:jc w:val="both"/>
              <w:rPr>
                <w:rFonts w:eastAsia="Calibri"/>
                <w:sz w:val="28"/>
                <w:szCs w:val="28"/>
                <w:lang w:val="ro-MD" w:eastAsia="en-US"/>
              </w:rPr>
            </w:pPr>
          </w:p>
        </w:tc>
        <w:tc>
          <w:tcPr>
            <w:tcW w:w="2511" w:type="dxa"/>
            <w:vMerge/>
          </w:tcPr>
          <w:p w:rsidR="00F816DD" w:rsidRPr="00F816DD" w:rsidRDefault="00F816DD" w:rsidP="00F816DD">
            <w:pPr>
              <w:ind w:right="-330"/>
              <w:jc w:val="both"/>
              <w:rPr>
                <w:rFonts w:eastAsia="Calibri"/>
                <w:sz w:val="28"/>
                <w:szCs w:val="28"/>
                <w:lang w:val="ro-MD" w:eastAsia="en-US"/>
              </w:rPr>
            </w:pPr>
          </w:p>
        </w:tc>
      </w:tr>
    </w:tbl>
    <w:p w:rsidR="00F816DD" w:rsidRPr="00F816DD" w:rsidRDefault="00F816DD" w:rsidP="00F816DD">
      <w:pPr>
        <w:spacing w:after="160" w:line="259" w:lineRule="auto"/>
        <w:ind w:right="-330"/>
        <w:rPr>
          <w:rFonts w:asciiTheme="minorHAnsi" w:eastAsiaTheme="minorHAnsi" w:hAnsiTheme="minorHAnsi" w:cstheme="minorBidi"/>
          <w:sz w:val="22"/>
          <w:szCs w:val="22"/>
          <w:lang w:val="ro-RO" w:eastAsia="en-US"/>
        </w:rPr>
      </w:pPr>
    </w:p>
    <w:p w:rsidR="00E24AC3" w:rsidRPr="004A1E0A" w:rsidRDefault="00E24AC3">
      <w:pPr>
        <w:rPr>
          <w:lang w:val="ro-RO"/>
        </w:rPr>
      </w:pPr>
    </w:p>
    <w:sectPr w:rsidR="00E24AC3" w:rsidRPr="004A1E0A" w:rsidSect="006B6C99">
      <w:footerReference w:type="even" r:id="rId6"/>
      <w:footerReference w:type="default" r:id="rId7"/>
      <w:pgSz w:w="11906" w:h="16838"/>
      <w:pgMar w:top="1418" w:right="964" w:bottom="1418" w:left="181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374" w:rsidRDefault="000E2374">
      <w:r>
        <w:separator/>
      </w:r>
    </w:p>
  </w:endnote>
  <w:endnote w:type="continuationSeparator" w:id="0">
    <w:p w:rsidR="000E2374" w:rsidRDefault="000E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Albertina-Bold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43" w:rsidRDefault="00040BFB" w:rsidP="006B038E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777443" w:rsidRDefault="000E2374" w:rsidP="004F53D1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43" w:rsidRPr="006B4530" w:rsidRDefault="000E2374" w:rsidP="006B038E">
    <w:pPr>
      <w:pStyle w:val="Subsol"/>
      <w:framePr w:wrap="around" w:vAnchor="text" w:hAnchor="margin" w:xAlign="right" w:y="1"/>
      <w:rPr>
        <w:rStyle w:val="Numrdepagin"/>
        <w:lang w:val="ro-RO"/>
      </w:rPr>
    </w:pPr>
  </w:p>
  <w:p w:rsidR="00777443" w:rsidRDefault="000E2374" w:rsidP="004F53D1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374" w:rsidRDefault="000E2374">
      <w:r>
        <w:separator/>
      </w:r>
    </w:p>
  </w:footnote>
  <w:footnote w:type="continuationSeparator" w:id="0">
    <w:p w:rsidR="000E2374" w:rsidRDefault="000E2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20C"/>
    <w:rsid w:val="0000586B"/>
    <w:rsid w:val="00040644"/>
    <w:rsid w:val="00040BFB"/>
    <w:rsid w:val="000B010A"/>
    <w:rsid w:val="000B0C76"/>
    <w:rsid w:val="000E2374"/>
    <w:rsid w:val="001423C0"/>
    <w:rsid w:val="0026320C"/>
    <w:rsid w:val="002978F1"/>
    <w:rsid w:val="002E24A4"/>
    <w:rsid w:val="00312366"/>
    <w:rsid w:val="00331A5B"/>
    <w:rsid w:val="00335623"/>
    <w:rsid w:val="003A6500"/>
    <w:rsid w:val="004127D3"/>
    <w:rsid w:val="00413A93"/>
    <w:rsid w:val="00413EAA"/>
    <w:rsid w:val="00421FA4"/>
    <w:rsid w:val="004737D4"/>
    <w:rsid w:val="004A1E0A"/>
    <w:rsid w:val="004F3CD8"/>
    <w:rsid w:val="005A6ECD"/>
    <w:rsid w:val="005B1E85"/>
    <w:rsid w:val="00646E87"/>
    <w:rsid w:val="00682CDD"/>
    <w:rsid w:val="006F6AFD"/>
    <w:rsid w:val="0070393F"/>
    <w:rsid w:val="00715E14"/>
    <w:rsid w:val="007A59BD"/>
    <w:rsid w:val="007E72E2"/>
    <w:rsid w:val="00802B6E"/>
    <w:rsid w:val="008C0E39"/>
    <w:rsid w:val="008D433B"/>
    <w:rsid w:val="00915F19"/>
    <w:rsid w:val="009349F2"/>
    <w:rsid w:val="0093511B"/>
    <w:rsid w:val="0094304D"/>
    <w:rsid w:val="009A1689"/>
    <w:rsid w:val="009B3582"/>
    <w:rsid w:val="00A602CA"/>
    <w:rsid w:val="00AC2185"/>
    <w:rsid w:val="00B012E5"/>
    <w:rsid w:val="00B37038"/>
    <w:rsid w:val="00B61E09"/>
    <w:rsid w:val="00BB2F28"/>
    <w:rsid w:val="00BB5786"/>
    <w:rsid w:val="00BD54C2"/>
    <w:rsid w:val="00BF5CF1"/>
    <w:rsid w:val="00CA4973"/>
    <w:rsid w:val="00CC331B"/>
    <w:rsid w:val="00E208F2"/>
    <w:rsid w:val="00E24AC3"/>
    <w:rsid w:val="00E463CF"/>
    <w:rsid w:val="00E905C9"/>
    <w:rsid w:val="00EC3B6D"/>
    <w:rsid w:val="00F8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D08CB-6265-4972-B05B-1FCB0ABE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93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rsid w:val="0070393F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rsid w:val="0070393F"/>
    <w:rPr>
      <w:rFonts w:ascii="Times New Roman" w:eastAsia="MS Mincho" w:hAnsi="Times New Roman" w:cs="Times New Roman"/>
      <w:sz w:val="24"/>
      <w:szCs w:val="24"/>
      <w:lang w:val="ru-RU" w:eastAsia="ja-JP"/>
    </w:rPr>
  </w:style>
  <w:style w:type="character" w:styleId="Numrdepagin">
    <w:name w:val="page number"/>
    <w:basedOn w:val="Fontdeparagrafimplicit"/>
    <w:rsid w:val="0070393F"/>
  </w:style>
  <w:style w:type="paragraph" w:styleId="Frspaiere">
    <w:name w:val="No Spacing"/>
    <w:uiPriority w:val="1"/>
    <w:qFormat/>
    <w:rsid w:val="003A650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A1E0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A1E0A"/>
    <w:rPr>
      <w:rFonts w:ascii="Segoe UI" w:eastAsia="MS Mincho" w:hAnsi="Segoe UI" w:cs="Segoe UI"/>
      <w:sz w:val="18"/>
      <w:szCs w:val="18"/>
      <w:lang w:val="ru-RU" w:eastAsia="ja-JP"/>
    </w:rPr>
  </w:style>
  <w:style w:type="table" w:customStyle="1" w:styleId="1">
    <w:name w:val="Сетка таблицы1"/>
    <w:basedOn w:val="TabelNormal"/>
    <w:next w:val="Tabelgril"/>
    <w:uiPriority w:val="59"/>
    <w:rsid w:val="00F816D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gril">
    <w:name w:val="Table Grid"/>
    <w:basedOn w:val="TabelNormal"/>
    <w:uiPriority w:val="39"/>
    <w:rsid w:val="00F81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459</Words>
  <Characters>2667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2020-03-06T07:59:00Z</cp:lastPrinted>
  <dcterms:created xsi:type="dcterms:W3CDTF">2020-03-05T09:46:00Z</dcterms:created>
  <dcterms:modified xsi:type="dcterms:W3CDTF">2020-03-09T07:54:00Z</dcterms:modified>
</cp:coreProperties>
</file>