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FB" w:rsidRPr="00ED4F3A" w:rsidRDefault="00C42DFB" w:rsidP="00C42D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ED4F3A">
        <w:rPr>
          <w:rFonts w:ascii="Times New Roman" w:hAnsi="Times New Roman" w:cs="Times New Roman"/>
          <w:b/>
          <w:sz w:val="26"/>
          <w:szCs w:val="26"/>
          <w:lang w:val="ro-RO"/>
        </w:rPr>
        <w:t>Nota informativă la proiectul Hotărîrii Guvernului cu privire la modificarea Hotărîrii Guvernului nr. 1232/2016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9"/>
      </w:tblGrid>
      <w:tr w:rsidR="00C42DFB" w:rsidRPr="00914DC3" w:rsidTr="006A276D">
        <w:tc>
          <w:tcPr>
            <w:tcW w:w="9345" w:type="dxa"/>
          </w:tcPr>
          <w:p w:rsidR="00C42DFB" w:rsidRPr="00FE1291" w:rsidRDefault="00C42DFB" w:rsidP="006A27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Default="00C42DFB" w:rsidP="006A276D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Direcția transport,</w:t>
            </w: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Serviciu transport feroviar</w:t>
            </w:r>
            <w:r w:rsidR="00A03B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42DFB" w:rsidRPr="00FE1291" w:rsidRDefault="00C42DFB" w:rsidP="00C42DFB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Cancelaria de Stat, Biroul Politici de Reintegrare.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Pr="00FE1291" w:rsidRDefault="00C42DFB" w:rsidP="006A27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C42DFB" w:rsidRPr="00914DC3" w:rsidTr="00C42DFB">
        <w:trPr>
          <w:trHeight w:val="510"/>
        </w:trPr>
        <w:tc>
          <w:tcPr>
            <w:tcW w:w="9345" w:type="dxa"/>
          </w:tcPr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Începând cu luna august 2016,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autoritățile din 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Ucraina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sistat importul produselor petroliere pentru regiunea transnistreană prin intermediul căilor ferate, prin punctele de trecere „Slobodca” și „Cuciurgan”. Astfel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traficul produselor petroliere a fost redirecționat prin punctul de trecere „Ocnița", ulterior fiind transportate la stațiile de cale ferată „Rîbnița” și „Bender 2".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aceste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considerente, de către Biroul Politici de R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eintegrare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promovată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Hotărârea de Guvern nr. 1232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 „Cu privire la unele aspecte de introducere a produselor petroliere prin frontiera de est", care prevedea vămuirea la postul vamal „Bender - 2” a produselor petroliere introduse prin punctul de trecere a fro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ntierei de stat „Novosavițkaia-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Cuciurgan” pînă la data de 31 decembrie 2016.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 a fost soluționată parțial problema introducerii produselor petroliere în regiunea transnistreană.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30 decembrie 2016 pârțile au prelungit termenul de valabilitate a Deciziei protocolare „Privind principiile reluării plenare a circulației trenurilor marfare prin regiunea transnistreană” până la data de 31 decembrie 2017.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Ținând cont de faptul că Hotărârea de Guvern nr. 1232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2016 era în vigoare până la 31 decembrie 2016, termenul a fost modificat prin hotărâre de Guvern până la data de 01 iulie 2017, iar prin hotărârea nr. 480 din 28 iunie 2017 termenul a fost prelungit până la 31 decembrie 2017.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Aceiași procedură a fost desfășurată și pentru anul 2018. A fost prelungit termenul de valabilitate al Deciziei protocolare „Privind principiile reluării plenare a circulației trenurilor marfare prin regiunea transnistreană” până la data de 31 decembrie 2018, iar termenul de acțiune a Hotărârii de Guvern nr. 1232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/2016 a fost prelungit prin H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otărîrile Guvernului nr. 38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 și nr. 557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20.06.2018 pănă la 31 decembrie 2018.</w:t>
            </w:r>
          </w:p>
          <w:p w:rsid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Hotărârea Guvernului nr.1265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2018 este menționat faptul că prevederile hotărârii în cauză se va aplica și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punctul de trecere „Novosavițkaia-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Cuciurgan”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posibilitatea prelungirii termenului de valabilitate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otărârii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1232/2016 cu extinderea termenului de acțiune a normei date pentru următoarele 6 luni. 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Totodată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propus sistarea procedurilor stabilite în cazul în care până la expirarea celor 6 luni va fi instituit controlul comun în punctul de trecere a fr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ontierei de stat „Novosavițkaia-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Cuciurgan”.   </w:t>
            </w:r>
          </w:p>
          <w:p w:rsidR="005170BE" w:rsidRPr="005170BE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Ținînd cont de faptul că în perioada respectivă nu a fost introdus controlul în comun la acest post vamal,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propus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prelungi termenul de acțiune a H</w:t>
            </w: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otărârii Guvernului nr. 1232/2016 pînă la data de 31 decembrie 2019, fiind specificat faptul că procedurile stabilite vor fi sistate în cazul în care, la expirarea celor 6 luni, va fi instituit controlul în comun la punctul de trecere a frontierei de stat „Novosavițkaia-Cuciurgan”. </w:t>
            </w:r>
          </w:p>
          <w:p w:rsidR="00ED4F3A" w:rsidRPr="00ED4F3A" w:rsidRDefault="005170BE" w:rsidP="005170BE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70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Luînd în considerație faptul că nici în anul 2019, la punctul de trecere a frontierei de stat „Novosavițkaia-Cuciurgan” nu a fost introdus controlul în comun, s-a propus extinderea termenului de acțiune a hotărârii menționate încă pe 6 luni, pînă la 30 iunie 2020.  </w:t>
            </w:r>
          </w:p>
        </w:tc>
      </w:tr>
      <w:tr w:rsidR="00C42DFB" w:rsidTr="006A276D">
        <w:tc>
          <w:tcPr>
            <w:tcW w:w="9345" w:type="dxa"/>
          </w:tcPr>
          <w:p w:rsidR="00C42DFB" w:rsidRPr="00097FDC" w:rsidRDefault="00C42DFB" w:rsidP="006A27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3. Descrierea gradului de compatibilitate pentru proiectele care au ca scop armonizarea </w:t>
            </w:r>
            <w:r w:rsidR="00ED4F3A"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legislației</w:t>
            </w:r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="00ED4F3A"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naționale</w:t>
            </w:r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cu </w:t>
            </w:r>
            <w:r w:rsidR="00ED4F3A"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legislația</w:t>
            </w:r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Pr="00FE1291" w:rsidRDefault="00C42DFB" w:rsidP="006A276D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transpune acquis-ul comunității europene.</w:t>
            </w:r>
          </w:p>
        </w:tc>
      </w:tr>
      <w:tr w:rsidR="00C42DFB" w:rsidTr="006A276D">
        <w:tc>
          <w:tcPr>
            <w:tcW w:w="9345" w:type="dxa"/>
          </w:tcPr>
          <w:p w:rsidR="00C42DFB" w:rsidRPr="00BE28DE" w:rsidRDefault="00C42DFB" w:rsidP="006A27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4. Principalele prevederi ale proiectului şi </w:t>
            </w:r>
            <w:r w:rsidR="00ED4F3A"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evidențierea</w:t>
            </w:r>
            <w:r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elementelor noi</w:t>
            </w:r>
          </w:p>
        </w:tc>
      </w:tr>
      <w:tr w:rsidR="00C42DFB" w:rsidRPr="00C42DFB" w:rsidTr="006A276D">
        <w:tc>
          <w:tcPr>
            <w:tcW w:w="9345" w:type="dxa"/>
          </w:tcPr>
          <w:p w:rsidR="00C42DFB" w:rsidRPr="00C42DFB" w:rsidRDefault="00C42DFB" w:rsidP="009C0A06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prevede substituirea sintagmei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42DFB">
              <w:rPr>
                <w:rFonts w:ascii="Times New Roman" w:hAnsi="Times New Roman" w:cs="Times New Roman"/>
                <w:i/>
                <w:sz w:val="24"/>
                <w:szCs w:val="24"/>
              </w:rPr>
              <w:t>pînă la 31 decembrie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din Hot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ărîrea Guvernului nr. 1232/2016, cu sintagma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42DF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C42D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înă la </w:t>
            </w:r>
            <w:r w:rsidR="009C0A0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30 iunie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C42DFB" w:rsidTr="006A276D">
        <w:tc>
          <w:tcPr>
            <w:tcW w:w="9345" w:type="dxa"/>
          </w:tcPr>
          <w:p w:rsidR="00C42DFB" w:rsidRPr="004A2592" w:rsidRDefault="00C42DFB" w:rsidP="006A27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5. Fundamentarea economico-financiară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Default="00C42DFB" w:rsidP="006A276D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proiectului nu are nici un impact asupra bugetului de stat și nu necesită cheltuieli suplimentare din bugetul de stat. 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C42DFB" w:rsidRPr="00C42DFB" w:rsidTr="006A276D">
        <w:tc>
          <w:tcPr>
            <w:tcW w:w="9345" w:type="dxa"/>
          </w:tcPr>
          <w:p w:rsidR="00C42DFB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Proiectul prevede modificarea Hotărîrii</w:t>
            </w: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Guvernului nr. 1232/2016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</w:tc>
      </w:tr>
      <w:tr w:rsidR="00C42DFB" w:rsidRPr="00ED4F3A" w:rsidTr="006A276D">
        <w:tc>
          <w:tcPr>
            <w:tcW w:w="9345" w:type="dxa"/>
          </w:tcPr>
          <w:p w:rsidR="00C42DFB" w:rsidRPr="00C25189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2518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7. Avizarea şi consultarea publică a proiectului</w:t>
            </w:r>
          </w:p>
        </w:tc>
      </w:tr>
      <w:tr w:rsidR="00C42DFB" w:rsidRPr="00C42DFB" w:rsidTr="006A276D">
        <w:tc>
          <w:tcPr>
            <w:tcW w:w="9345" w:type="dxa"/>
          </w:tcPr>
          <w:p w:rsidR="00C42DFB" w:rsidRPr="00ED4F3A" w:rsidRDefault="00ED4F3A" w:rsidP="006A276D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Proiectul urmează a fi avizat la următoarele instituții:</w:t>
            </w:r>
          </w:p>
          <w:p w:rsid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Finanțelor;</w:t>
            </w:r>
          </w:p>
          <w:p w:rsidR="00914DC3" w:rsidRPr="00ED4F3A" w:rsidRDefault="00914DC3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-Minisaterul Afacerilor Externe și Integrării Europene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Afacerilor Interne;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-Ministerul Justiției;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-Centrul Național Anticorupție;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-Serviciul de Informații și Securitate;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-Serviciul Vamal;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-Biroul Politici de Reintegrare;</w:t>
            </w:r>
          </w:p>
          <w:p w:rsidR="00ED4F3A" w:rsidRPr="00ED4F3A" w:rsidRDefault="00ED4F3A" w:rsidP="00ED4F3A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RO"/>
              </w:rPr>
              <w:t>-Î.S. “Calea Ferată din Moldova”.</w:t>
            </w:r>
          </w:p>
        </w:tc>
      </w:tr>
      <w:tr w:rsidR="00C42DFB" w:rsidRPr="00ED4F3A" w:rsidTr="006A276D">
        <w:tc>
          <w:tcPr>
            <w:tcW w:w="9345" w:type="dxa"/>
          </w:tcPr>
          <w:p w:rsidR="00C42DFB" w:rsidRPr="009361B9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</w:t>
            </w:r>
            <w:r w:rsidRPr="009361B9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</w:t>
            </w: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onstatările expertizei anticorupţie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Pr="005A0CE1" w:rsidRDefault="00ED4F3A" w:rsidP="006A276D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Compartimentul respectiv va fi completat în urma efectuării expertizei anticorupție.</w:t>
            </w:r>
          </w:p>
        </w:tc>
      </w:tr>
      <w:tr w:rsidR="00C42DFB" w:rsidTr="006A276D">
        <w:tc>
          <w:tcPr>
            <w:tcW w:w="9345" w:type="dxa"/>
          </w:tcPr>
          <w:p w:rsidR="00C42DFB" w:rsidRPr="005A0CE1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C42DFB" w:rsidTr="006A276D">
        <w:tc>
          <w:tcPr>
            <w:tcW w:w="9345" w:type="dxa"/>
          </w:tcPr>
          <w:p w:rsidR="00C42DFB" w:rsidRPr="005A0CE1" w:rsidRDefault="00C42DFB" w:rsidP="006A276D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sz w:val="24"/>
                <w:szCs w:val="24"/>
                <w:lang w:val="ro-MD"/>
              </w:rPr>
              <w:t>Proiectul nu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transpune legislația Uniunii Europene și nu necesită a fi avizat de Centrul de Armonizare a Legislației.</w:t>
            </w:r>
          </w:p>
        </w:tc>
      </w:tr>
      <w:tr w:rsidR="00C42DFB" w:rsidTr="006A276D">
        <w:tc>
          <w:tcPr>
            <w:tcW w:w="9345" w:type="dxa"/>
          </w:tcPr>
          <w:p w:rsidR="00C42DFB" w:rsidRPr="005A0CE1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Pr="005A0CE1" w:rsidRDefault="00ED4F3A" w:rsidP="006A276D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Compartimentul respectiv va fi completat în urma efectuării expertizei juridice.</w:t>
            </w:r>
          </w:p>
        </w:tc>
      </w:tr>
      <w:tr w:rsidR="00C42DFB" w:rsidTr="006A276D">
        <w:tc>
          <w:tcPr>
            <w:tcW w:w="9345" w:type="dxa"/>
          </w:tcPr>
          <w:p w:rsidR="00C42DFB" w:rsidRPr="005A0CE1" w:rsidRDefault="00C42DFB" w:rsidP="006A276D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C42DFB" w:rsidRPr="00914DC3" w:rsidTr="006A276D">
        <w:tc>
          <w:tcPr>
            <w:tcW w:w="9345" w:type="dxa"/>
          </w:tcPr>
          <w:p w:rsidR="00C42DFB" w:rsidRDefault="00ED4F3A" w:rsidP="006A276D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D4F3A">
              <w:rPr>
                <w:rFonts w:ascii="Times New Roman" w:hAnsi="Times New Roman"/>
                <w:sz w:val="24"/>
                <w:szCs w:val="24"/>
                <w:lang w:val="ro-MD"/>
              </w:rPr>
              <w:t>Proiectul nu se referă la reglementarea activității de intreprinzător. Astfel, acesta nu trebuie examinat de Grupul de lucru pentru reglementarea activității de întreprinzător.</w:t>
            </w:r>
          </w:p>
        </w:tc>
      </w:tr>
    </w:tbl>
    <w:p w:rsidR="00ED4F3A" w:rsidRDefault="00ED4F3A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B40A9" w:rsidRDefault="00C42DFB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D4F3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D4F3A">
        <w:rPr>
          <w:rFonts w:ascii="Times New Roman" w:hAnsi="Times New Roman" w:cs="Times New Roman"/>
          <w:b/>
          <w:sz w:val="28"/>
          <w:szCs w:val="28"/>
          <w:lang w:val="ro-RO"/>
        </w:rPr>
        <w:t>Anatol USATÎI</w:t>
      </w: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ED4F3A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70BE" w:rsidRDefault="005170BE" w:rsidP="005170BE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  <w:r w:rsidRPr="00ED4F3A">
        <w:rPr>
          <w:rFonts w:ascii="Times New Roman" w:hAnsi="Times New Roman" w:cs="Times New Roman"/>
          <w:sz w:val="16"/>
          <w:szCs w:val="16"/>
          <w:lang w:val="ro-RO"/>
        </w:rPr>
        <w:t>Ex. Roman Gapeev, Tel. 250 617</w:t>
      </w:r>
    </w:p>
    <w:p w:rsidR="005170BE" w:rsidRDefault="005170BE" w:rsidP="005170BE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Ex. Vasile Magu, Tel. </w:t>
      </w:r>
      <w:r w:rsidRPr="00ED4F3A">
        <w:rPr>
          <w:rFonts w:ascii="Times New Roman" w:hAnsi="Times New Roman" w:cs="Times New Roman"/>
          <w:sz w:val="16"/>
          <w:szCs w:val="16"/>
          <w:lang w:val="ro-RO"/>
        </w:rPr>
        <w:t>250-423</w:t>
      </w:r>
    </w:p>
    <w:p w:rsidR="0047641E" w:rsidRDefault="0047641E" w:rsidP="005170BE">
      <w:pPr>
        <w:pStyle w:val="Footer"/>
        <w:rPr>
          <w:rFonts w:ascii="Times New Roman" w:hAnsi="Times New Roman" w:cs="Times New Roman"/>
          <w:sz w:val="16"/>
          <w:szCs w:val="16"/>
          <w:lang w:val="ro-RO"/>
        </w:rPr>
      </w:pPr>
    </w:p>
    <w:p w:rsidR="0047641E" w:rsidRDefault="0047641E">
      <w:pPr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br w:type="page"/>
      </w:r>
    </w:p>
    <w:p w:rsidR="0047641E" w:rsidRPr="0047641E" w:rsidRDefault="0047641E" w:rsidP="00002868">
      <w:pPr>
        <w:spacing w:after="0" w:line="276" w:lineRule="auto"/>
        <w:ind w:left="8080" w:firstLine="41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28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47641E" w:rsidRPr="0047641E" w:rsidTr="00D82B16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2pt;height:73.8pt" o:ole="" fillcolor="window">
                  <v:imagedata r:id="rId6" o:title=""/>
                </v:shape>
                <o:OLEObject Type="Embed" ProgID="Word.Picture.8" ShapeID="_x0000_i1025" DrawAspect="Content" ObjectID="_1637752488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  <w:tr w:rsidR="0047641E" w:rsidRPr="0047641E" w:rsidTr="00D82B16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en-US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en-US"/>
              </w:rPr>
              <w:t xml:space="preserve">GUVERNUL REPUBLICII </w:t>
            </w:r>
            <w:smartTag w:uri="urn:schemas-microsoft-com:office:smarttags" w:element="place">
              <w:smartTag w:uri="urn:schemas-microsoft-com:office:smarttags" w:element="country-region">
                <w:r w:rsidRPr="0047641E">
                  <w:rPr>
                    <w:rFonts w:ascii="Times New Roman" w:eastAsia="Times New Roman" w:hAnsi="Times New Roman" w:cs="Times New Roman"/>
                    <w:b/>
                    <w:spacing w:val="20"/>
                    <w:sz w:val="40"/>
                    <w:szCs w:val="40"/>
                    <w:lang w:val="en-US"/>
                  </w:rPr>
                  <w:t>MOLDOVA</w:t>
                </w:r>
              </w:smartTag>
            </w:smartTag>
          </w:p>
          <w:p w:rsidR="0047641E" w:rsidRPr="0047641E" w:rsidRDefault="0047641E" w:rsidP="0047641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H O T </w:t>
            </w:r>
            <w:r w:rsidRPr="004764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Ă R Î R E</w:t>
            </w: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nr</w:t>
            </w:r>
            <w:r w:rsidRPr="004764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_______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7641E" w:rsidRPr="0047641E" w:rsidRDefault="0047641E" w:rsidP="0047641E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din</w:t>
            </w: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_________________________________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2019</w:t>
            </w:r>
          </w:p>
          <w:p w:rsidR="0047641E" w:rsidRPr="0047641E" w:rsidRDefault="0047641E" w:rsidP="0047641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Chișinău</w:t>
            </w: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en-US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en-US"/>
              </w:rPr>
            </w:pPr>
          </w:p>
        </w:tc>
      </w:tr>
    </w:tbl>
    <w:p w:rsidR="0047641E" w:rsidRPr="0047641E" w:rsidRDefault="0047641E" w:rsidP="00476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cu privire la modificarea Hotărîrii Guvernului nr. 1232/2016</w:t>
      </w: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Guvernul HOTĂRĂŞTE:</w:t>
      </w:r>
    </w:p>
    <w:p w:rsidR="0047641E" w:rsidRPr="0047641E" w:rsidRDefault="0047641E" w:rsidP="004764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47641E" w:rsidRPr="0047641E" w:rsidRDefault="0047641E" w:rsidP="00476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Hotărârea Guvernului nr.1232/2016 „Cu privire la unele aspecte de introducere a produselor petroliere prin frontiera de est” (Monitorul Oficial al Republicii Moldova, 2016, nr.388-398, art.1327), textul </w:t>
      </w:r>
      <w:bookmarkStart w:id="1" w:name="_Hlk514836836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„pînă la 31 decembrie 2019” </w:t>
      </w:r>
      <w:bookmarkEnd w:id="1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substituie cu textul „pînă la 30 iunie 2020”</w:t>
      </w:r>
    </w:p>
    <w:p w:rsidR="0047641E" w:rsidRPr="0047641E" w:rsidRDefault="0047641E" w:rsidP="004764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tbl>
      <w:tblPr>
        <w:tblW w:w="10044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3381"/>
      </w:tblGrid>
      <w:tr w:rsidR="0047641E" w:rsidRPr="0047641E" w:rsidTr="00D82B16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PRIM-MINISTRU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                  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Ion CHICU</w:t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br/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Contrasemnează: </w:t>
            </w:r>
          </w:p>
        </w:tc>
        <w:tc>
          <w:tcPr>
            <w:tcW w:w="3336" w:type="dxa"/>
            <w:vAlign w:val="center"/>
          </w:tcPr>
          <w:p w:rsidR="0047641E" w:rsidRPr="0047641E" w:rsidRDefault="0047641E" w:rsidP="00476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7641E" w:rsidRPr="0047641E" w:rsidTr="00D82B16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ind w:right="-343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Ministrul economiei și infrastructurii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bottom"/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Anatol  USATÎI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Ministrul finanțelor                          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7641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          </w:t>
            </w:r>
          </w:p>
          <w:p w:rsidR="0047641E" w:rsidRPr="0047641E" w:rsidRDefault="0047641E" w:rsidP="0047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Sergiu  PUȘCUȚA</w:t>
            </w:r>
          </w:p>
        </w:tc>
      </w:tr>
    </w:tbl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Проект</w:t>
      </w: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47641E" w:rsidRPr="0047641E" w:rsidTr="00D82B16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/>
              </w:rPr>
            </w:pPr>
          </w:p>
          <w:p w:rsidR="0047641E" w:rsidRPr="0047641E" w:rsidRDefault="0047641E" w:rsidP="0047641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object w:dxaOrig="1575" w:dyaOrig="1424">
                <v:shape id="_x0000_i1026" type="#_x0000_t75" style="width:79.2pt;height:73.8pt" o:ole="" fillcolor="window">
                  <v:imagedata r:id="rId6" o:title=""/>
                </v:shape>
                <o:OLEObject Type="Embed" ProgID="Word.Picture.8" ShapeID="_x0000_i1026" DrawAspect="Content" ObjectID="_1637752489" r:id="rId8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ru-RU" w:eastAsia="ru-RU"/>
              </w:rPr>
            </w:pPr>
          </w:p>
        </w:tc>
      </w:tr>
    </w:tbl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ПРАВИТЕЛЬСТВО РЕСПУБЛИКИ МОЛДОВА</w:t>
      </w: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ПОСТАНОВЛЕНИЕ №___________ </w:t>
      </w:r>
    </w:p>
    <w:p w:rsidR="0047641E" w:rsidRPr="0047641E" w:rsidRDefault="0047641E" w:rsidP="0047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 _______________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______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201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9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47641E" w:rsidRPr="0047641E" w:rsidRDefault="0047641E" w:rsidP="0047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                                                  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Кишинэу</w:t>
      </w:r>
    </w:p>
    <w:p w:rsidR="0047641E" w:rsidRPr="0047641E" w:rsidRDefault="0047641E" w:rsidP="0047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641E" w:rsidRPr="0047641E" w:rsidRDefault="0047641E" w:rsidP="004764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 внесении изменений в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Постановление Правительства №. 12</w:t>
      </w: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32/2016</w:t>
      </w:r>
    </w:p>
    <w:p w:rsidR="0047641E" w:rsidRPr="0047641E" w:rsidRDefault="0047641E" w:rsidP="004764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7641E" w:rsidRPr="0047641E" w:rsidRDefault="0047641E" w:rsidP="004764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Правительство ПОСТАНОВЛЯЕТ:</w:t>
      </w:r>
    </w:p>
    <w:p w:rsidR="0047641E" w:rsidRPr="0047641E" w:rsidRDefault="0047641E" w:rsidP="0047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7641E" w:rsidRPr="0047641E" w:rsidRDefault="0047641E" w:rsidP="00476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Правительства nr.1232/2016 «О некоторых вопросах введения нефтепродуктов через восточную границу» (Официальный монитор Республики Молдова, 2016 г., nr.388-398, art.1327), текст «до 31 декабря 2019 года»</w:t>
      </w:r>
      <w:bookmarkStart w:id="2" w:name="_Hlk514836906"/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"/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будет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заменен текстом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64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«до 30 июня 2020 года»</w:t>
      </w:r>
    </w:p>
    <w:p w:rsidR="0047641E" w:rsidRPr="0047641E" w:rsidRDefault="0047641E" w:rsidP="0047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865" w:type="pct"/>
        <w:tblCellSpacing w:w="15" w:type="dxa"/>
        <w:tblInd w:w="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202"/>
      </w:tblGrid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ahoma" w:eastAsia="Times New Roman" w:hAnsi="Tahoma" w:cs="Tahoma"/>
                <w:sz w:val="28"/>
                <w:szCs w:val="28"/>
                <w:lang w:val="ru-RU" w:eastAsia="ru-RU"/>
              </w:rPr>
              <w:br/>
            </w: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ПРЕМЬЕР-МИНИСТР           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left="2160" w:hanging="138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7641E" w:rsidRPr="0047641E" w:rsidRDefault="0047641E" w:rsidP="0047641E">
            <w:pPr>
              <w:spacing w:after="0" w:line="240" w:lineRule="auto"/>
              <w:ind w:left="2160" w:hanging="13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Ион КИКУ </w:t>
            </w:r>
          </w:p>
          <w:p w:rsidR="0047641E" w:rsidRPr="0047641E" w:rsidRDefault="0047641E" w:rsidP="0047641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Министр экономики</w:t>
            </w:r>
          </w:p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и инфраструктуры                                                                   </w:t>
            </w:r>
          </w:p>
        </w:tc>
        <w:tc>
          <w:tcPr>
            <w:tcW w:w="2836" w:type="pct"/>
          </w:tcPr>
          <w:p w:rsidR="0047641E" w:rsidRPr="0047641E" w:rsidRDefault="0047641E" w:rsidP="0047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         Анатол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УСАТЫЙ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          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Министр финансов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                       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Сергей ПУШКУЦА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47641E" w:rsidRPr="0047641E" w:rsidTr="00D82B16">
        <w:trPr>
          <w:tblCellSpacing w:w="15" w:type="dxa"/>
        </w:trPr>
        <w:tc>
          <w:tcPr>
            <w:tcW w:w="211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836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7641E" w:rsidRPr="0047641E" w:rsidRDefault="0047641E" w:rsidP="0047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764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47641E" w:rsidRPr="0047641E" w:rsidRDefault="0047641E" w:rsidP="004764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7641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47641E" w:rsidRPr="0047641E" w:rsidRDefault="0047641E" w:rsidP="004764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764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47641E" w:rsidRPr="0047641E" w:rsidRDefault="0047641E" w:rsidP="0047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7641E" w:rsidRPr="0047641E" w:rsidRDefault="0047641E" w:rsidP="004764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47641E" w:rsidRPr="005170BE" w:rsidRDefault="0047641E" w:rsidP="005170BE">
      <w:pPr>
        <w:pStyle w:val="Footer"/>
        <w:rPr>
          <w:lang w:val="ro-RO"/>
        </w:rPr>
      </w:pPr>
    </w:p>
    <w:sectPr w:rsidR="0047641E" w:rsidRPr="005170BE" w:rsidSect="00ED4F3A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B2" w:rsidRDefault="005819B2" w:rsidP="00ED4F3A">
      <w:pPr>
        <w:spacing w:after="0" w:line="240" w:lineRule="auto"/>
      </w:pPr>
      <w:r>
        <w:separator/>
      </w:r>
    </w:p>
  </w:endnote>
  <w:endnote w:type="continuationSeparator" w:id="0">
    <w:p w:rsidR="005819B2" w:rsidRDefault="005819B2" w:rsidP="00ED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B2" w:rsidRDefault="005819B2" w:rsidP="00ED4F3A">
      <w:pPr>
        <w:spacing w:after="0" w:line="240" w:lineRule="auto"/>
      </w:pPr>
      <w:r>
        <w:separator/>
      </w:r>
    </w:p>
  </w:footnote>
  <w:footnote w:type="continuationSeparator" w:id="0">
    <w:p w:rsidR="005819B2" w:rsidRDefault="005819B2" w:rsidP="00ED4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6"/>
    <w:rsid w:val="00002868"/>
    <w:rsid w:val="00086022"/>
    <w:rsid w:val="00322020"/>
    <w:rsid w:val="003626D6"/>
    <w:rsid w:val="003B4BA7"/>
    <w:rsid w:val="0047641E"/>
    <w:rsid w:val="005170BE"/>
    <w:rsid w:val="005819B2"/>
    <w:rsid w:val="007F19DC"/>
    <w:rsid w:val="00914DC3"/>
    <w:rsid w:val="0096399C"/>
    <w:rsid w:val="009C0A06"/>
    <w:rsid w:val="00A03BE2"/>
    <w:rsid w:val="00B72BC3"/>
    <w:rsid w:val="00C42DFB"/>
    <w:rsid w:val="00E37B3C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28016-AB87-45E2-B520-6C038F51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3A"/>
  </w:style>
  <w:style w:type="paragraph" w:styleId="Footer">
    <w:name w:val="footer"/>
    <w:basedOn w:val="Normal"/>
    <w:link w:val="FooterChar"/>
    <w:uiPriority w:val="99"/>
    <w:unhideWhenUsed/>
    <w:rsid w:val="00ED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2019-11-29T13:31:00Z</dcterms:created>
  <dcterms:modified xsi:type="dcterms:W3CDTF">2019-12-13T12:28:00Z</dcterms:modified>
</cp:coreProperties>
</file>