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7F73A" w14:textId="77777777" w:rsidR="00FB0186" w:rsidRPr="009F1934" w:rsidRDefault="00FB0186" w:rsidP="00FF0C1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9F1934">
        <w:rPr>
          <w:rFonts w:ascii="Times New Roman" w:hAnsi="Times New Roman"/>
          <w:b/>
          <w:sz w:val="28"/>
          <w:szCs w:val="28"/>
          <w:lang w:val="ro-RO" w:eastAsia="ru-RU"/>
        </w:rPr>
        <w:t>NOTĂ INFORMATIVĂ</w:t>
      </w:r>
    </w:p>
    <w:p w14:paraId="7F146EE4" w14:textId="77777777" w:rsidR="001D05CB" w:rsidRPr="001D05CB" w:rsidRDefault="001D05CB" w:rsidP="00FF0C1D">
      <w:pPr>
        <w:pStyle w:val="tt"/>
        <w:spacing w:line="276" w:lineRule="auto"/>
        <w:rPr>
          <w:sz w:val="28"/>
          <w:szCs w:val="28"/>
        </w:rPr>
      </w:pPr>
      <w:r w:rsidRPr="001D05CB">
        <w:rPr>
          <w:bCs w:val="0"/>
          <w:sz w:val="28"/>
          <w:szCs w:val="28"/>
          <w:lang w:val="en-US"/>
        </w:rPr>
        <w:t>la p</w:t>
      </w:r>
      <w:proofErr w:type="spellStart"/>
      <w:r w:rsidR="001F7AE4">
        <w:rPr>
          <w:bCs w:val="0"/>
          <w:sz w:val="28"/>
          <w:szCs w:val="28"/>
        </w:rPr>
        <w:t>roiectul</w:t>
      </w:r>
      <w:proofErr w:type="spellEnd"/>
      <w:r w:rsidR="001F7AE4">
        <w:rPr>
          <w:bCs w:val="0"/>
          <w:sz w:val="28"/>
          <w:szCs w:val="28"/>
        </w:rPr>
        <w:t xml:space="preserve"> </w:t>
      </w:r>
      <w:proofErr w:type="spellStart"/>
      <w:r w:rsidR="001F7AE4">
        <w:rPr>
          <w:bCs w:val="0"/>
          <w:sz w:val="28"/>
          <w:szCs w:val="28"/>
        </w:rPr>
        <w:t>Hotărârii</w:t>
      </w:r>
      <w:proofErr w:type="spellEnd"/>
      <w:r w:rsidRPr="001D05CB">
        <w:rPr>
          <w:bCs w:val="0"/>
          <w:sz w:val="28"/>
          <w:szCs w:val="28"/>
        </w:rPr>
        <w:t xml:space="preserve"> </w:t>
      </w:r>
      <w:proofErr w:type="spellStart"/>
      <w:r w:rsidRPr="001D05CB">
        <w:rPr>
          <w:bCs w:val="0"/>
          <w:sz w:val="28"/>
          <w:szCs w:val="28"/>
        </w:rPr>
        <w:t>Guvern</w:t>
      </w:r>
      <w:proofErr w:type="spellEnd"/>
      <w:r w:rsidR="001F7AE4">
        <w:rPr>
          <w:bCs w:val="0"/>
          <w:sz w:val="28"/>
          <w:szCs w:val="28"/>
          <w:lang w:val="ro-RO"/>
        </w:rPr>
        <w:t xml:space="preserve">ului </w:t>
      </w:r>
      <w:proofErr w:type="spellStart"/>
      <w:r w:rsidRPr="001D05CB">
        <w:rPr>
          <w:bCs w:val="0"/>
          <w:sz w:val="28"/>
          <w:szCs w:val="28"/>
        </w:rPr>
        <w:t>cu</w:t>
      </w:r>
      <w:proofErr w:type="spellEnd"/>
      <w:r w:rsidRPr="001D05CB">
        <w:rPr>
          <w:bCs w:val="0"/>
          <w:sz w:val="28"/>
          <w:szCs w:val="28"/>
        </w:rPr>
        <w:t xml:space="preserve"> </w:t>
      </w:r>
      <w:proofErr w:type="spellStart"/>
      <w:r w:rsidRPr="001D05CB">
        <w:rPr>
          <w:bCs w:val="0"/>
          <w:sz w:val="28"/>
          <w:szCs w:val="28"/>
        </w:rPr>
        <w:t>privire</w:t>
      </w:r>
      <w:proofErr w:type="spellEnd"/>
      <w:r w:rsidRPr="001D05CB">
        <w:rPr>
          <w:bCs w:val="0"/>
          <w:sz w:val="28"/>
          <w:szCs w:val="28"/>
        </w:rPr>
        <w:t xml:space="preserve"> </w:t>
      </w:r>
      <w:proofErr w:type="spellStart"/>
      <w:r w:rsidRPr="001D05CB">
        <w:rPr>
          <w:bCs w:val="0"/>
          <w:sz w:val="28"/>
          <w:szCs w:val="28"/>
        </w:rPr>
        <w:t>la</w:t>
      </w:r>
      <w:proofErr w:type="spellEnd"/>
      <w:r w:rsidRPr="001D05CB">
        <w:rPr>
          <w:bCs w:val="0"/>
          <w:sz w:val="28"/>
          <w:szCs w:val="28"/>
        </w:rPr>
        <w:t xml:space="preserve"> </w:t>
      </w:r>
      <w:proofErr w:type="spellStart"/>
      <w:r w:rsidR="00886466">
        <w:rPr>
          <w:bCs w:val="0"/>
          <w:sz w:val="28"/>
          <w:szCs w:val="28"/>
          <w:lang w:val="en-US"/>
        </w:rPr>
        <w:t>implementarea</w:t>
      </w:r>
      <w:proofErr w:type="spellEnd"/>
      <w:r w:rsidR="00886466">
        <w:rPr>
          <w:bCs w:val="0"/>
          <w:sz w:val="28"/>
          <w:szCs w:val="28"/>
          <w:lang w:val="en-US"/>
        </w:rPr>
        <w:t xml:space="preserve"> </w:t>
      </w:r>
      <w:proofErr w:type="spellStart"/>
      <w:r w:rsidR="00886466">
        <w:rPr>
          <w:bCs w:val="0"/>
          <w:sz w:val="28"/>
          <w:szCs w:val="28"/>
          <w:lang w:val="en-US"/>
        </w:rPr>
        <w:t>unor</w:t>
      </w:r>
      <w:proofErr w:type="spellEnd"/>
      <w:r w:rsidR="00886466">
        <w:rPr>
          <w:bCs w:val="0"/>
          <w:sz w:val="28"/>
          <w:szCs w:val="28"/>
          <w:lang w:val="en-US"/>
        </w:rPr>
        <w:t xml:space="preserve"> </w:t>
      </w:r>
      <w:proofErr w:type="spellStart"/>
      <w:r w:rsidR="00886466">
        <w:rPr>
          <w:bCs w:val="0"/>
          <w:sz w:val="28"/>
          <w:szCs w:val="28"/>
          <w:lang w:val="en-US"/>
        </w:rPr>
        <w:t>măsuri</w:t>
      </w:r>
      <w:proofErr w:type="spellEnd"/>
      <w:r w:rsidR="00886466">
        <w:rPr>
          <w:bCs w:val="0"/>
          <w:sz w:val="28"/>
          <w:szCs w:val="28"/>
          <w:lang w:val="en-US"/>
        </w:rPr>
        <w:t xml:space="preserve"> </w:t>
      </w:r>
      <w:proofErr w:type="spellStart"/>
      <w:r w:rsidR="00886466">
        <w:rPr>
          <w:bCs w:val="0"/>
          <w:sz w:val="28"/>
          <w:szCs w:val="28"/>
          <w:lang w:val="en-US"/>
        </w:rPr>
        <w:t>pentru</w:t>
      </w:r>
      <w:proofErr w:type="spellEnd"/>
      <w:r w:rsidR="00886466">
        <w:rPr>
          <w:bCs w:val="0"/>
          <w:sz w:val="28"/>
          <w:szCs w:val="28"/>
          <w:lang w:val="en-US"/>
        </w:rPr>
        <w:t xml:space="preserve"> </w:t>
      </w:r>
      <w:proofErr w:type="spellStart"/>
      <w:r w:rsidRPr="001D05CB">
        <w:rPr>
          <w:bCs w:val="0"/>
          <w:sz w:val="28"/>
          <w:szCs w:val="28"/>
        </w:rPr>
        <w:t>exproprierea</w:t>
      </w:r>
      <w:proofErr w:type="spellEnd"/>
      <w:r w:rsidRPr="001D05CB">
        <w:rPr>
          <w:bCs w:val="0"/>
          <w:sz w:val="28"/>
          <w:szCs w:val="28"/>
        </w:rPr>
        <w:t xml:space="preserve"> </w:t>
      </w:r>
      <w:proofErr w:type="spellStart"/>
      <w:r w:rsidRPr="001D05CB">
        <w:rPr>
          <w:bCs w:val="0"/>
          <w:sz w:val="28"/>
          <w:szCs w:val="28"/>
        </w:rPr>
        <w:t>bunurilor</w:t>
      </w:r>
      <w:proofErr w:type="spellEnd"/>
      <w:r w:rsidRPr="001D05CB">
        <w:rPr>
          <w:bCs w:val="0"/>
          <w:sz w:val="28"/>
          <w:szCs w:val="28"/>
        </w:rPr>
        <w:t xml:space="preserve"> </w:t>
      </w:r>
      <w:proofErr w:type="spellStart"/>
      <w:r w:rsidRPr="001D05CB">
        <w:rPr>
          <w:bCs w:val="0"/>
          <w:sz w:val="28"/>
          <w:szCs w:val="28"/>
        </w:rPr>
        <w:t>imobile</w:t>
      </w:r>
      <w:proofErr w:type="spellEnd"/>
      <w:r w:rsidRPr="001D05CB">
        <w:rPr>
          <w:bCs w:val="0"/>
          <w:sz w:val="28"/>
          <w:szCs w:val="28"/>
        </w:rPr>
        <w:t xml:space="preserve"> (</w:t>
      </w:r>
      <w:proofErr w:type="spellStart"/>
      <w:r w:rsidRPr="001D05CB">
        <w:rPr>
          <w:bCs w:val="0"/>
          <w:sz w:val="28"/>
          <w:szCs w:val="28"/>
        </w:rPr>
        <w:t>terenurilor</w:t>
      </w:r>
      <w:proofErr w:type="spellEnd"/>
      <w:r w:rsidRPr="001D05CB">
        <w:rPr>
          <w:bCs w:val="0"/>
          <w:sz w:val="28"/>
          <w:szCs w:val="28"/>
        </w:rPr>
        <w:t xml:space="preserve">) </w:t>
      </w:r>
      <w:r w:rsidR="00182CD1">
        <w:rPr>
          <w:bCs w:val="0"/>
          <w:sz w:val="28"/>
          <w:szCs w:val="28"/>
          <w:lang w:val="ro-RO"/>
        </w:rPr>
        <w:t xml:space="preserve">situate pe amplasamentul </w:t>
      </w:r>
      <w:r w:rsidRPr="001D05CB">
        <w:rPr>
          <w:bCs w:val="0"/>
          <w:sz w:val="28"/>
          <w:szCs w:val="28"/>
        </w:rPr>
        <w:t xml:space="preserve"> </w:t>
      </w:r>
      <w:proofErr w:type="spellStart"/>
      <w:r w:rsidRPr="001D05CB">
        <w:rPr>
          <w:bCs w:val="0"/>
          <w:sz w:val="28"/>
          <w:szCs w:val="28"/>
        </w:rPr>
        <w:t>lucrărilor</w:t>
      </w:r>
      <w:proofErr w:type="spellEnd"/>
      <w:r w:rsidRPr="001D05CB">
        <w:rPr>
          <w:bCs w:val="0"/>
          <w:sz w:val="28"/>
          <w:szCs w:val="28"/>
        </w:rPr>
        <w:t xml:space="preserve"> de </w:t>
      </w:r>
      <w:proofErr w:type="spellStart"/>
      <w:r w:rsidRPr="001D05CB">
        <w:rPr>
          <w:bCs w:val="0"/>
          <w:sz w:val="28"/>
          <w:szCs w:val="28"/>
        </w:rPr>
        <w:t>interes</w:t>
      </w:r>
      <w:proofErr w:type="spellEnd"/>
      <w:r w:rsidRPr="001D05CB">
        <w:rPr>
          <w:bCs w:val="0"/>
          <w:sz w:val="28"/>
          <w:szCs w:val="28"/>
        </w:rPr>
        <w:t xml:space="preserve">  </w:t>
      </w:r>
      <w:proofErr w:type="spellStart"/>
      <w:r w:rsidRPr="001D05CB">
        <w:rPr>
          <w:bCs w:val="0"/>
          <w:sz w:val="28"/>
          <w:szCs w:val="28"/>
        </w:rPr>
        <w:t>național</w:t>
      </w:r>
      <w:proofErr w:type="spellEnd"/>
      <w:r w:rsidRPr="001D05CB">
        <w:rPr>
          <w:bCs w:val="0"/>
          <w:sz w:val="28"/>
          <w:szCs w:val="28"/>
        </w:rPr>
        <w:t xml:space="preserve"> de </w:t>
      </w:r>
      <w:proofErr w:type="spellStart"/>
      <w:r w:rsidRPr="001D05CB">
        <w:rPr>
          <w:bCs w:val="0"/>
          <w:sz w:val="28"/>
          <w:szCs w:val="28"/>
        </w:rPr>
        <w:t>construcție</w:t>
      </w:r>
      <w:proofErr w:type="spellEnd"/>
      <w:r w:rsidRPr="001D05CB">
        <w:rPr>
          <w:sz w:val="28"/>
          <w:szCs w:val="28"/>
        </w:rPr>
        <w:t xml:space="preserve"> şi de </w:t>
      </w:r>
      <w:proofErr w:type="spellStart"/>
      <w:r w:rsidRPr="001D05CB">
        <w:rPr>
          <w:sz w:val="28"/>
          <w:szCs w:val="28"/>
        </w:rPr>
        <w:t>reconstrucţie</w:t>
      </w:r>
      <w:proofErr w:type="spellEnd"/>
      <w:r w:rsidRPr="001D05CB">
        <w:rPr>
          <w:sz w:val="28"/>
          <w:szCs w:val="28"/>
        </w:rPr>
        <w:t xml:space="preserve"> a </w:t>
      </w:r>
      <w:proofErr w:type="spellStart"/>
      <w:r w:rsidRPr="001D05CB">
        <w:rPr>
          <w:sz w:val="28"/>
          <w:szCs w:val="28"/>
        </w:rPr>
        <w:t>liniilor</w:t>
      </w:r>
      <w:proofErr w:type="spellEnd"/>
      <w:r w:rsidRPr="001D05CB">
        <w:rPr>
          <w:sz w:val="28"/>
          <w:szCs w:val="28"/>
        </w:rPr>
        <w:t xml:space="preserve"> </w:t>
      </w:r>
      <w:proofErr w:type="spellStart"/>
      <w:r w:rsidRPr="001D05CB">
        <w:rPr>
          <w:sz w:val="28"/>
          <w:szCs w:val="28"/>
        </w:rPr>
        <w:t>electrice</w:t>
      </w:r>
      <w:proofErr w:type="spellEnd"/>
      <w:r w:rsidRPr="001D05CB">
        <w:rPr>
          <w:sz w:val="28"/>
          <w:szCs w:val="28"/>
        </w:rPr>
        <w:t xml:space="preserve"> de </w:t>
      </w:r>
      <w:proofErr w:type="spellStart"/>
      <w:r w:rsidRPr="001D05CB">
        <w:rPr>
          <w:sz w:val="28"/>
          <w:szCs w:val="28"/>
        </w:rPr>
        <w:t>înaltă</w:t>
      </w:r>
      <w:proofErr w:type="spellEnd"/>
      <w:r w:rsidRPr="001D05CB">
        <w:rPr>
          <w:sz w:val="28"/>
          <w:szCs w:val="28"/>
        </w:rPr>
        <w:t xml:space="preserve"> </w:t>
      </w:r>
      <w:proofErr w:type="spellStart"/>
      <w:r w:rsidRPr="001D05CB">
        <w:rPr>
          <w:sz w:val="28"/>
          <w:szCs w:val="28"/>
        </w:rPr>
        <w:t>tensiune</w:t>
      </w:r>
      <w:proofErr w:type="spellEnd"/>
      <w:r w:rsidRPr="001D05CB">
        <w:rPr>
          <w:sz w:val="28"/>
          <w:szCs w:val="28"/>
        </w:rPr>
        <w:t xml:space="preserve"> (110 </w:t>
      </w:r>
      <w:proofErr w:type="spellStart"/>
      <w:r w:rsidRPr="001D05CB">
        <w:rPr>
          <w:sz w:val="28"/>
          <w:szCs w:val="28"/>
        </w:rPr>
        <w:t>kV</w:t>
      </w:r>
      <w:proofErr w:type="spellEnd"/>
      <w:r w:rsidRPr="001D05CB">
        <w:rPr>
          <w:sz w:val="28"/>
          <w:szCs w:val="28"/>
        </w:rPr>
        <w:t xml:space="preserve">) </w:t>
      </w:r>
      <w:proofErr w:type="spellStart"/>
      <w:r w:rsidRPr="001D05CB">
        <w:rPr>
          <w:sz w:val="28"/>
          <w:szCs w:val="28"/>
        </w:rPr>
        <w:t>conform</w:t>
      </w:r>
      <w:proofErr w:type="spellEnd"/>
      <w:r w:rsidRPr="001D05CB">
        <w:rPr>
          <w:sz w:val="28"/>
          <w:szCs w:val="28"/>
        </w:rPr>
        <w:t xml:space="preserve"> </w:t>
      </w:r>
      <w:proofErr w:type="spellStart"/>
      <w:r w:rsidRPr="001D05CB">
        <w:rPr>
          <w:sz w:val="28"/>
          <w:szCs w:val="28"/>
        </w:rPr>
        <w:t>traseului</w:t>
      </w:r>
      <w:proofErr w:type="spellEnd"/>
      <w:r w:rsidRPr="001D05CB">
        <w:rPr>
          <w:sz w:val="28"/>
          <w:szCs w:val="28"/>
        </w:rPr>
        <w:t xml:space="preserve"> </w:t>
      </w:r>
      <w:proofErr w:type="spellStart"/>
      <w:r w:rsidRPr="001D05CB">
        <w:rPr>
          <w:sz w:val="28"/>
          <w:szCs w:val="28"/>
        </w:rPr>
        <w:t>Drochia</w:t>
      </w:r>
      <w:proofErr w:type="spellEnd"/>
      <w:r w:rsidRPr="001D05CB">
        <w:rPr>
          <w:sz w:val="28"/>
          <w:szCs w:val="28"/>
        </w:rPr>
        <w:t>–</w:t>
      </w:r>
      <w:proofErr w:type="spellStart"/>
      <w:r w:rsidRPr="001D05CB">
        <w:rPr>
          <w:sz w:val="28"/>
          <w:szCs w:val="28"/>
        </w:rPr>
        <w:t>Şuri</w:t>
      </w:r>
      <w:proofErr w:type="spellEnd"/>
      <w:r w:rsidRPr="001D05CB">
        <w:rPr>
          <w:sz w:val="28"/>
          <w:szCs w:val="28"/>
        </w:rPr>
        <w:t xml:space="preserve">, </w:t>
      </w:r>
      <w:proofErr w:type="spellStart"/>
      <w:r w:rsidRPr="001D05CB">
        <w:rPr>
          <w:sz w:val="28"/>
          <w:szCs w:val="28"/>
        </w:rPr>
        <w:t>Şuri</w:t>
      </w:r>
      <w:proofErr w:type="spellEnd"/>
      <w:r w:rsidRPr="001D05CB">
        <w:rPr>
          <w:sz w:val="28"/>
          <w:szCs w:val="28"/>
        </w:rPr>
        <w:t>–</w:t>
      </w:r>
      <w:proofErr w:type="spellStart"/>
      <w:r w:rsidRPr="001D05CB">
        <w:rPr>
          <w:sz w:val="28"/>
          <w:szCs w:val="28"/>
        </w:rPr>
        <w:t>Donduşeni</w:t>
      </w:r>
      <w:proofErr w:type="spellEnd"/>
      <w:r w:rsidRPr="001D05CB">
        <w:rPr>
          <w:sz w:val="28"/>
          <w:szCs w:val="28"/>
        </w:rPr>
        <w:t xml:space="preserve">, </w:t>
      </w:r>
      <w:proofErr w:type="spellStart"/>
      <w:r w:rsidRPr="001D05CB">
        <w:rPr>
          <w:sz w:val="28"/>
          <w:szCs w:val="28"/>
        </w:rPr>
        <w:t>Chişinău</w:t>
      </w:r>
      <w:proofErr w:type="spellEnd"/>
      <w:r w:rsidRPr="001D05CB">
        <w:rPr>
          <w:sz w:val="28"/>
          <w:szCs w:val="28"/>
        </w:rPr>
        <w:t>–</w:t>
      </w:r>
      <w:proofErr w:type="spellStart"/>
      <w:r w:rsidRPr="001D05CB">
        <w:rPr>
          <w:sz w:val="28"/>
          <w:szCs w:val="28"/>
        </w:rPr>
        <w:t>Hînceşti</w:t>
      </w:r>
      <w:proofErr w:type="spellEnd"/>
      <w:r w:rsidRPr="001D05CB">
        <w:rPr>
          <w:sz w:val="28"/>
          <w:szCs w:val="28"/>
        </w:rPr>
        <w:t xml:space="preserve">, </w:t>
      </w:r>
      <w:proofErr w:type="spellStart"/>
      <w:r w:rsidRPr="001D05CB">
        <w:rPr>
          <w:sz w:val="28"/>
          <w:szCs w:val="28"/>
        </w:rPr>
        <w:t>Hînceşti</w:t>
      </w:r>
      <w:proofErr w:type="spellEnd"/>
      <w:r w:rsidRPr="001D05CB">
        <w:rPr>
          <w:sz w:val="28"/>
          <w:szCs w:val="28"/>
        </w:rPr>
        <w:t>–</w:t>
      </w:r>
      <w:proofErr w:type="spellStart"/>
      <w:r w:rsidRPr="001D05CB">
        <w:rPr>
          <w:sz w:val="28"/>
          <w:szCs w:val="28"/>
        </w:rPr>
        <w:t>Cneazevca</w:t>
      </w:r>
      <w:proofErr w:type="spellEnd"/>
      <w:r w:rsidRPr="001D05CB">
        <w:rPr>
          <w:sz w:val="28"/>
          <w:szCs w:val="28"/>
        </w:rPr>
        <w:t xml:space="preserve">, </w:t>
      </w:r>
      <w:proofErr w:type="spellStart"/>
      <w:r w:rsidRPr="001D05CB">
        <w:rPr>
          <w:sz w:val="28"/>
          <w:szCs w:val="28"/>
        </w:rPr>
        <w:t>Şoldăneşti</w:t>
      </w:r>
      <w:proofErr w:type="spellEnd"/>
      <w:r w:rsidRPr="001D05CB">
        <w:rPr>
          <w:sz w:val="28"/>
          <w:szCs w:val="28"/>
        </w:rPr>
        <w:t>–</w:t>
      </w:r>
      <w:proofErr w:type="spellStart"/>
      <w:r w:rsidRPr="001D05CB">
        <w:rPr>
          <w:sz w:val="28"/>
          <w:szCs w:val="28"/>
        </w:rPr>
        <w:t>Ignăţei</w:t>
      </w:r>
      <w:proofErr w:type="spellEnd"/>
    </w:p>
    <w:p w14:paraId="4DEF26B9" w14:textId="77777777" w:rsidR="00FB0186" w:rsidRPr="009F1934" w:rsidRDefault="00FB0186" w:rsidP="00FF0C1D">
      <w:pPr>
        <w:pStyle w:val="cb"/>
        <w:spacing w:line="276" w:lineRule="auto"/>
        <w:jc w:val="both"/>
        <w:rPr>
          <w:b w:val="0"/>
          <w:lang w:val="ro-RO"/>
        </w:rPr>
      </w:pPr>
    </w:p>
    <w:p w14:paraId="6AAD77D2" w14:textId="77777777" w:rsidR="00FB0186" w:rsidRPr="009F1934" w:rsidRDefault="00FB0186" w:rsidP="00FF0C1D">
      <w:pPr>
        <w:spacing w:after="0" w:line="276" w:lineRule="auto"/>
        <w:jc w:val="center"/>
        <w:rPr>
          <w:rFonts w:ascii="Times New Roman" w:hAnsi="Times New Roman"/>
          <w:sz w:val="24"/>
          <w:szCs w:val="28"/>
          <w:lang w:val="ro-RO" w:eastAsia="ru-RU"/>
        </w:rPr>
      </w:pPr>
      <w:r w:rsidRPr="009F1934">
        <w:rPr>
          <w:rFonts w:ascii="Times New Roman" w:hAnsi="Times New Roman"/>
          <w:sz w:val="24"/>
          <w:szCs w:val="28"/>
          <w:lang w:val="ro-RO" w:eastAsia="ru-RU"/>
        </w:rPr>
        <w:t xml:space="preserve"> </w:t>
      </w:r>
    </w:p>
    <w:tbl>
      <w:tblPr>
        <w:tblW w:w="10206" w:type="dxa"/>
        <w:tblInd w:w="-572" w:type="dxa"/>
        <w:tblLook w:val="00A0" w:firstRow="1" w:lastRow="0" w:firstColumn="1" w:lastColumn="0" w:noHBand="0" w:noVBand="0"/>
      </w:tblPr>
      <w:tblGrid>
        <w:gridCol w:w="10206"/>
      </w:tblGrid>
      <w:tr w:rsidR="00FB0186" w:rsidRPr="00045197" w14:paraId="56E4BE79" w14:textId="77777777" w:rsidTr="001927C3">
        <w:tc>
          <w:tcPr>
            <w:tcW w:w="10206" w:type="dxa"/>
          </w:tcPr>
          <w:p w14:paraId="1BDAB3B8" w14:textId="77777777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1. </w:t>
            </w:r>
            <w:r w:rsidR="005A2EA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</w:t>
            </w: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utorul</w:t>
            </w:r>
            <w:r w:rsidR="00D47A1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proiectului</w:t>
            </w: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și, după caz, a participanților la elaborarea </w:t>
            </w:r>
            <w:r w:rsidR="00D47A1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acestuia</w:t>
            </w:r>
          </w:p>
          <w:p w14:paraId="6EBB19E0" w14:textId="77777777" w:rsidR="00FB0186" w:rsidRDefault="00FB0186" w:rsidP="00FF0C1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9F1934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Proiectul hotărârii Guvernului </w:t>
            </w:r>
            <w:r w:rsidRPr="00D47A16">
              <w:rPr>
                <w:rFonts w:ascii="Times New Roman" w:hAnsi="Times New Roman"/>
                <w:i/>
                <w:sz w:val="28"/>
                <w:szCs w:val="28"/>
                <w:lang w:val="ro-RO" w:eastAsia="ru-RU"/>
              </w:rPr>
              <w:t xml:space="preserve">„Cu privire la </w:t>
            </w:r>
            <w:r w:rsidR="00C07284">
              <w:rPr>
                <w:rFonts w:ascii="Times New Roman" w:hAnsi="Times New Roman"/>
                <w:i/>
                <w:sz w:val="28"/>
                <w:szCs w:val="28"/>
                <w:lang w:val="ro-RO" w:eastAsia="ru-RU"/>
              </w:rPr>
              <w:t>implementarea</w:t>
            </w:r>
            <w:r w:rsidR="0026515E">
              <w:rPr>
                <w:rFonts w:ascii="Times New Roman" w:hAnsi="Times New Roman"/>
                <w:i/>
                <w:sz w:val="28"/>
                <w:szCs w:val="28"/>
                <w:lang w:val="ro-RO" w:eastAsia="ru-RU"/>
              </w:rPr>
              <w:t xml:space="preserve"> unor măsuri pentru exproprierea </w:t>
            </w:r>
            <w:r w:rsidRPr="00D47A16">
              <w:rPr>
                <w:rFonts w:ascii="Times New Roman" w:hAnsi="Times New Roman"/>
                <w:i/>
                <w:sz w:val="28"/>
                <w:szCs w:val="28"/>
                <w:lang w:val="ro-RO" w:eastAsia="ru-RU"/>
              </w:rPr>
              <w:t>bunurilor imobile (terenurilor)</w:t>
            </w:r>
            <w:r w:rsidR="00F27C92">
              <w:rPr>
                <w:rFonts w:ascii="Times New Roman" w:hAnsi="Times New Roman"/>
                <w:i/>
                <w:sz w:val="28"/>
                <w:szCs w:val="28"/>
                <w:lang w:val="ro-RO" w:eastAsia="ru-RU"/>
              </w:rPr>
              <w:t xml:space="preserve"> </w:t>
            </w:r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situate pe amplasamentul lucrărilor de interes național de construcție şi de </w:t>
            </w:r>
            <w:proofErr w:type="spellStart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reconstrucţie</w:t>
            </w:r>
            <w:proofErr w:type="spellEnd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 a liniilor electrice de înaltă tensiune (110 kV) conform traseului  Drochia–</w:t>
            </w:r>
            <w:proofErr w:type="spellStart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Şuri</w:t>
            </w:r>
            <w:proofErr w:type="spellEnd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Şuri</w:t>
            </w:r>
            <w:proofErr w:type="spellEnd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–</w:t>
            </w:r>
            <w:proofErr w:type="spellStart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Donduşeni</w:t>
            </w:r>
            <w:proofErr w:type="spellEnd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Chişinău</w:t>
            </w:r>
            <w:proofErr w:type="spellEnd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–</w:t>
            </w:r>
            <w:proofErr w:type="spellStart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Hînceşti</w:t>
            </w:r>
            <w:proofErr w:type="spellEnd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Hînceşti</w:t>
            </w:r>
            <w:proofErr w:type="spellEnd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–Cneazevca, </w:t>
            </w:r>
            <w:proofErr w:type="spellStart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Şoldăneşti</w:t>
            </w:r>
            <w:proofErr w:type="spellEnd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–</w:t>
            </w:r>
            <w:proofErr w:type="spellStart"/>
            <w:r w:rsidRPr="00D47A16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Ignăţe</w:t>
            </w:r>
            <w:proofErr w:type="spellEnd"/>
            <w:r w:rsidRPr="00D47A16">
              <w:rPr>
                <w:rFonts w:ascii="Times New Roman" w:hAnsi="Times New Roman"/>
                <w:i/>
                <w:sz w:val="28"/>
                <w:szCs w:val="28"/>
                <w:lang w:val="ro-RO" w:eastAsia="ru-RU"/>
              </w:rPr>
              <w:t>”</w:t>
            </w:r>
            <w:r w:rsidRPr="009F1934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="00FA61F2">
              <w:rPr>
                <w:rFonts w:ascii="Times New Roman" w:hAnsi="Times New Roman"/>
                <w:sz w:val="28"/>
                <w:szCs w:val="28"/>
                <w:lang w:val="ro-RO" w:eastAsia="ru-RU"/>
              </w:rPr>
              <w:t>este el</w:t>
            </w:r>
            <w:r w:rsidRPr="009F1934">
              <w:rPr>
                <w:rFonts w:ascii="Times New Roman" w:hAnsi="Times New Roman"/>
                <w:sz w:val="28"/>
                <w:szCs w:val="28"/>
                <w:lang w:val="ro-RO" w:eastAsia="ru-RU"/>
              </w:rPr>
              <w:t>a</w:t>
            </w:r>
            <w:r w:rsidR="00FA61F2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borat </w:t>
            </w:r>
            <w:r w:rsidR="00B65B23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de către </w:t>
            </w:r>
            <w:r w:rsidRPr="009F1934">
              <w:rPr>
                <w:rFonts w:ascii="Times New Roman" w:hAnsi="Times New Roman"/>
                <w:sz w:val="28"/>
                <w:szCs w:val="28"/>
                <w:lang w:val="ro-RO" w:eastAsia="ru-RU"/>
              </w:rPr>
              <w:t>Ministerul Economiei și Infrastructurii.</w:t>
            </w:r>
          </w:p>
          <w:p w14:paraId="302D5A0F" w14:textId="0F87FB29" w:rsidR="00045197" w:rsidRPr="009F1934" w:rsidRDefault="00045197" w:rsidP="00FF0C1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</w:tc>
      </w:tr>
      <w:tr w:rsidR="00FB0186" w:rsidRPr="00045197" w14:paraId="02C545C7" w14:textId="77777777" w:rsidTr="00D73051">
        <w:trPr>
          <w:trHeight w:val="2977"/>
        </w:trPr>
        <w:tc>
          <w:tcPr>
            <w:tcW w:w="10206" w:type="dxa"/>
          </w:tcPr>
          <w:p w14:paraId="206C1DAC" w14:textId="77777777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2. Condițiile ce au impus elaborarea proiectului </w:t>
            </w:r>
            <w:r w:rsidR="001E4AA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de </w:t>
            </w: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act</w:t>
            </w:r>
            <w:r w:rsidR="001E4AA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normativ și finalitățile urmărite</w:t>
            </w:r>
          </w:p>
          <w:p w14:paraId="6EBB10AB" w14:textId="631E7459" w:rsidR="00FB0186" w:rsidRPr="006549FD" w:rsidRDefault="00FB0186" w:rsidP="00FF0C1D">
            <w:pPr>
              <w:pStyle w:val="tt"/>
              <w:spacing w:line="276" w:lineRule="auto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9F1934">
              <w:rPr>
                <w:b w:val="0"/>
                <w:sz w:val="28"/>
                <w:szCs w:val="28"/>
                <w:lang w:val="ro-RO"/>
              </w:rPr>
              <w:t xml:space="preserve">Proiectul de hotărâre a fost elaborat în </w:t>
            </w:r>
            <w:r w:rsidR="005830B2">
              <w:rPr>
                <w:b w:val="0"/>
                <w:sz w:val="28"/>
                <w:szCs w:val="28"/>
                <w:lang w:val="ro-RO"/>
              </w:rPr>
              <w:t xml:space="preserve">contextul </w:t>
            </w:r>
            <w:r w:rsidR="00FF0C1D">
              <w:rPr>
                <w:b w:val="0"/>
                <w:sz w:val="28"/>
                <w:szCs w:val="28"/>
                <w:lang w:val="ro-RO"/>
              </w:rPr>
              <w:t xml:space="preserve">implementării </w:t>
            </w:r>
            <w:r w:rsidR="005830B2">
              <w:rPr>
                <w:b w:val="0"/>
                <w:sz w:val="28"/>
                <w:szCs w:val="28"/>
                <w:lang w:val="ro-RO"/>
              </w:rPr>
              <w:t xml:space="preserve">prevederilor </w:t>
            </w:r>
            <w:r w:rsidR="00F27C92">
              <w:rPr>
                <w:b w:val="0"/>
                <w:sz w:val="28"/>
                <w:szCs w:val="28"/>
                <w:lang w:val="ro-RO"/>
              </w:rPr>
              <w:t xml:space="preserve">art.3 al </w:t>
            </w:r>
            <w:r w:rsidRPr="009F1934">
              <w:rPr>
                <w:b w:val="0"/>
                <w:sz w:val="28"/>
                <w:szCs w:val="28"/>
                <w:lang w:val="ro-RO"/>
              </w:rPr>
              <w:t xml:space="preserve">Legii nr. 67/2017 privind declararea 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utilităţii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 xml:space="preserve"> publice de interes 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naţional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 xml:space="preserve"> a lucrărilor de 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construcţie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 xml:space="preserve">  şi de  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reconstrucţie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 xml:space="preserve"> a liniilor electrice de înaltă tensiune (110 kV) conform traseului Drochia–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Şuri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Şuri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>–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Donduşeni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Chişinău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>–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Hînceşti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Hînceşti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 xml:space="preserve">–Cneazevca, 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Şoldăneşti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>–</w:t>
            </w:r>
            <w:proofErr w:type="spellStart"/>
            <w:r w:rsidRPr="009F1934">
              <w:rPr>
                <w:b w:val="0"/>
                <w:sz w:val="28"/>
                <w:szCs w:val="28"/>
                <w:lang w:val="ro-RO"/>
              </w:rPr>
              <w:t>Ignăţei</w:t>
            </w:r>
            <w:proofErr w:type="spellEnd"/>
            <w:r w:rsidRPr="009F1934">
              <w:rPr>
                <w:b w:val="0"/>
                <w:sz w:val="28"/>
                <w:szCs w:val="28"/>
                <w:lang w:val="ro-RO"/>
              </w:rPr>
              <w:t xml:space="preserve">, adoptată de Parlament </w:t>
            </w:r>
            <w:r w:rsidR="00697E3C">
              <w:rPr>
                <w:b w:val="0"/>
                <w:sz w:val="28"/>
                <w:szCs w:val="28"/>
                <w:lang w:val="ro-RO"/>
              </w:rPr>
              <w:t xml:space="preserve">în vederea </w:t>
            </w:r>
            <w:r w:rsidRPr="009F1934">
              <w:rPr>
                <w:b w:val="0"/>
                <w:sz w:val="28"/>
                <w:szCs w:val="28"/>
                <w:lang w:val="ro-RO"/>
              </w:rPr>
              <w:t>consolid</w:t>
            </w:r>
            <w:r w:rsidR="00697E3C">
              <w:rPr>
                <w:b w:val="0"/>
                <w:sz w:val="28"/>
                <w:szCs w:val="28"/>
                <w:lang w:val="ro-RO"/>
              </w:rPr>
              <w:t>ării</w:t>
            </w:r>
            <w:r w:rsidRPr="009F1934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Pr="006549FD">
              <w:rPr>
                <w:b w:val="0"/>
                <w:sz w:val="28"/>
                <w:szCs w:val="28"/>
                <w:lang w:val="ro-RO"/>
              </w:rPr>
              <w:t xml:space="preserve">securității energetice a țării. </w:t>
            </w:r>
          </w:p>
          <w:p w14:paraId="197B7160" w14:textId="77777777" w:rsidR="00FB0186" w:rsidRPr="006549FD" w:rsidRDefault="00FB0186" w:rsidP="00FF0C1D">
            <w:pPr>
              <w:spacing w:before="12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49FD">
              <w:rPr>
                <w:rFonts w:ascii="Times New Roman" w:hAnsi="Times New Roman"/>
                <w:sz w:val="28"/>
                <w:szCs w:val="28"/>
                <w:lang w:val="ro-RO"/>
              </w:rPr>
              <w:t>Proiectul de</w:t>
            </w:r>
            <w:r w:rsidRPr="006549F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proofErr w:type="spellStart"/>
            <w:r w:rsidRPr="006549FD">
              <w:rPr>
                <w:rFonts w:ascii="Times New Roman" w:hAnsi="Times New Roman"/>
                <w:sz w:val="28"/>
                <w:szCs w:val="28"/>
                <w:lang w:val="ro-RO"/>
              </w:rPr>
              <w:t>construcţie</w:t>
            </w:r>
            <w:proofErr w:type="spellEnd"/>
            <w:r w:rsidR="00697E3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  <w:proofErr w:type="spellStart"/>
            <w:r w:rsidRPr="006549FD">
              <w:rPr>
                <w:rFonts w:ascii="Times New Roman" w:hAnsi="Times New Roman"/>
                <w:sz w:val="28"/>
                <w:szCs w:val="28"/>
                <w:lang w:val="ro-RO"/>
              </w:rPr>
              <w:t>reconstrucţie</w:t>
            </w:r>
            <w:proofErr w:type="spellEnd"/>
            <w:r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a rețelei electrice de transport include proiectarea şi modernizarea unui număr de stații electrice şi linii electrice de transport și are ca scop fortificarea securității energetice a țării, a rețelelor electrice de transport și asigurarea fiabilă cu energie electrică a consumatorilor. </w:t>
            </w:r>
          </w:p>
          <w:p w14:paraId="2FB93017" w14:textId="77777777" w:rsidR="00FB0186" w:rsidRPr="006549FD" w:rsidRDefault="003F79D2" w:rsidP="00FF0C1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Astfel, î</w:t>
            </w:r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 urma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unui </w:t>
            </w:r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studiu de fezabilitate elaborat </w:t>
            </w:r>
            <w:r w:rsidR="00E72FB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 către Î.S ”Moldelectrica”, </w:t>
            </w:r>
            <w:r w:rsidR="00FB0186" w:rsidRPr="003576A4">
              <w:rPr>
                <w:rFonts w:ascii="Times New Roman" w:hAnsi="Times New Roman"/>
                <w:sz w:val="28"/>
                <w:szCs w:val="28"/>
                <w:lang w:val="ro-RO"/>
              </w:rPr>
              <w:t>s-a stabilit necesitatea de renovare a unor linii electrice aeriene, care necesită primordial de a fi reabilitate/modernizate,</w:t>
            </w:r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anume: construcția liniilor electrice aeriene (în continuare LEA) de 35 kV (în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gabarituri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110 kV)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Şoldăneşti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–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Ignăţei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(în anul 2000 această linie electrică, în urma condițiilor meteorologice nefavorabile (polei) a fost complet distrusă) și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reconstrucţia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LEA-110 kV Drochia –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Şuri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Şuri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–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Donduşeni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Chişinău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–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Hînceşti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Hînceşti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– Cneazevca.</w:t>
            </w:r>
            <w:r w:rsidR="00FB018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Aceste linii  au fost construite în anii 1962- 1970 și la momentul de </w:t>
            </w:r>
            <w:proofErr w:type="spellStart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faţă</w:t>
            </w:r>
            <w:proofErr w:type="spellEnd"/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au o uzură de 85-90%. </w:t>
            </w:r>
          </w:p>
          <w:p w14:paraId="6E76AF61" w14:textId="77777777" w:rsidR="00FB0186" w:rsidRPr="009F1934" w:rsidRDefault="00085B73" w:rsidP="00FF0C1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</w:t>
            </w:r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entru realizarea cu succes a proiectului au fost efectuate cercetările necesare, inclusiv identificate terenurile pe care vor fi </w:t>
            </w:r>
            <w:proofErr w:type="spellStart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>instalaţi</w:t>
            </w:r>
            <w:proofErr w:type="spellEnd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pilonii, </w:t>
            </w:r>
            <w:r w:rsidR="00D4478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realizate </w:t>
            </w:r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negocieri cu organele </w:t>
            </w:r>
            <w:proofErr w:type="spellStart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administraţiei</w:t>
            </w:r>
            <w:proofErr w:type="spellEnd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publice locale privind alocarea/schimbarea </w:t>
            </w:r>
            <w:proofErr w:type="spellStart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>destinaţiei</w:t>
            </w:r>
            <w:proofErr w:type="spellEnd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terenurilor, pe teritoriul cărora va fi efectuată </w:t>
            </w:r>
            <w:proofErr w:type="spellStart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>reconstrucţia</w:t>
            </w:r>
            <w:proofErr w:type="spellEnd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  <w:proofErr w:type="spellStart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>construcţia</w:t>
            </w:r>
            <w:proofErr w:type="spellEnd"/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LEA, cu persoanele fizice în proprietatea cărora se află </w:t>
            </w:r>
            <w:r w:rsidR="00111744">
              <w:rPr>
                <w:rFonts w:ascii="Times New Roman" w:hAnsi="Times New Roman"/>
                <w:sz w:val="28"/>
                <w:szCs w:val="28"/>
                <w:lang w:val="ro-RO"/>
              </w:rPr>
              <w:t>bunurile imobile (</w:t>
            </w:r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>terenurile</w:t>
            </w:r>
            <w:r w:rsidR="00111744">
              <w:rPr>
                <w:rFonts w:ascii="Times New Roman" w:hAnsi="Times New Roman"/>
                <w:sz w:val="28"/>
                <w:szCs w:val="28"/>
                <w:lang w:val="ro-RO"/>
              </w:rPr>
              <w:t>) indicate în anexa nr.1 la prezenta hot</w:t>
            </w:r>
            <w:r w:rsidR="00CA2EBF"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="00111744">
              <w:rPr>
                <w:rFonts w:ascii="Times New Roman" w:hAnsi="Times New Roman"/>
                <w:sz w:val="28"/>
                <w:szCs w:val="28"/>
                <w:lang w:val="ro-RO"/>
              </w:rPr>
              <w:t>râre</w:t>
            </w:r>
            <w:r w:rsidR="00FB0186"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</w:p>
          <w:p w14:paraId="5A3311F3" w14:textId="77777777" w:rsidR="0047652D" w:rsidRDefault="0029024C" w:rsidP="00FF0C1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Precizăm că, î</w:t>
            </w:r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 conformitate cu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prevederile studiului </w:t>
            </w:r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>lucrările de construcție</w:t>
            </w:r>
            <w:r w:rsidR="000D757B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  <w:r w:rsidR="00FB0186" w:rsidRPr="006549F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reconstrucție a LEA menționate vor fi executate inclusiv pe terenuri proprietate privată, </w:t>
            </w:r>
            <w:r w:rsidR="00FB0186" w:rsidRPr="00006C83">
              <w:rPr>
                <w:rFonts w:ascii="Times New Roman" w:hAnsi="Times New Roman"/>
                <w:sz w:val="28"/>
                <w:szCs w:val="28"/>
                <w:lang w:val="ro-RO"/>
              </w:rPr>
              <w:t>care aparțin la 787</w:t>
            </w:r>
            <w:r w:rsidR="00FB0186" w:rsidRPr="00006C8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="00FB0186" w:rsidRPr="00006C83">
              <w:rPr>
                <w:rFonts w:ascii="Times New Roman" w:hAnsi="Times New Roman"/>
                <w:sz w:val="28"/>
                <w:szCs w:val="28"/>
                <w:lang w:val="ro-RO"/>
              </w:rPr>
              <w:t>de proprietari privați, supra</w:t>
            </w:r>
            <w:r w:rsidR="00024C0C">
              <w:rPr>
                <w:rFonts w:ascii="Times New Roman" w:hAnsi="Times New Roman"/>
                <w:sz w:val="28"/>
                <w:szCs w:val="28"/>
                <w:lang w:val="ro-RO"/>
              </w:rPr>
              <w:t>fața acestor terenuri constituind</w:t>
            </w:r>
            <w:r w:rsidR="00FB0186" w:rsidRPr="00006C8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1,6749</w:t>
            </w:r>
            <w:r w:rsidR="00FB0186" w:rsidRPr="00006C8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="00FB0186" w:rsidRPr="00006C83">
              <w:rPr>
                <w:rFonts w:ascii="Times New Roman" w:hAnsi="Times New Roman"/>
                <w:sz w:val="28"/>
                <w:szCs w:val="28"/>
                <w:lang w:val="ro-RO"/>
              </w:rPr>
              <w:t>de hectare.</w:t>
            </w:r>
          </w:p>
          <w:p w14:paraId="74447EE6" w14:textId="77777777" w:rsidR="00FB0186" w:rsidRPr="009F1934" w:rsidRDefault="00D73051" w:rsidP="00FF0C1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o-RO" w:eastAsia="ru-RU"/>
              </w:rPr>
              <w:t>Totodată, î</w:t>
            </w:r>
            <w:r w:rsidR="00FB0186" w:rsidRPr="009F1934">
              <w:rPr>
                <w:rFonts w:ascii="Times New Roman" w:hAnsi="Times New Roman"/>
                <w:sz w:val="28"/>
                <w:szCs w:val="28"/>
                <w:lang w:val="ro-RO" w:eastAsia="ru-RU"/>
              </w:rPr>
              <w:t>n scopul asigurării unei reevaluări obiective a prejudiciilor materiale și determinării cuantumului despăgubirii pentru proprietarii/deținătorii de alte drepturi reale, care nu sunt de acord cu plata compensatorie calculată</w:t>
            </w:r>
            <w:r w:rsidR="00941864" w:rsidRPr="00941864">
              <w:rPr>
                <w:rFonts w:ascii="Times New Roman" w:hAnsi="Times New Roman"/>
                <w:sz w:val="28"/>
                <w:szCs w:val="28"/>
                <w:lang w:val="ro-RO" w:eastAsia="ru-RU"/>
              </w:rPr>
              <w:t>,</w:t>
            </w:r>
            <w:r w:rsidR="00FB0186" w:rsidRPr="009F1934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="00941864">
              <w:rPr>
                <w:rFonts w:ascii="Times New Roman" w:hAnsi="Times New Roman"/>
                <w:sz w:val="28"/>
                <w:szCs w:val="28"/>
                <w:lang w:val="ro-RO" w:eastAsia="ru-RU"/>
              </w:rPr>
              <w:t>l</w:t>
            </w:r>
            <w:r w:rsidR="00FB0186" w:rsidRPr="009F1934">
              <w:rPr>
                <w:rFonts w:ascii="Times New Roman" w:hAnsi="Times New Roman"/>
                <w:sz w:val="28"/>
                <w:szCs w:val="28"/>
                <w:lang w:val="ro-RO" w:eastAsia="ru-RU"/>
              </w:rPr>
              <w:t>egea prevede necesitatea instituirii de către Guvern a unei Comisii pentru soluționarea întâmpinărilor titularilor de drepturi expropriate, care sunt în dezacord cu propunerea de expropriere</w:t>
            </w:r>
            <w:r w:rsidR="000941C6">
              <w:rPr>
                <w:rFonts w:ascii="Times New Roman" w:hAnsi="Times New Roman"/>
                <w:sz w:val="28"/>
                <w:szCs w:val="28"/>
                <w:lang w:val="ro-RO" w:eastAsia="ru-RU"/>
              </w:rPr>
              <w:t>, componența căreia se aprobă conform anexei nr.2 la proiectul hotărârii</w:t>
            </w:r>
            <w:r w:rsidR="00FB0186" w:rsidRPr="009F1934">
              <w:rPr>
                <w:rFonts w:ascii="Times New Roman" w:hAnsi="Times New Roman"/>
                <w:sz w:val="28"/>
                <w:szCs w:val="28"/>
                <w:lang w:val="ro-RO" w:eastAsia="ru-RU"/>
              </w:rPr>
              <w:t>.</w:t>
            </w:r>
          </w:p>
        </w:tc>
      </w:tr>
      <w:tr w:rsidR="00FB0186" w:rsidRPr="00045197" w14:paraId="57B9E544" w14:textId="77777777" w:rsidTr="001927C3">
        <w:tc>
          <w:tcPr>
            <w:tcW w:w="10206" w:type="dxa"/>
          </w:tcPr>
          <w:p w14:paraId="65129F75" w14:textId="77777777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3. Principalele prevederi ale proiectului și evidențierea elementelor noi</w:t>
            </w:r>
          </w:p>
          <w:p w14:paraId="167C463E" w14:textId="77777777" w:rsidR="00C46CC6" w:rsidRDefault="00FB0186" w:rsidP="00FF0C1D">
            <w:pPr>
              <w:spacing w:after="0" w:line="276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</w:pPr>
            <w:r w:rsidRPr="009F19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Prevederile proiectului hotărârii de Guvern derivă din prevederile Legii nr. 67/2017, fiind identificat în anexele la hotărâre</w:t>
            </w:r>
            <w:r w:rsidR="00C46CC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.</w:t>
            </w:r>
          </w:p>
          <w:p w14:paraId="1BEFA489" w14:textId="77777777" w:rsidR="00FB0186" w:rsidRDefault="00087E1E" w:rsidP="00FF0C1D">
            <w:pPr>
              <w:spacing w:after="0" w:line="276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Astfel, prin aprobarea</w:t>
            </w:r>
            <w:r w:rsidR="00584D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 </w:t>
            </w:r>
            <w:r w:rsidR="00FB0186" w:rsidRPr="009F19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hotărârii în cauză se va stabili cu exactitate obiectul exproprierii de interes național </w:t>
            </w:r>
            <w:r w:rsidR="005A31B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și lista </w:t>
            </w:r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bunurilor imobile (terenurilor)</w:t>
            </w:r>
            <w:r w:rsidR="005A31B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,</w:t>
            </w:r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 care </w:t>
            </w:r>
            <w:r w:rsidR="005A31B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sunt </w:t>
            </w:r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afectate de lucrările necesare pentru construcția şi  </w:t>
            </w:r>
            <w:proofErr w:type="spellStart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reconstrucţia</w:t>
            </w:r>
            <w:proofErr w:type="spellEnd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 liniilor electrice de înaltă tensiune (110 kV) conform traseului Drochia-</w:t>
            </w:r>
            <w:proofErr w:type="spellStart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Şuri</w:t>
            </w:r>
            <w:proofErr w:type="spellEnd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, </w:t>
            </w:r>
            <w:proofErr w:type="spellStart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Şuri-Donduşeni</w:t>
            </w:r>
            <w:proofErr w:type="spellEnd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, </w:t>
            </w:r>
            <w:proofErr w:type="spellStart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Chişinău-Hînceşti</w:t>
            </w:r>
            <w:proofErr w:type="spellEnd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, </w:t>
            </w:r>
            <w:proofErr w:type="spellStart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Hînceşti</w:t>
            </w:r>
            <w:proofErr w:type="spellEnd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-Cneazevca, </w:t>
            </w:r>
            <w:proofErr w:type="spellStart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Şoldăneşti-Ignăţei</w:t>
            </w:r>
            <w:proofErr w:type="spellEnd"/>
            <w:r w:rsidR="005A31BE" w:rsidRPr="0085203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, declarate de interes național. </w:t>
            </w:r>
          </w:p>
          <w:p w14:paraId="389F70DF" w14:textId="1ADC993E" w:rsidR="00045197" w:rsidRPr="009F1934" w:rsidRDefault="00045197" w:rsidP="00FF0C1D">
            <w:pPr>
              <w:spacing w:after="0" w:line="276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</w:pPr>
          </w:p>
        </w:tc>
      </w:tr>
      <w:tr w:rsidR="00FB0186" w:rsidRPr="00045197" w14:paraId="2639EDED" w14:textId="77777777" w:rsidTr="001927C3">
        <w:tc>
          <w:tcPr>
            <w:tcW w:w="10206" w:type="dxa"/>
          </w:tcPr>
          <w:p w14:paraId="119D3BC5" w14:textId="77777777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4. Fundamentarea </w:t>
            </w:r>
            <w:proofErr w:type="spellStart"/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-financiară</w:t>
            </w:r>
          </w:p>
          <w:p w14:paraId="580AB4C7" w14:textId="77777777" w:rsidR="00FB0186" w:rsidRPr="009F1934" w:rsidRDefault="00FB0186" w:rsidP="00FF0C1D">
            <w:pPr>
              <w:pStyle w:val="pb"/>
              <w:spacing w:line="276" w:lineRule="auto"/>
              <w:jc w:val="both"/>
              <w:rPr>
                <w:i w:val="0"/>
                <w:color w:val="auto"/>
                <w:sz w:val="28"/>
                <w:szCs w:val="28"/>
                <w:lang w:val="ro-RO"/>
              </w:rPr>
            </w:pPr>
            <w:r w:rsidRPr="009F1934">
              <w:rPr>
                <w:i w:val="0"/>
                <w:color w:val="auto"/>
                <w:sz w:val="28"/>
                <w:szCs w:val="28"/>
                <w:lang w:val="ro-RO"/>
              </w:rPr>
              <w:t xml:space="preserve">Implementarea prevederilor proiectului hotărârii de Guvern în partea ce </w:t>
            </w:r>
            <w:r w:rsidRPr="006B1817">
              <w:rPr>
                <w:i w:val="0"/>
                <w:color w:val="auto"/>
                <w:sz w:val="28"/>
                <w:szCs w:val="28"/>
                <w:lang w:val="ro-RO"/>
              </w:rPr>
              <w:t>dispune</w:t>
            </w:r>
            <w:r w:rsidRPr="009F1934">
              <w:rPr>
                <w:i w:val="0"/>
                <w:color w:val="auto"/>
                <w:sz w:val="28"/>
                <w:szCs w:val="28"/>
                <w:lang w:val="ro-RO"/>
              </w:rPr>
              <w:t xml:space="preserve"> plata </w:t>
            </w:r>
          </w:p>
          <w:p w14:paraId="1DD2C24B" w14:textId="013A5F2D" w:rsidR="004702C7" w:rsidRDefault="00FB0186" w:rsidP="00FF0C1D">
            <w:pPr>
              <w:pStyle w:val="pb"/>
              <w:spacing w:line="276" w:lineRule="auto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9F1934">
              <w:rPr>
                <w:i w:val="0"/>
                <w:color w:val="auto"/>
                <w:sz w:val="28"/>
                <w:szCs w:val="28"/>
                <w:lang w:val="ro-RO"/>
              </w:rPr>
              <w:t>despăgubirilor către expropriați</w:t>
            </w:r>
            <w:r>
              <w:rPr>
                <w:i w:val="0"/>
                <w:color w:val="auto"/>
                <w:sz w:val="28"/>
                <w:szCs w:val="28"/>
                <w:lang w:val="ro-RO"/>
              </w:rPr>
              <w:t xml:space="preserve"> și</w:t>
            </w:r>
            <w:r w:rsidRPr="009F1934">
              <w:rPr>
                <w:i w:val="0"/>
                <w:color w:val="auto"/>
                <w:sz w:val="28"/>
                <w:szCs w:val="28"/>
                <w:lang w:val="ro-RO"/>
              </w:rPr>
              <w:t xml:space="preserve"> </w:t>
            </w:r>
            <w:r w:rsidRPr="009F5589">
              <w:rPr>
                <w:i w:val="0"/>
                <w:color w:val="auto"/>
                <w:sz w:val="28"/>
                <w:szCs w:val="28"/>
                <w:lang w:val="ro-RO"/>
              </w:rPr>
              <w:t>lucrărilor cadastrale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9F1934">
              <w:rPr>
                <w:i w:val="0"/>
                <w:color w:val="auto"/>
                <w:sz w:val="28"/>
                <w:szCs w:val="28"/>
                <w:lang w:val="ro-RO"/>
              </w:rPr>
              <w:t xml:space="preserve">se va efectua din mijloacele alocate </w:t>
            </w:r>
            <w:r w:rsidRPr="006B1817">
              <w:rPr>
                <w:i w:val="0"/>
                <w:color w:val="auto"/>
                <w:sz w:val="28"/>
                <w:szCs w:val="28"/>
                <w:lang w:val="ro-RO"/>
              </w:rPr>
              <w:t>de la</w:t>
            </w:r>
            <w:r w:rsidRPr="009F1934">
              <w:rPr>
                <w:i w:val="0"/>
                <w:color w:val="FF00FF"/>
                <w:sz w:val="28"/>
                <w:szCs w:val="28"/>
                <w:lang w:val="ro-RO"/>
              </w:rPr>
              <w:t xml:space="preserve"> </w:t>
            </w:r>
            <w:r w:rsidRPr="009F1934">
              <w:rPr>
                <w:i w:val="0"/>
                <w:color w:val="auto"/>
                <w:sz w:val="28"/>
                <w:szCs w:val="28"/>
                <w:lang w:val="ro-RO"/>
              </w:rPr>
              <w:t xml:space="preserve">bugetul de stat </w:t>
            </w:r>
            <w:bookmarkStart w:id="0" w:name="_GoBack"/>
            <w:bookmarkEnd w:id="0"/>
            <w:r w:rsidRPr="000018EF">
              <w:rPr>
                <w:i w:val="0"/>
                <w:color w:val="auto"/>
                <w:sz w:val="28"/>
                <w:szCs w:val="28"/>
                <w:lang w:val="ro-RO"/>
              </w:rPr>
              <w:t>în mărime de</w:t>
            </w:r>
            <w:r>
              <w:rPr>
                <w:i w:val="0"/>
                <w:color w:val="auto"/>
                <w:sz w:val="28"/>
                <w:szCs w:val="28"/>
                <w:lang w:val="ro-RO"/>
              </w:rPr>
              <w:t xml:space="preserve"> </w:t>
            </w:r>
            <w:r w:rsidRPr="009F1934">
              <w:rPr>
                <w:i w:val="0"/>
                <w:color w:val="auto"/>
                <w:sz w:val="28"/>
                <w:szCs w:val="28"/>
                <w:lang w:val="ro-RO"/>
              </w:rPr>
              <w:t>7845,0 mii. lei</w:t>
            </w:r>
            <w:r w:rsidRPr="009F1934">
              <w:rPr>
                <w:color w:val="auto"/>
                <w:sz w:val="28"/>
                <w:szCs w:val="28"/>
                <w:lang w:val="ro-RO"/>
              </w:rPr>
              <w:t xml:space="preserve"> </w:t>
            </w:r>
            <w:r w:rsidRPr="004702C7">
              <w:rPr>
                <w:color w:val="auto"/>
                <w:sz w:val="28"/>
                <w:szCs w:val="28"/>
                <w:lang w:val="ro-RO"/>
              </w:rPr>
              <w:t>(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 xml:space="preserve">Legea RM nr. </w:t>
            </w:r>
            <w:r w:rsidR="0074447E" w:rsidRPr="00DA7775">
              <w:rPr>
                <w:color w:val="auto"/>
                <w:sz w:val="28"/>
                <w:szCs w:val="28"/>
                <w:lang w:val="ro-RO"/>
              </w:rPr>
              <w:t>303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>/</w:t>
            </w:r>
            <w:r w:rsidR="0074447E" w:rsidRPr="00DA7775">
              <w:rPr>
                <w:color w:val="auto"/>
                <w:sz w:val="28"/>
                <w:szCs w:val="28"/>
                <w:lang w:val="ro-RO"/>
              </w:rPr>
              <w:t>30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>.1</w:t>
            </w:r>
            <w:r w:rsidR="0074447E" w:rsidRPr="00DA7775">
              <w:rPr>
                <w:color w:val="auto"/>
                <w:sz w:val="28"/>
                <w:szCs w:val="28"/>
                <w:lang w:val="ro-RO"/>
              </w:rPr>
              <w:t>1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>.1</w:t>
            </w:r>
            <w:r w:rsidR="00423C24" w:rsidRPr="00DA7775">
              <w:rPr>
                <w:color w:val="auto"/>
                <w:sz w:val="28"/>
                <w:szCs w:val="28"/>
                <w:lang w:val="ro-RO"/>
              </w:rPr>
              <w:t>8</w:t>
            </w:r>
            <w:r w:rsidRPr="004702C7">
              <w:rPr>
                <w:color w:val="auto"/>
                <w:sz w:val="28"/>
                <w:szCs w:val="28"/>
                <w:lang w:val="ro-RO"/>
              </w:rPr>
              <w:t>,</w:t>
            </w:r>
            <w:r w:rsidRPr="00DA7775">
              <w:rPr>
                <w:b/>
                <w:color w:val="auto"/>
                <w:sz w:val="28"/>
                <w:szCs w:val="28"/>
                <w:lang w:val="ro-RO"/>
              </w:rPr>
              <w:t xml:space="preserve"> </w:t>
            </w:r>
            <w:r w:rsidR="005A3287" w:rsidRPr="00DA7775">
              <w:rPr>
                <w:color w:val="auto"/>
                <w:sz w:val="28"/>
                <w:szCs w:val="28"/>
                <w:lang w:val="ro-RO"/>
              </w:rPr>
              <w:t xml:space="preserve">Monitorul </w:t>
            </w:r>
            <w:r w:rsidR="00423C24" w:rsidRPr="00DA7775">
              <w:rPr>
                <w:color w:val="auto"/>
                <w:sz w:val="28"/>
                <w:szCs w:val="28"/>
                <w:lang w:val="ro-RO"/>
              </w:rPr>
              <w:t>Oficial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>, nr.</w:t>
            </w:r>
            <w:r w:rsidR="00DA7775" w:rsidRPr="00DA7775">
              <w:rPr>
                <w:color w:val="auto"/>
                <w:sz w:val="28"/>
                <w:szCs w:val="28"/>
                <w:lang w:val="ro-RO"/>
              </w:rPr>
              <w:t>504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>-</w:t>
            </w:r>
            <w:r w:rsidR="00DA7775" w:rsidRPr="00DA7775">
              <w:rPr>
                <w:color w:val="auto"/>
                <w:sz w:val="28"/>
                <w:szCs w:val="28"/>
                <w:lang w:val="ro-RO"/>
              </w:rPr>
              <w:t>511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>/</w:t>
            </w:r>
            <w:r w:rsidR="00DA7775" w:rsidRPr="00DA7775">
              <w:rPr>
                <w:color w:val="auto"/>
                <w:sz w:val="28"/>
                <w:szCs w:val="28"/>
                <w:lang w:val="ro-RO"/>
              </w:rPr>
              <w:t>842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> din 2</w:t>
            </w:r>
            <w:r w:rsidR="00DA7775" w:rsidRPr="00DA7775">
              <w:rPr>
                <w:color w:val="auto"/>
                <w:sz w:val="28"/>
                <w:szCs w:val="28"/>
                <w:lang w:val="ro-RO"/>
              </w:rPr>
              <w:t>2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>.12.201</w:t>
            </w:r>
            <w:r w:rsidR="00DA7775" w:rsidRPr="00DA7775">
              <w:rPr>
                <w:color w:val="auto"/>
                <w:sz w:val="28"/>
                <w:szCs w:val="28"/>
                <w:lang w:val="ro-RO"/>
              </w:rPr>
              <w:t>8</w:t>
            </w:r>
            <w:r w:rsidRPr="00DA7775">
              <w:rPr>
                <w:color w:val="auto"/>
                <w:sz w:val="28"/>
                <w:szCs w:val="28"/>
                <w:lang w:val="ro-RO"/>
              </w:rPr>
              <w:t>).</w:t>
            </w:r>
          </w:p>
          <w:p w14:paraId="2DC629AF" w14:textId="5387DA69" w:rsidR="00045197" w:rsidRPr="009F5589" w:rsidRDefault="00045197" w:rsidP="00FF0C1D">
            <w:pPr>
              <w:pStyle w:val="pb"/>
              <w:spacing w:line="276" w:lineRule="auto"/>
              <w:jc w:val="both"/>
              <w:rPr>
                <w:i w:val="0"/>
                <w:color w:val="auto"/>
                <w:sz w:val="28"/>
                <w:szCs w:val="28"/>
                <w:lang w:val="ro-RO"/>
              </w:rPr>
            </w:pPr>
          </w:p>
        </w:tc>
      </w:tr>
      <w:tr w:rsidR="00FB0186" w:rsidRPr="00045197" w14:paraId="49040948" w14:textId="77777777" w:rsidTr="001927C3">
        <w:tc>
          <w:tcPr>
            <w:tcW w:w="10206" w:type="dxa"/>
          </w:tcPr>
          <w:p w14:paraId="17695E4A" w14:textId="77777777" w:rsidR="00E52F30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5. Modul de încorporare a actulu</w:t>
            </w:r>
            <w:r w:rsidR="00E52F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 în cadrul normativ în vigoare</w:t>
            </w:r>
          </w:p>
          <w:p w14:paraId="42152E0B" w14:textId="77777777" w:rsidR="00FB0186" w:rsidRDefault="00B12AA7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40"/>
                <w:szCs w:val="40"/>
                <w:shd w:val="clear" w:color="auto" w:fill="FFFFFF"/>
                <w:lang w:val="ro-RO" w:eastAsia="ar-S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P</w:t>
            </w:r>
            <w:r w:rsidR="00C62E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roiectul </w:t>
            </w:r>
            <w:r w:rsidR="007418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hotă</w:t>
            </w:r>
            <w:r w:rsidR="00700A2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râ</w:t>
            </w:r>
            <w:r w:rsidR="007418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 xml:space="preserve">rii nominalizate </w:t>
            </w:r>
            <w:r w:rsidR="00FB0186" w:rsidRPr="009F193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RO" w:eastAsia="ar-SA"/>
              </w:rPr>
              <w:t>reprezintă un instrument de punere în aplicare a Legii nr. 67/2017 și se încadrează în cadrul normativ secundar de implementare a prevederilor acesteia.</w:t>
            </w:r>
            <w:r w:rsidR="00FB0186" w:rsidRPr="009F1934">
              <w:rPr>
                <w:rFonts w:ascii="Times New Roman" w:hAnsi="Times New Roman"/>
                <w:sz w:val="40"/>
                <w:szCs w:val="40"/>
                <w:shd w:val="clear" w:color="auto" w:fill="FFFFFF"/>
                <w:lang w:val="ro-RO" w:eastAsia="ar-SA"/>
              </w:rPr>
              <w:t xml:space="preserve"> </w:t>
            </w:r>
          </w:p>
          <w:p w14:paraId="4052F168" w14:textId="39746A0C" w:rsidR="00045197" w:rsidRPr="00E52F30" w:rsidRDefault="00045197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FB0186" w:rsidRPr="00045197" w14:paraId="390B54F9" w14:textId="77777777" w:rsidTr="001927C3">
        <w:tc>
          <w:tcPr>
            <w:tcW w:w="10206" w:type="dxa"/>
          </w:tcPr>
          <w:p w14:paraId="3AE4FB94" w14:textId="77777777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6. Avizarea și consultarea publică a proiectului</w:t>
            </w:r>
          </w:p>
          <w:p w14:paraId="7D94303B" w14:textId="77777777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40"/>
                <w:szCs w:val="40"/>
                <w:lang w:val="ro-RO"/>
              </w:rPr>
            </w:pPr>
            <w:r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este supus avizării și consultării publice conform art. 32 din Legea 100/2017 cu privire la actele normative, fiind expediat părților interesate și plasat pe pagina web a Ministerului Economiei și Infrastructurii </w:t>
            </w:r>
            <w:hyperlink r:id="rId4" w:history="1">
              <w:r w:rsidRPr="009F1934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ro-RO"/>
                </w:rPr>
                <w:t>www.mei.gov.md</w:t>
              </w:r>
            </w:hyperlink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smartTag w:uri="urn:schemas-microsoft-com:office:smarttags" w:element="PersonName">
              <w:smartTagPr>
                <w:attr w:name="ProductID" w:val="la compartimentul Transparen"/>
              </w:smartTagPr>
              <w:r>
                <w:rPr>
                  <w:rFonts w:ascii="Times New Roman" w:hAnsi="Times New Roman"/>
                  <w:sz w:val="28"/>
                  <w:szCs w:val="28"/>
                  <w:lang w:val="ro-RO"/>
                </w:rPr>
                <w:t xml:space="preserve">la </w:t>
              </w:r>
              <w:r w:rsidRPr="009F1934">
                <w:rPr>
                  <w:rFonts w:ascii="Times New Roman" w:hAnsi="Times New Roman"/>
                  <w:sz w:val="28"/>
                  <w:szCs w:val="28"/>
                  <w:lang w:val="ro-RO"/>
                </w:rPr>
                <w:t>compartimentul Transparen</w:t>
              </w:r>
            </w:smartTag>
            <w:r w:rsidRPr="009F1934">
              <w:rPr>
                <w:rFonts w:ascii="Times New Roman" w:hAnsi="Times New Roman"/>
                <w:sz w:val="28"/>
                <w:szCs w:val="28"/>
                <w:lang w:val="ro-RO"/>
              </w:rPr>
              <w:t>ță/Anunțuri de proiecte şi consultări publice.</w:t>
            </w:r>
            <w:r w:rsidRPr="009F1934">
              <w:rPr>
                <w:rFonts w:ascii="Times New Roman" w:hAnsi="Times New Roman"/>
                <w:sz w:val="40"/>
                <w:szCs w:val="40"/>
                <w:lang w:val="ro-RO"/>
              </w:rPr>
              <w:t xml:space="preserve"> </w:t>
            </w:r>
          </w:p>
        </w:tc>
      </w:tr>
      <w:tr w:rsidR="00FB0186" w:rsidRPr="00045197" w14:paraId="2C0C27C5" w14:textId="77777777" w:rsidTr="001927C3">
        <w:tc>
          <w:tcPr>
            <w:tcW w:w="10206" w:type="dxa"/>
          </w:tcPr>
          <w:p w14:paraId="02C7B2F2" w14:textId="77777777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7. Constatările expertizei anticorupție</w:t>
            </w:r>
          </w:p>
          <w:p w14:paraId="36C74E28" w14:textId="77777777" w:rsidR="00FB0186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40"/>
                <w:szCs w:val="40"/>
                <w:lang w:val="ro-RO"/>
              </w:rPr>
            </w:pPr>
            <w:r w:rsidRPr="004249CF">
              <w:rPr>
                <w:rFonts w:ascii="Times New Roman" w:hAnsi="Times New Roman"/>
                <w:sz w:val="28"/>
                <w:szCs w:val="28"/>
                <w:lang w:val="ro-RO"/>
              </w:rPr>
              <w:t>Proiectul este supus expertizei anticorupție conform art. 35 din Legea 100/2017, fiind solicitată efectuarea expertizei de către Centrul Național Anticorupție.</w:t>
            </w:r>
            <w:r w:rsidRPr="004249CF">
              <w:rPr>
                <w:rFonts w:ascii="Times New Roman" w:hAnsi="Times New Roman"/>
                <w:sz w:val="40"/>
                <w:szCs w:val="40"/>
                <w:lang w:val="ro-RO"/>
              </w:rPr>
              <w:t xml:space="preserve"> </w:t>
            </w:r>
          </w:p>
          <w:p w14:paraId="4228A343" w14:textId="226278F7" w:rsidR="00FF0C1D" w:rsidRPr="004249CF" w:rsidRDefault="00FF0C1D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40"/>
                <w:szCs w:val="40"/>
                <w:lang w:val="ro-RO"/>
              </w:rPr>
            </w:pPr>
          </w:p>
        </w:tc>
      </w:tr>
      <w:tr w:rsidR="00FB0186" w:rsidRPr="009F1934" w14:paraId="1F155200" w14:textId="77777777" w:rsidTr="001927C3">
        <w:tc>
          <w:tcPr>
            <w:tcW w:w="10206" w:type="dxa"/>
          </w:tcPr>
          <w:p w14:paraId="695E86A8" w14:textId="77777777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8. Constatările expertizei juridice</w:t>
            </w:r>
          </w:p>
          <w:p w14:paraId="6A60CFEB" w14:textId="77777777" w:rsidR="00FB0186" w:rsidRPr="004249CF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40"/>
                <w:szCs w:val="40"/>
                <w:lang w:val="ro-RO"/>
              </w:rPr>
            </w:pPr>
            <w:r w:rsidRPr="004249CF">
              <w:rPr>
                <w:rFonts w:ascii="Times New Roman" w:hAnsi="Times New Roman"/>
                <w:sz w:val="28"/>
                <w:szCs w:val="28"/>
                <w:lang w:val="ro-RO"/>
              </w:rPr>
              <w:t>Proiectul este supus expertizei juridice conform art. 37 din Legea 100/2017, fiind solicitată efectuarea expertizei de către Ministerul Justiției.</w:t>
            </w:r>
          </w:p>
        </w:tc>
      </w:tr>
      <w:tr w:rsidR="00FB0186" w:rsidRPr="009F1934" w14:paraId="2E3D65F7" w14:textId="77777777" w:rsidTr="001927C3">
        <w:trPr>
          <w:trHeight w:val="132"/>
        </w:trPr>
        <w:tc>
          <w:tcPr>
            <w:tcW w:w="10206" w:type="dxa"/>
          </w:tcPr>
          <w:p w14:paraId="0FF7857F" w14:textId="4194341D" w:rsidR="00FB0186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9. Constatările expertizei financiare</w:t>
            </w:r>
          </w:p>
          <w:p w14:paraId="6DA00763" w14:textId="77777777" w:rsidR="00045197" w:rsidRPr="009F1934" w:rsidRDefault="00045197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3EBC50E" w14:textId="77777777" w:rsidR="00FB0186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249CF">
              <w:rPr>
                <w:rFonts w:ascii="Times New Roman" w:hAnsi="Times New Roman"/>
                <w:sz w:val="28"/>
                <w:szCs w:val="28"/>
                <w:lang w:val="ro-RO"/>
              </w:rPr>
              <w:t>Proiectul este supus expertizei financiare conform art. 34 alin. (5) din Legea 100/2017, fiind solicitată efectuarea expertizei de către Ministerul Finanțelor.</w:t>
            </w:r>
          </w:p>
          <w:p w14:paraId="25C91528" w14:textId="694FC2A9" w:rsidR="00045197" w:rsidRPr="004249CF" w:rsidRDefault="00045197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40"/>
                <w:szCs w:val="40"/>
                <w:lang w:val="ro-RO"/>
              </w:rPr>
            </w:pPr>
          </w:p>
        </w:tc>
      </w:tr>
      <w:tr w:rsidR="00FB0186" w:rsidRPr="009F1934" w14:paraId="2AFFB9B0" w14:textId="77777777" w:rsidTr="001927C3">
        <w:trPr>
          <w:trHeight w:val="132"/>
        </w:trPr>
        <w:tc>
          <w:tcPr>
            <w:tcW w:w="10206" w:type="dxa"/>
          </w:tcPr>
          <w:p w14:paraId="047D84AF" w14:textId="2F484C6A" w:rsidR="00FB0186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10. Alte expertize</w:t>
            </w:r>
          </w:p>
          <w:p w14:paraId="5E57D9C8" w14:textId="0E12BACE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nu </w:t>
            </w:r>
            <w:r w:rsidR="00045197" w:rsidRPr="009F1934">
              <w:rPr>
                <w:rFonts w:ascii="Times New Roman" w:hAnsi="Times New Roman"/>
                <w:sz w:val="28"/>
                <w:szCs w:val="28"/>
                <w:lang w:val="ro-RO"/>
              </w:rPr>
              <w:t>conține</w:t>
            </w:r>
            <w:r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prevederi de reglementare a </w:t>
            </w:r>
            <w:r w:rsidR="00FF0C1D" w:rsidRPr="009F1934">
              <w:rPr>
                <w:rFonts w:ascii="Times New Roman" w:hAnsi="Times New Roman"/>
                <w:sz w:val="28"/>
                <w:szCs w:val="28"/>
                <w:lang w:val="ro-RO"/>
              </w:rPr>
              <w:t>activității</w:t>
            </w:r>
            <w:r w:rsidRPr="009F193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întreprinzător în sensul Legii nr.235/2006 cu privire la principiile de bază de reglementare a activității de întreprinzător, astfel decăzând necesitatea examinării acestuia de către Grupul de lucru pentru reglementarea activității de întreprinzător.</w:t>
            </w:r>
          </w:p>
          <w:p w14:paraId="6B4AADF0" w14:textId="77777777" w:rsidR="00FB0186" w:rsidRPr="009F1934" w:rsidRDefault="00FB0186" w:rsidP="00FF0C1D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F1934">
              <w:rPr>
                <w:rFonts w:ascii="Times New Roman" w:hAnsi="Times New Roman"/>
                <w:sz w:val="28"/>
                <w:szCs w:val="28"/>
                <w:lang w:val="ro-RO"/>
              </w:rPr>
              <w:t>De asemenea, proiectul nu cade sub incidența altor expertize necesare a fi efectuate în condițiile Legii nr.100/2017.</w:t>
            </w:r>
          </w:p>
        </w:tc>
      </w:tr>
    </w:tbl>
    <w:p w14:paraId="2F836530" w14:textId="77777777" w:rsidR="00FB0186" w:rsidRDefault="00FB0186" w:rsidP="00FF0C1D">
      <w:pPr>
        <w:spacing w:line="276" w:lineRule="auto"/>
        <w:rPr>
          <w:sz w:val="28"/>
          <w:szCs w:val="28"/>
          <w:lang w:val="ro-RO"/>
        </w:rPr>
      </w:pPr>
    </w:p>
    <w:p w14:paraId="5ECDAA84" w14:textId="77777777" w:rsidR="00311F90" w:rsidRPr="009F1934" w:rsidRDefault="00311F90" w:rsidP="00FF0C1D">
      <w:pPr>
        <w:spacing w:line="276" w:lineRule="auto"/>
        <w:rPr>
          <w:sz w:val="28"/>
          <w:szCs w:val="28"/>
          <w:lang w:val="ro-RO"/>
        </w:rPr>
      </w:pPr>
    </w:p>
    <w:p w14:paraId="11881990" w14:textId="28C3BC83" w:rsidR="00FF0C1D" w:rsidRPr="00FF0C1D" w:rsidRDefault="00045197" w:rsidP="00FF0C1D">
      <w:pPr>
        <w:spacing w:after="0" w:line="276" w:lineRule="auto"/>
        <w:jc w:val="center"/>
        <w:rPr>
          <w:rFonts w:ascii="Times New Roman" w:eastAsia="Calibri" w:hAnsi="Times New Roman"/>
          <w:i/>
          <w:sz w:val="18"/>
          <w:szCs w:val="18"/>
          <w:lang w:val="ro-MD"/>
        </w:rPr>
      </w:pPr>
      <w:r>
        <w:rPr>
          <w:rFonts w:ascii="Times New Roman" w:eastAsia="Calibri" w:hAnsi="Times New Roman"/>
          <w:b/>
          <w:sz w:val="28"/>
          <w:szCs w:val="28"/>
          <w:lang w:val="ro-RO"/>
        </w:rPr>
        <w:t>Secretar de stat</w:t>
      </w:r>
      <w:r w:rsidR="00FF0C1D" w:rsidRPr="00FF0C1D">
        <w:rPr>
          <w:rFonts w:ascii="Times New Roman" w:eastAsia="Calibri" w:hAnsi="Times New Roman"/>
          <w:b/>
          <w:sz w:val="28"/>
          <w:szCs w:val="28"/>
          <w:lang w:val="ro-RO"/>
        </w:rPr>
        <w:t xml:space="preserve">                                                          </w:t>
      </w:r>
      <w:r>
        <w:rPr>
          <w:rFonts w:ascii="Times New Roman" w:eastAsia="Calibri" w:hAnsi="Times New Roman"/>
          <w:b/>
          <w:sz w:val="28"/>
          <w:szCs w:val="28"/>
          <w:lang w:val="ro-RO"/>
        </w:rPr>
        <w:t>Ionela COSTACHI</w:t>
      </w:r>
    </w:p>
    <w:p w14:paraId="7E843348" w14:textId="77777777" w:rsidR="00FB0186" w:rsidRDefault="00FB0186" w:rsidP="00FF0C1D">
      <w:pPr>
        <w:spacing w:line="276" w:lineRule="auto"/>
        <w:rPr>
          <w:sz w:val="40"/>
          <w:szCs w:val="40"/>
          <w:lang w:val="ro-RO"/>
        </w:rPr>
      </w:pPr>
    </w:p>
    <w:p w14:paraId="30B055C8" w14:textId="77777777" w:rsidR="00237F45" w:rsidRDefault="00237F45" w:rsidP="00FF0C1D">
      <w:pPr>
        <w:spacing w:line="276" w:lineRule="auto"/>
        <w:rPr>
          <w:sz w:val="40"/>
          <w:szCs w:val="40"/>
          <w:lang w:val="ro-RO"/>
        </w:rPr>
      </w:pPr>
    </w:p>
    <w:p w14:paraId="77D7A09C" w14:textId="77777777" w:rsidR="00237F45" w:rsidRPr="009F1934" w:rsidRDefault="00237F45" w:rsidP="00FF0C1D">
      <w:pPr>
        <w:spacing w:line="276" w:lineRule="auto"/>
        <w:rPr>
          <w:sz w:val="40"/>
          <w:szCs w:val="40"/>
          <w:lang w:val="ro-RO"/>
        </w:rPr>
      </w:pPr>
    </w:p>
    <w:p w14:paraId="26398167" w14:textId="77777777" w:rsidR="00E1154E" w:rsidRPr="00045197" w:rsidRDefault="00045197" w:rsidP="00FF0C1D">
      <w:pPr>
        <w:spacing w:line="276" w:lineRule="auto"/>
        <w:rPr>
          <w:lang w:val="it-IT"/>
        </w:rPr>
      </w:pPr>
    </w:p>
    <w:sectPr w:rsidR="00E1154E" w:rsidRPr="0004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86"/>
    <w:rsid w:val="00006C83"/>
    <w:rsid w:val="00023190"/>
    <w:rsid w:val="00024C0C"/>
    <w:rsid w:val="0003580D"/>
    <w:rsid w:val="00045197"/>
    <w:rsid w:val="00085B73"/>
    <w:rsid w:val="00087E1E"/>
    <w:rsid w:val="000941C6"/>
    <w:rsid w:val="000D757B"/>
    <w:rsid w:val="00111744"/>
    <w:rsid w:val="001621BA"/>
    <w:rsid w:val="00167E74"/>
    <w:rsid w:val="00182CD1"/>
    <w:rsid w:val="001927C3"/>
    <w:rsid w:val="001C393A"/>
    <w:rsid w:val="001D05CB"/>
    <w:rsid w:val="001E4AAD"/>
    <w:rsid w:val="001E7AFF"/>
    <w:rsid w:val="001F7AE4"/>
    <w:rsid w:val="00237F45"/>
    <w:rsid w:val="0026515E"/>
    <w:rsid w:val="0029024C"/>
    <w:rsid w:val="002A0641"/>
    <w:rsid w:val="00311F90"/>
    <w:rsid w:val="00337827"/>
    <w:rsid w:val="003576A4"/>
    <w:rsid w:val="00362253"/>
    <w:rsid w:val="00370198"/>
    <w:rsid w:val="003C3AE9"/>
    <w:rsid w:val="003F084B"/>
    <w:rsid w:val="003F79D2"/>
    <w:rsid w:val="00423C24"/>
    <w:rsid w:val="004249CF"/>
    <w:rsid w:val="004702C7"/>
    <w:rsid w:val="0047652D"/>
    <w:rsid w:val="00500172"/>
    <w:rsid w:val="00547C22"/>
    <w:rsid w:val="00560C6D"/>
    <w:rsid w:val="005830B2"/>
    <w:rsid w:val="00584DCF"/>
    <w:rsid w:val="005A2EA2"/>
    <w:rsid w:val="005A31BE"/>
    <w:rsid w:val="005A3287"/>
    <w:rsid w:val="00664ED1"/>
    <w:rsid w:val="00683DDB"/>
    <w:rsid w:val="00697E3C"/>
    <w:rsid w:val="006A2175"/>
    <w:rsid w:val="006D1873"/>
    <w:rsid w:val="006F61C1"/>
    <w:rsid w:val="00700A24"/>
    <w:rsid w:val="00741823"/>
    <w:rsid w:val="0074447E"/>
    <w:rsid w:val="00764B2E"/>
    <w:rsid w:val="007E2AD9"/>
    <w:rsid w:val="00831A1B"/>
    <w:rsid w:val="00837E02"/>
    <w:rsid w:val="00845C65"/>
    <w:rsid w:val="00886466"/>
    <w:rsid w:val="00891094"/>
    <w:rsid w:val="00926A35"/>
    <w:rsid w:val="00941864"/>
    <w:rsid w:val="00964C6F"/>
    <w:rsid w:val="00A75E4D"/>
    <w:rsid w:val="00A85D47"/>
    <w:rsid w:val="00AE2415"/>
    <w:rsid w:val="00B12AA7"/>
    <w:rsid w:val="00B65B23"/>
    <w:rsid w:val="00BA5195"/>
    <w:rsid w:val="00BA5EB2"/>
    <w:rsid w:val="00BE60D1"/>
    <w:rsid w:val="00BF0363"/>
    <w:rsid w:val="00C0416B"/>
    <w:rsid w:val="00C062D2"/>
    <w:rsid w:val="00C07284"/>
    <w:rsid w:val="00C2528F"/>
    <w:rsid w:val="00C46CC6"/>
    <w:rsid w:val="00C52D7D"/>
    <w:rsid w:val="00C62EB1"/>
    <w:rsid w:val="00CA2EBF"/>
    <w:rsid w:val="00D44786"/>
    <w:rsid w:val="00D47A16"/>
    <w:rsid w:val="00D73051"/>
    <w:rsid w:val="00DA7775"/>
    <w:rsid w:val="00E52F30"/>
    <w:rsid w:val="00E72FB0"/>
    <w:rsid w:val="00EB4A26"/>
    <w:rsid w:val="00EE0643"/>
    <w:rsid w:val="00EE36A2"/>
    <w:rsid w:val="00F27C92"/>
    <w:rsid w:val="00F6047E"/>
    <w:rsid w:val="00FA61F2"/>
    <w:rsid w:val="00FB0186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32C1B9"/>
  <w15:chartTrackingRefBased/>
  <w15:docId w15:val="{C3FCA5FB-6B02-4EAA-8937-43CF07E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018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FB018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Normal"/>
    <w:rsid w:val="00FB018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FB0186"/>
    <w:pPr>
      <w:spacing w:after="0" w:line="240" w:lineRule="auto"/>
      <w:jc w:val="center"/>
    </w:pPr>
    <w:rPr>
      <w:rFonts w:ascii="Times New Roman" w:hAnsi="Times New Roman"/>
      <w:i/>
      <w:iCs/>
      <w:color w:val="663300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00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17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17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7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i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946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Nicolae Olari</cp:lastModifiedBy>
  <cp:revision>9</cp:revision>
  <cp:lastPrinted>2019-10-15T10:26:00Z</cp:lastPrinted>
  <dcterms:created xsi:type="dcterms:W3CDTF">2019-05-08T10:57:00Z</dcterms:created>
  <dcterms:modified xsi:type="dcterms:W3CDTF">2019-10-15T10:26:00Z</dcterms:modified>
</cp:coreProperties>
</file>