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AA4AA" w14:textId="77777777" w:rsidR="00110178" w:rsidRDefault="00110178" w:rsidP="00772070">
      <w:pPr>
        <w:spacing w:after="0"/>
        <w:rPr>
          <w:rFonts w:ascii="Times New Roman" w:hAnsi="Times New Roman" w:cs="Times New Roman"/>
          <w:sz w:val="24"/>
          <w:szCs w:val="24"/>
          <w:lang w:val="ro-RO"/>
        </w:rPr>
      </w:pPr>
    </w:p>
    <w:p w14:paraId="589F649F" w14:textId="77777777" w:rsidR="00974D4D" w:rsidRDefault="00974D4D" w:rsidP="00772070">
      <w:pPr>
        <w:spacing w:after="0"/>
        <w:rPr>
          <w:rFonts w:ascii="Times New Roman" w:hAnsi="Times New Roman" w:cs="Times New Roman"/>
          <w:sz w:val="24"/>
          <w:szCs w:val="24"/>
          <w:lang w:val="ro-RO"/>
        </w:rPr>
      </w:pPr>
    </w:p>
    <w:tbl>
      <w:tblPr>
        <w:tblW w:w="5095" w:type="pct"/>
        <w:jc w:val="center"/>
        <w:tblCellMar>
          <w:top w:w="15" w:type="dxa"/>
          <w:left w:w="15" w:type="dxa"/>
          <w:bottom w:w="15" w:type="dxa"/>
          <w:right w:w="15" w:type="dxa"/>
        </w:tblCellMar>
        <w:tblLook w:val="04A0" w:firstRow="1" w:lastRow="0" w:firstColumn="1" w:lastColumn="0" w:noHBand="0" w:noVBand="1"/>
      </w:tblPr>
      <w:tblGrid>
        <w:gridCol w:w="10065"/>
      </w:tblGrid>
      <w:tr w:rsidR="00110178" w:rsidRPr="00DD6450" w14:paraId="0B7537A6" w14:textId="77777777" w:rsidTr="00CD7B09">
        <w:trPr>
          <w:jc w:val="center"/>
        </w:trPr>
        <w:tc>
          <w:tcPr>
            <w:tcW w:w="5000" w:type="pct"/>
            <w:tcBorders>
              <w:top w:val="nil"/>
              <w:left w:val="nil"/>
              <w:bottom w:val="single" w:sz="6" w:space="0" w:color="000000"/>
              <w:right w:val="nil"/>
            </w:tcBorders>
            <w:tcMar>
              <w:top w:w="15" w:type="dxa"/>
              <w:left w:w="45" w:type="dxa"/>
              <w:bottom w:w="15" w:type="dxa"/>
              <w:right w:w="45" w:type="dxa"/>
            </w:tcMar>
            <w:hideMark/>
          </w:tcPr>
          <w:p w14:paraId="138C0EDD" w14:textId="77777777" w:rsidR="00110178" w:rsidRDefault="00110178" w:rsidP="00CD7B09">
            <w:pPr>
              <w:pStyle w:val="cp"/>
              <w:ind w:right="248"/>
              <w:jc w:val="left"/>
              <w:rPr>
                <w:sz w:val="26"/>
                <w:szCs w:val="26"/>
                <w:lang w:val="ro-RO"/>
              </w:rPr>
            </w:pPr>
          </w:p>
          <w:p w14:paraId="7F22E68F" w14:textId="77777777" w:rsidR="00110178" w:rsidRDefault="00110178" w:rsidP="00CD7B09">
            <w:pPr>
              <w:pStyle w:val="cp"/>
              <w:tabs>
                <w:tab w:val="left" w:pos="97"/>
              </w:tabs>
              <w:rPr>
                <w:sz w:val="26"/>
                <w:szCs w:val="26"/>
                <w:lang w:val="ro-RO"/>
              </w:rPr>
            </w:pPr>
            <w:r w:rsidRPr="003B119D">
              <w:rPr>
                <w:sz w:val="26"/>
                <w:szCs w:val="26"/>
                <w:lang w:val="ro-RO"/>
              </w:rPr>
              <w:t>NOTA INFORMATIVĂ</w:t>
            </w:r>
          </w:p>
          <w:p w14:paraId="78F3F794" w14:textId="77777777" w:rsidR="00110178" w:rsidRPr="003B119D" w:rsidRDefault="00110178" w:rsidP="00CD7B09">
            <w:pPr>
              <w:pStyle w:val="cp"/>
              <w:rPr>
                <w:sz w:val="26"/>
                <w:szCs w:val="26"/>
                <w:lang w:val="ro-RO"/>
              </w:rPr>
            </w:pPr>
          </w:p>
          <w:p w14:paraId="426DDDE1" w14:textId="77777777" w:rsidR="00110178" w:rsidRPr="005D7435" w:rsidRDefault="00110178" w:rsidP="00CD7B09">
            <w:pPr>
              <w:pStyle w:val="tt"/>
              <w:ind w:firstLine="720"/>
              <w:rPr>
                <w:sz w:val="26"/>
                <w:szCs w:val="26"/>
                <w:shd w:val="clear" w:color="auto" w:fill="FFFFFF"/>
                <w:lang w:val="ro-RO"/>
              </w:rPr>
            </w:pPr>
            <w:r w:rsidRPr="003B119D">
              <w:rPr>
                <w:sz w:val="26"/>
                <w:szCs w:val="26"/>
                <w:shd w:val="clear" w:color="auto" w:fill="FFFFFF"/>
                <w:lang w:val="ro-RO"/>
              </w:rPr>
              <w:t xml:space="preserve">la proiectul hotărîrii de Guvern </w:t>
            </w:r>
            <w:r>
              <w:rPr>
                <w:sz w:val="26"/>
                <w:szCs w:val="26"/>
                <w:lang w:val="ro-RO"/>
              </w:rPr>
              <w:t>privind</w:t>
            </w:r>
            <w:r w:rsidRPr="003B119D">
              <w:rPr>
                <w:sz w:val="26"/>
                <w:szCs w:val="26"/>
                <w:lang w:val="ro-RO"/>
              </w:rPr>
              <w:t xml:space="preserve"> modificarea Hotărîrii Guvernului </w:t>
            </w:r>
            <w:r w:rsidRPr="003B119D">
              <w:rPr>
                <w:sz w:val="26"/>
                <w:szCs w:val="26"/>
                <w:lang w:val="ro-RO" w:eastAsia="ru-RU"/>
              </w:rPr>
              <w:t>nr.70/2018 pentru aprobarea Regulamentului cu privire la organizarea programelor de formare profesională tehnică prin învățămînt dual</w:t>
            </w:r>
            <w:r w:rsidRPr="003B119D">
              <w:rPr>
                <w:sz w:val="26"/>
                <w:szCs w:val="26"/>
                <w:lang w:val="ro-RO"/>
              </w:rPr>
              <w:t xml:space="preserve">  </w:t>
            </w:r>
          </w:p>
          <w:p w14:paraId="0BE5D6FC" w14:textId="77777777" w:rsidR="00110178" w:rsidRPr="00DD6450" w:rsidRDefault="00110178" w:rsidP="00CD7B09">
            <w:pPr>
              <w:pStyle w:val="cp"/>
              <w:rPr>
                <w:sz w:val="27"/>
                <w:szCs w:val="27"/>
              </w:rPr>
            </w:pPr>
            <w:r w:rsidRPr="00DD6450">
              <w:rPr>
                <w:sz w:val="27"/>
                <w:szCs w:val="27"/>
              </w:rPr>
              <w:t> </w:t>
            </w:r>
          </w:p>
        </w:tc>
      </w:tr>
      <w:tr w:rsidR="00110178" w:rsidRPr="00110178" w14:paraId="1E1B16C3" w14:textId="77777777" w:rsidTr="00CD7B09">
        <w:trPr>
          <w:trHeight w:val="35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hideMark/>
          </w:tcPr>
          <w:p w14:paraId="2AE49454" w14:textId="77777777" w:rsidR="00110178" w:rsidRPr="00110178" w:rsidRDefault="00110178" w:rsidP="00CD7B09">
            <w:pPr>
              <w:spacing w:after="0" w:line="240" w:lineRule="auto"/>
              <w:rPr>
                <w:rFonts w:ascii="Times New Roman" w:hAnsi="Times New Roman" w:cs="Times New Roman"/>
                <w:b/>
                <w:sz w:val="24"/>
                <w:szCs w:val="24"/>
                <w:lang w:val="ro-RO"/>
              </w:rPr>
            </w:pPr>
            <w:r w:rsidRPr="00110178">
              <w:rPr>
                <w:rFonts w:ascii="Times New Roman" w:hAnsi="Times New Roman" w:cs="Times New Roman"/>
                <w:b/>
                <w:bCs/>
                <w:sz w:val="24"/>
                <w:szCs w:val="24"/>
                <w:lang w:val="ro-RO"/>
              </w:rPr>
              <w:t>I.</w:t>
            </w:r>
            <w:r w:rsidRPr="00110178">
              <w:rPr>
                <w:rFonts w:ascii="Times New Roman" w:hAnsi="Times New Roman" w:cs="Times New Roman"/>
                <w:b/>
                <w:sz w:val="24"/>
                <w:szCs w:val="24"/>
                <w:lang w:val="ro-RO"/>
              </w:rPr>
              <w:t xml:space="preserve"> Denumirea autorului</w:t>
            </w:r>
          </w:p>
        </w:tc>
      </w:tr>
      <w:tr w:rsidR="00110178" w:rsidRPr="00110178" w14:paraId="3F177483" w14:textId="77777777" w:rsidTr="00CD7B09">
        <w:trPr>
          <w:trHeight w:val="39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044EBD1" w14:textId="77777777" w:rsidR="00110178" w:rsidRPr="00110178" w:rsidRDefault="00110178" w:rsidP="00CD7B09">
            <w:pPr>
              <w:spacing w:after="0" w:line="240" w:lineRule="auto"/>
              <w:ind w:firstLine="432"/>
              <w:rPr>
                <w:rFonts w:ascii="Times New Roman" w:hAnsi="Times New Roman" w:cs="Times New Roman"/>
                <w:bCs/>
                <w:sz w:val="24"/>
                <w:szCs w:val="24"/>
                <w:lang w:val="ro-RO"/>
              </w:rPr>
            </w:pPr>
            <w:r w:rsidRPr="00110178">
              <w:rPr>
                <w:rFonts w:ascii="Times New Roman" w:hAnsi="Times New Roman" w:cs="Times New Roman"/>
                <w:bCs/>
                <w:sz w:val="24"/>
                <w:szCs w:val="24"/>
                <w:lang w:val="ro-RO"/>
              </w:rPr>
              <w:t>Ministerul Economiei și Infrastructurii</w:t>
            </w:r>
          </w:p>
        </w:tc>
      </w:tr>
      <w:tr w:rsidR="00110178" w:rsidRPr="00110178" w14:paraId="2D4E5B3D" w14:textId="77777777" w:rsidTr="00CD7B09">
        <w:trPr>
          <w:trHeight w:val="39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14:paraId="01DD994A" w14:textId="77777777" w:rsidR="00110178" w:rsidRPr="00110178" w:rsidRDefault="00110178" w:rsidP="00CD7B09">
            <w:pPr>
              <w:spacing w:after="0" w:line="240" w:lineRule="auto"/>
              <w:rPr>
                <w:rFonts w:ascii="Times New Roman" w:hAnsi="Times New Roman" w:cs="Times New Roman"/>
                <w:b/>
                <w:bCs/>
                <w:sz w:val="24"/>
                <w:szCs w:val="24"/>
                <w:lang w:val="ro-RO"/>
              </w:rPr>
            </w:pPr>
            <w:r w:rsidRPr="00110178">
              <w:rPr>
                <w:rFonts w:ascii="Times New Roman" w:hAnsi="Times New Roman" w:cs="Times New Roman"/>
                <w:b/>
                <w:bCs/>
                <w:sz w:val="24"/>
                <w:szCs w:val="24"/>
                <w:lang w:val="ro-RO"/>
              </w:rPr>
              <w:t xml:space="preserve">II. Condițiile ce au impus elaborarea proiectului de act normativ şi </w:t>
            </w:r>
            <w:proofErr w:type="spellStart"/>
            <w:r w:rsidRPr="00110178">
              <w:rPr>
                <w:rFonts w:ascii="Times New Roman" w:hAnsi="Times New Roman" w:cs="Times New Roman"/>
                <w:b/>
                <w:bCs/>
                <w:sz w:val="24"/>
                <w:szCs w:val="24"/>
                <w:lang w:val="ro-RO"/>
              </w:rPr>
              <w:t>finalităţile</w:t>
            </w:r>
            <w:proofErr w:type="spellEnd"/>
            <w:r w:rsidRPr="00110178">
              <w:rPr>
                <w:rFonts w:ascii="Times New Roman" w:hAnsi="Times New Roman" w:cs="Times New Roman"/>
                <w:b/>
                <w:bCs/>
                <w:sz w:val="24"/>
                <w:szCs w:val="24"/>
                <w:lang w:val="ro-RO"/>
              </w:rPr>
              <w:t xml:space="preserve"> urmărite</w:t>
            </w:r>
          </w:p>
        </w:tc>
      </w:tr>
      <w:tr w:rsidR="00110178" w:rsidRPr="00110178" w14:paraId="00818486" w14:textId="77777777" w:rsidTr="00CD7B09">
        <w:trPr>
          <w:jc w:val="center"/>
        </w:trPr>
        <w:tc>
          <w:tcPr>
            <w:tcW w:w="500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20F0536" w14:textId="77777777" w:rsidR="00110178" w:rsidRPr="00110178" w:rsidRDefault="00110178" w:rsidP="00CD7B09">
            <w:pPr>
              <w:spacing w:after="0" w:line="240" w:lineRule="auto"/>
              <w:ind w:right="49" w:firstLine="487"/>
              <w:jc w:val="both"/>
              <w:rPr>
                <w:rFonts w:ascii="Times New Roman" w:hAnsi="Times New Roman"/>
                <w:sz w:val="24"/>
                <w:szCs w:val="24"/>
                <w:lang w:val="ro-RO"/>
              </w:rPr>
            </w:pPr>
            <w:r w:rsidRPr="00110178">
              <w:rPr>
                <w:rFonts w:ascii="Times New Roman" w:hAnsi="Times New Roman" w:cs="Times New Roman"/>
                <w:sz w:val="24"/>
                <w:szCs w:val="24"/>
                <w:shd w:val="clear" w:color="auto" w:fill="FFFFFF"/>
                <w:lang w:val="ro-RO"/>
              </w:rPr>
              <w:t xml:space="preserve">Proiectul hotărîrii de Guvern </w:t>
            </w:r>
            <w:r w:rsidRPr="00110178">
              <w:rPr>
                <w:rFonts w:ascii="Times New Roman" w:eastAsia="Times New Roman" w:hAnsi="Times New Roman" w:cs="Times New Roman"/>
                <w:bCs/>
                <w:sz w:val="24"/>
                <w:szCs w:val="24"/>
                <w:lang w:val="ro-RO"/>
              </w:rPr>
              <w:t xml:space="preserve">privind modificarea Hotărîrii Guvernului </w:t>
            </w:r>
            <w:r w:rsidRPr="00110178">
              <w:rPr>
                <w:rFonts w:ascii="Times New Roman" w:hAnsi="Times New Roman" w:cs="Times New Roman"/>
                <w:sz w:val="24"/>
                <w:szCs w:val="24"/>
                <w:lang w:val="ro-RO" w:eastAsia="ru-RU"/>
              </w:rPr>
              <w:t>nr.70/2018 pentru aprobarea Regulamentului cu privire la organizarea programelor de formare profesională tehnică prin învățămînt dual a fost elaborat în vederea</w:t>
            </w:r>
            <w:r w:rsidRPr="00110178">
              <w:rPr>
                <w:rFonts w:ascii="Times New Roman" w:hAnsi="Times New Roman" w:cs="Times New Roman"/>
                <w:sz w:val="24"/>
                <w:szCs w:val="24"/>
                <w:lang w:val="ro-RO"/>
              </w:rPr>
              <w:t xml:space="preserve"> </w:t>
            </w:r>
            <w:r w:rsidRPr="00110178">
              <w:rPr>
                <w:rFonts w:ascii="Times New Roman" w:hAnsi="Times New Roman" w:cs="Times New Roman"/>
                <w:sz w:val="24"/>
                <w:szCs w:val="24"/>
                <w:shd w:val="clear" w:color="auto" w:fill="FFFFFF"/>
                <w:lang w:val="ro-RO"/>
              </w:rPr>
              <w:t xml:space="preserve">armonizării cadrului normativ existent prin crearea unui cadru normativ unitar în ceea ce privește aplicarea sistemului de învățămînt dual în Republica Moldova. </w:t>
            </w:r>
          </w:p>
          <w:p w14:paraId="0547AF21" w14:textId="77777777" w:rsidR="00110178" w:rsidRPr="00110178" w:rsidRDefault="00110178" w:rsidP="00CD7B09">
            <w:pPr>
              <w:spacing w:after="0" w:line="240" w:lineRule="auto"/>
              <w:ind w:right="49" w:firstLine="487"/>
              <w:jc w:val="both"/>
              <w:rPr>
                <w:rFonts w:ascii="Times New Roman" w:hAnsi="Times New Roman" w:cs="Times New Roman"/>
                <w:sz w:val="24"/>
                <w:szCs w:val="24"/>
                <w:shd w:val="clear" w:color="auto" w:fill="FFFFFF"/>
                <w:lang w:val="ro-RO"/>
              </w:rPr>
            </w:pPr>
            <w:r w:rsidRPr="00110178">
              <w:rPr>
                <w:rFonts w:ascii="Times New Roman" w:hAnsi="Times New Roman"/>
                <w:sz w:val="24"/>
                <w:szCs w:val="24"/>
                <w:lang w:val="ro-RO"/>
              </w:rPr>
              <w:t xml:space="preserve">Potrivit pct. 113 </w:t>
            </w:r>
            <w:proofErr w:type="spellStart"/>
            <w:r w:rsidRPr="00110178">
              <w:rPr>
                <w:rFonts w:ascii="Times New Roman" w:hAnsi="Times New Roman"/>
                <w:sz w:val="24"/>
                <w:szCs w:val="24"/>
                <w:lang w:val="ro-RO"/>
              </w:rPr>
              <w:t>subpct</w:t>
            </w:r>
            <w:proofErr w:type="spellEnd"/>
            <w:r w:rsidRPr="00110178">
              <w:rPr>
                <w:rFonts w:ascii="Times New Roman" w:hAnsi="Times New Roman"/>
                <w:sz w:val="24"/>
                <w:szCs w:val="24"/>
                <w:lang w:val="ro-RO"/>
              </w:rPr>
              <w:t xml:space="preserve">. 1) din Strategia națională de atragere a investițiilor și promovare a exporturilor pentru anii 2016-2020, aprobată prin Hotărîrea Guvernului nr. 511/2016, introducerea unui sistem de măsuri încurajatoare pentru instruirea angajaților ar soluționa problemele identificate în ceea ce privește forța de muncă calificată necesară pentru sectoarele prioritare. </w:t>
            </w:r>
            <w:r w:rsidRPr="00110178">
              <w:rPr>
                <w:rFonts w:ascii="Times New Roman" w:hAnsi="Times New Roman" w:cs="Times New Roman"/>
                <w:sz w:val="24"/>
                <w:szCs w:val="24"/>
                <w:shd w:val="clear" w:color="auto" w:fill="FFFFFF"/>
                <w:lang w:val="ro-RO"/>
              </w:rPr>
              <w:t xml:space="preserve">Astfel, în anul 2014, </w:t>
            </w:r>
            <w:r w:rsidRPr="00110178">
              <w:rPr>
                <w:rFonts w:ascii="Times New Roman" w:hAnsi="Times New Roman" w:cs="Times New Roman"/>
                <w:sz w:val="24"/>
                <w:szCs w:val="24"/>
                <w:lang w:val="ro-RO"/>
              </w:rPr>
              <w:t xml:space="preserve">în scopul susținerii investitorilor care creează noi locuri de muncă a fost elaborat Regulamentul privind mecanismul de utilizare a mijloacelor financiare alocate din bugetul de stat pentru susținerea investitorilor în vederea pregătirii și instruirii personalului (cadrelor) în legătură cu crearea de noi locuri de muncă, aprobat prin Hotărîrea Guvernului nr.1002/2014. Este de specificat faptul că, acest mecanism de susținere a investitorilor care creează noi locuri de muncă este atribuit sistemului dual de învățămînt și prevede </w:t>
            </w:r>
            <w:r w:rsidRPr="00110178">
              <w:rPr>
                <w:rFonts w:ascii="Times New Roman" w:hAnsi="Times New Roman" w:cs="Times New Roman"/>
                <w:sz w:val="24"/>
                <w:szCs w:val="24"/>
                <w:shd w:val="clear" w:color="auto" w:fill="FFFFFF"/>
                <w:lang w:val="ro-RO"/>
              </w:rPr>
              <w:t xml:space="preserve">pregătirea forței de muncă calificate, pe măsura necesităților angajatorilor locali, dar și a investitorilor străini, și presupune că pe parcursul studiilor, elevii instituțiilor de învățământ profesional tehnic primesc instruiri teoretice și practice </w:t>
            </w:r>
            <w:proofErr w:type="spellStart"/>
            <w:r w:rsidRPr="00110178">
              <w:rPr>
                <w:rFonts w:ascii="Times New Roman" w:hAnsi="Times New Roman" w:cs="Times New Roman"/>
                <w:sz w:val="24"/>
                <w:szCs w:val="24"/>
                <w:shd w:val="clear" w:color="auto" w:fill="FFFFFF"/>
                <w:lang w:val="ro-RO"/>
              </w:rPr>
              <w:t>atît</w:t>
            </w:r>
            <w:proofErr w:type="spellEnd"/>
            <w:r w:rsidRPr="00110178">
              <w:rPr>
                <w:rFonts w:ascii="Times New Roman" w:hAnsi="Times New Roman" w:cs="Times New Roman"/>
                <w:sz w:val="24"/>
                <w:szCs w:val="24"/>
                <w:shd w:val="clear" w:color="auto" w:fill="FFFFFF"/>
                <w:lang w:val="ro-RO"/>
              </w:rPr>
              <w:t xml:space="preserve"> în cadrul instituției, </w:t>
            </w:r>
            <w:proofErr w:type="spellStart"/>
            <w:r w:rsidRPr="00110178">
              <w:rPr>
                <w:rFonts w:ascii="Times New Roman" w:hAnsi="Times New Roman" w:cs="Times New Roman"/>
                <w:sz w:val="24"/>
                <w:szCs w:val="24"/>
                <w:shd w:val="clear" w:color="auto" w:fill="FFFFFF"/>
                <w:lang w:val="ro-RO"/>
              </w:rPr>
              <w:t>cît</w:t>
            </w:r>
            <w:proofErr w:type="spellEnd"/>
            <w:r w:rsidRPr="00110178">
              <w:rPr>
                <w:rFonts w:ascii="Times New Roman" w:hAnsi="Times New Roman" w:cs="Times New Roman"/>
                <w:sz w:val="24"/>
                <w:szCs w:val="24"/>
                <w:shd w:val="clear" w:color="auto" w:fill="FFFFFF"/>
                <w:lang w:val="ro-RO"/>
              </w:rPr>
              <w:t xml:space="preserve"> și la investitorul/agentul economic partener, în condiții reale de muncă și cu achitarea lunară a unui salariu de ucenicie. </w:t>
            </w:r>
            <w:r w:rsidRPr="00110178">
              <w:rPr>
                <w:rFonts w:ascii="Times New Roman" w:hAnsi="Times New Roman" w:cs="Times New Roman"/>
                <w:sz w:val="24"/>
                <w:szCs w:val="24"/>
                <w:lang w:val="ro-RO"/>
              </w:rPr>
              <w:t xml:space="preserve">Drept urmare, </w:t>
            </w:r>
            <w:r w:rsidRPr="00110178">
              <w:rPr>
                <w:rFonts w:ascii="Times New Roman" w:hAnsi="Times New Roman" w:cs="Times New Roman"/>
                <w:bCs/>
                <w:sz w:val="24"/>
                <w:szCs w:val="24"/>
                <w:lang w:val="ro-RO" w:eastAsia="ro-RO"/>
              </w:rPr>
              <w:t>Regulamentul în cauză prevedea posibilitatea și modalitatea compensării în proporție de 50 % din cheltuielile suportate de investitori pentru instruirea fiecărui angajat.</w:t>
            </w:r>
          </w:p>
          <w:p w14:paraId="2A16358B" w14:textId="77777777" w:rsidR="00110178" w:rsidRPr="00110178" w:rsidRDefault="00110178" w:rsidP="00CD7B09">
            <w:pPr>
              <w:spacing w:after="0" w:line="240" w:lineRule="auto"/>
              <w:ind w:right="43" w:firstLine="487"/>
              <w:jc w:val="both"/>
              <w:rPr>
                <w:rFonts w:ascii="Times New Roman" w:hAnsi="Times New Roman" w:cs="Times New Roman"/>
                <w:bCs/>
                <w:sz w:val="24"/>
                <w:szCs w:val="24"/>
                <w:lang w:val="ro-RO" w:eastAsia="ro-RO"/>
              </w:rPr>
            </w:pPr>
            <w:r w:rsidRPr="00110178">
              <w:rPr>
                <w:rFonts w:ascii="Times New Roman" w:hAnsi="Times New Roman" w:cs="Times New Roman"/>
                <w:bCs/>
                <w:sz w:val="24"/>
                <w:szCs w:val="24"/>
                <w:lang w:val="ro-RO" w:eastAsia="ro-RO"/>
              </w:rPr>
              <w:t>Este de menționat faptul că, la aplicarea acestui mecanism au fost depistate unele lacune ale cadrului normativ, și anume:</w:t>
            </w:r>
          </w:p>
          <w:p w14:paraId="3110E3F2" w14:textId="77777777" w:rsidR="00110178" w:rsidRPr="00110178" w:rsidRDefault="00110178" w:rsidP="00110178">
            <w:pPr>
              <w:pStyle w:val="ListParagraph"/>
              <w:numPr>
                <w:ilvl w:val="0"/>
                <w:numId w:val="27"/>
              </w:numPr>
              <w:spacing w:after="0" w:line="240" w:lineRule="auto"/>
              <w:ind w:right="43"/>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t>aspecte legate de noțiunea de investitor, or, învățământul dual tratează investitorul drept agent economic - potențial angajator și element indispensabil în sistemul învățământului dual. Astfel, odată ce învățământul dual este considerată soluția pentru forța de muncă calificată necesară economiei reale, orice agent economic care corespunde cerințelor obligatorii stabilite în documentele normative poate fi beneficiar al compensației.</w:t>
            </w:r>
          </w:p>
          <w:p w14:paraId="70059B92" w14:textId="77777777" w:rsidR="00110178" w:rsidRPr="00110178" w:rsidRDefault="00110178" w:rsidP="00110178">
            <w:pPr>
              <w:pStyle w:val="ListParagraph"/>
              <w:numPr>
                <w:ilvl w:val="0"/>
                <w:numId w:val="27"/>
              </w:numPr>
              <w:spacing w:after="0" w:line="240" w:lineRule="auto"/>
              <w:ind w:right="43"/>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t>cheltuielile suportate de către investitori care pot fi compensate prin acest mecanism, or, unele cheltuieli ale agentului economic legate de organizarea și desfășurarea învăţămîntului dual sunt deja deductibile din punct de vedere fiscal.</w:t>
            </w:r>
          </w:p>
          <w:p w14:paraId="222E1605" w14:textId="77777777" w:rsidR="00110178" w:rsidRPr="00110178" w:rsidRDefault="00110178" w:rsidP="00110178">
            <w:pPr>
              <w:pStyle w:val="ListParagraph"/>
              <w:numPr>
                <w:ilvl w:val="0"/>
                <w:numId w:val="27"/>
              </w:numPr>
              <w:spacing w:after="0" w:line="240" w:lineRule="auto"/>
              <w:ind w:right="49"/>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t xml:space="preserve">lipsa cadrului normativ care ar reglementa organizarea și desfășurarea învățământului dual în vederea asigurării condițiilor necesare pentru buna desfășurare al acestuia. Din acest motiv, agenții economici care implementau programe de studii în învățămînt dual interpretau diferit conceptul sistemului de învățămînt dual.  </w:t>
            </w:r>
          </w:p>
          <w:p w14:paraId="5D0F7988" w14:textId="77777777" w:rsidR="00110178" w:rsidRPr="00110178" w:rsidRDefault="00110178" w:rsidP="00CD7B09">
            <w:pPr>
              <w:spacing w:after="0" w:line="240" w:lineRule="auto"/>
              <w:ind w:right="49" w:firstLine="487"/>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t xml:space="preserve">Drept rezultat, pornind de la interesul sporit al agenților economici pentru participarea la programele de studii în învățămînt dual, pentru asigurarea funcționalității eficiente a învăţămîntului dual și pentru a elimina riscurile diferitelor interpretări din partea agenților economici privind aplicarea  învățământului dual, Ministerul Educației, Culturii și Cercetării a elaborat Regulamentul </w:t>
            </w:r>
            <w:r w:rsidRPr="00110178">
              <w:rPr>
                <w:rFonts w:ascii="Times New Roman" w:hAnsi="Times New Roman" w:cs="Times New Roman"/>
                <w:sz w:val="24"/>
                <w:szCs w:val="24"/>
                <w:lang w:val="ro-RO" w:eastAsia="ru-RU"/>
              </w:rPr>
              <w:t>cu privire la organizarea programelor de formare profesională tehnică prin învățămînt dual</w:t>
            </w:r>
            <w:r w:rsidRPr="00110178">
              <w:rPr>
                <w:rFonts w:ascii="Times New Roman" w:eastAsia="Times New Roman" w:hAnsi="Times New Roman" w:cs="Times New Roman"/>
                <w:bCs/>
                <w:sz w:val="24"/>
                <w:szCs w:val="24"/>
                <w:lang w:val="ro-RO"/>
              </w:rPr>
              <w:t xml:space="preserve">, aprobat prin Hotărîrea Guvernului nr. 70/2018, care </w:t>
            </w:r>
            <w:r w:rsidRPr="00110178">
              <w:rPr>
                <w:rFonts w:ascii="Times New Roman" w:hAnsi="Times New Roman" w:cs="Times New Roman"/>
                <w:sz w:val="24"/>
                <w:szCs w:val="24"/>
                <w:lang w:val="ro-RO"/>
              </w:rPr>
              <w:t>stabilește modul de organizare şi desfășurare a programelor de formare profesională tehnică prin învățămînt dual.</w:t>
            </w:r>
          </w:p>
          <w:p w14:paraId="35B64DB1" w14:textId="77777777" w:rsidR="00110178" w:rsidRPr="00110178" w:rsidRDefault="00110178" w:rsidP="00CD7B09">
            <w:pPr>
              <w:spacing w:after="0" w:line="240" w:lineRule="auto"/>
              <w:ind w:right="49" w:firstLine="487"/>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lastRenderedPageBreak/>
              <w:t xml:space="preserve">Prin urmare, odată cu aprobarea unui cadru normativ complet, clar și previzibil în ceea ce privește sistemul învăţămîntului dual s-a conturat și necesitatea ajustării prevederilor HG nr. 1002/2014, or, acestea nu corespund în totalitate cadrului normativ primar care reglementează învățământul dual. </w:t>
            </w:r>
          </w:p>
          <w:p w14:paraId="2DCF5FBC" w14:textId="58FEF73B" w:rsidR="00110178" w:rsidRPr="00110178" w:rsidRDefault="00110178" w:rsidP="00CD7B09">
            <w:pPr>
              <w:spacing w:after="0" w:line="240" w:lineRule="auto"/>
              <w:ind w:right="49" w:firstLine="487"/>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t xml:space="preserve">Astfel, în urma unei analize complexe, pentru </w:t>
            </w:r>
            <w:r w:rsidRPr="00110178">
              <w:rPr>
                <w:rFonts w:ascii="Times New Roman" w:hAnsi="Times New Roman" w:cs="Times New Roman"/>
                <w:sz w:val="24"/>
                <w:szCs w:val="24"/>
                <w:shd w:val="clear" w:color="auto" w:fill="FFFFFF"/>
                <w:lang w:val="ro-RO"/>
              </w:rPr>
              <w:t>eliminarea lacunelor şi </w:t>
            </w:r>
            <w:r w:rsidRPr="00110178">
              <w:rPr>
                <w:rStyle w:val="Emphasis"/>
                <w:rFonts w:ascii="Times New Roman" w:hAnsi="Times New Roman" w:cs="Times New Roman"/>
                <w:bCs/>
                <w:sz w:val="24"/>
                <w:szCs w:val="24"/>
                <w:shd w:val="clear" w:color="auto" w:fill="FFFFFF"/>
                <w:lang w:val="ro-RO"/>
              </w:rPr>
              <w:t>imperfecțiunilor cadrului normativ</w:t>
            </w:r>
            <w:r w:rsidRPr="00110178">
              <w:rPr>
                <w:rFonts w:ascii="Times New Roman" w:hAnsi="Times New Roman" w:cs="Times New Roman"/>
                <w:sz w:val="24"/>
                <w:szCs w:val="24"/>
                <w:shd w:val="clear" w:color="auto" w:fill="FFFFFF"/>
                <w:lang w:val="ro-RO"/>
              </w:rPr>
              <w:t xml:space="preserve"> actual </w:t>
            </w:r>
            <w:r w:rsidRPr="00110178">
              <w:rPr>
                <w:rFonts w:ascii="Times New Roman" w:hAnsi="Times New Roman" w:cs="Times New Roman"/>
                <w:sz w:val="24"/>
                <w:szCs w:val="24"/>
                <w:lang w:val="ro-RO"/>
              </w:rPr>
              <w:t>și asigurarea unui cadru normativ unitar, precum și pentru a evita dublarea și suprapunerea de norme s-a decis ajustarea Regulamentului privind mecanismul de utilizare a mijloacelor financiare alocate din bugetul de stat pentru susținerea investitorilor în vederea pregătirii și instruirii personalului (cadrelor) în legătură cu crearea de noi locuri de m</w:t>
            </w:r>
            <w:r w:rsidR="00D931C0">
              <w:rPr>
                <w:rFonts w:ascii="Times New Roman" w:hAnsi="Times New Roman" w:cs="Times New Roman"/>
                <w:sz w:val="24"/>
                <w:szCs w:val="24"/>
                <w:lang w:val="ro-RO"/>
              </w:rPr>
              <w:t xml:space="preserve">uncă și aprobarea </w:t>
            </w:r>
            <w:r w:rsidRPr="00110178">
              <w:rPr>
                <w:rFonts w:ascii="Times New Roman" w:hAnsi="Times New Roman" w:cs="Times New Roman"/>
                <w:sz w:val="24"/>
                <w:szCs w:val="24"/>
                <w:lang w:val="ro-RO"/>
              </w:rPr>
              <w:t xml:space="preserve">acestuia sub forma unei noi Anexe la Hotărîrea Guvernului nr. 70/2018 </w:t>
            </w:r>
            <w:r w:rsidRPr="00110178">
              <w:rPr>
                <w:rFonts w:ascii="Times New Roman" w:hAnsi="Times New Roman" w:cs="Times New Roman"/>
                <w:sz w:val="24"/>
                <w:szCs w:val="24"/>
                <w:lang w:val="ro-RO" w:eastAsia="ru-RU"/>
              </w:rPr>
              <w:t xml:space="preserve">pentru aprobarea Regulamentului cu privire la organizarea programelor de formare profesională tehnică prin învățămînt dual. Or, pentru a pune în aplicare </w:t>
            </w:r>
            <w:r w:rsidRPr="00110178">
              <w:rPr>
                <w:rFonts w:ascii="Times New Roman" w:hAnsi="Times New Roman" w:cs="Times New Roman"/>
                <w:sz w:val="24"/>
                <w:szCs w:val="24"/>
                <w:lang w:val="ro-RO"/>
              </w:rPr>
              <w:t xml:space="preserve">mecanismul de utilizare a mijloacelor financiare alocate din bugetul de stat pentru susținerea investitorilor în vederea pregătirii și instruirii personalului (cadrelor) în legătură cu crearea de noi locuri de muncă este nevoie de a te conforma prevederilor HG nr. 70/2018. </w:t>
            </w:r>
          </w:p>
          <w:p w14:paraId="07988060" w14:textId="77777777" w:rsidR="00110178" w:rsidRPr="00110178" w:rsidRDefault="00110178" w:rsidP="00CD7B09">
            <w:pPr>
              <w:spacing w:after="0" w:line="240" w:lineRule="auto"/>
              <w:ind w:right="49" w:firstLine="487"/>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t xml:space="preserve">Astfel, în vederea unificării cadrului legal și excluderii prevederilor confuze și contradictorii, precum și în scopul evitării interpretărilor privind aplicarea mecanismului de compensare a cheltuielilor suportate de agenții economici pentru instruirea angajaților prin intermediul învăţămîntului dual, Regulamentul privind mecanismul de utilizare a mijloacelor financiare alocate din bugetul de stat pentru susținerea investitorilor în vederea pregătirii și instruirii personalului (cadrelor) în legătură cu crearea de noi locuri de muncă a fost revizuit și adus în concordanță cu prevederile cadrului normativ primar care reglementează modul de desfășurare a învăţămîntului dual. </w:t>
            </w:r>
          </w:p>
        </w:tc>
      </w:tr>
      <w:tr w:rsidR="00110178" w:rsidRPr="00110178" w14:paraId="5143998F" w14:textId="77777777" w:rsidTr="00CD7B09">
        <w:trPr>
          <w:trHeight w:val="363"/>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hideMark/>
          </w:tcPr>
          <w:p w14:paraId="03C5AB27" w14:textId="77777777" w:rsidR="00110178" w:rsidRPr="00110178" w:rsidRDefault="00110178" w:rsidP="00CD7B09">
            <w:pPr>
              <w:spacing w:after="0" w:line="240" w:lineRule="auto"/>
              <w:rPr>
                <w:rFonts w:ascii="Times New Roman" w:hAnsi="Times New Roman" w:cs="Times New Roman"/>
                <w:b/>
                <w:sz w:val="24"/>
                <w:szCs w:val="24"/>
                <w:lang w:val="ro-RO"/>
              </w:rPr>
            </w:pPr>
            <w:r w:rsidRPr="00110178">
              <w:rPr>
                <w:rFonts w:ascii="Times New Roman" w:hAnsi="Times New Roman" w:cs="Times New Roman"/>
                <w:b/>
                <w:bCs/>
                <w:sz w:val="24"/>
                <w:szCs w:val="24"/>
                <w:lang w:val="ro-RO"/>
              </w:rPr>
              <w:lastRenderedPageBreak/>
              <w:t>III.</w:t>
            </w:r>
            <w:r w:rsidRPr="00110178">
              <w:rPr>
                <w:rFonts w:ascii="Times New Roman" w:hAnsi="Times New Roman" w:cs="Times New Roman"/>
                <w:b/>
                <w:sz w:val="24"/>
                <w:szCs w:val="24"/>
                <w:lang w:val="ro-RO"/>
              </w:rPr>
              <w:t xml:space="preserve"> Principalele prevederi ale proiectului şi evidențierea elementelor noi </w:t>
            </w:r>
          </w:p>
        </w:tc>
      </w:tr>
      <w:tr w:rsidR="00110178" w:rsidRPr="00110178" w14:paraId="4672A05A" w14:textId="77777777" w:rsidTr="00CD7B0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66F699" w14:textId="77777777" w:rsidR="00110178" w:rsidRPr="00110178" w:rsidRDefault="00110178" w:rsidP="00CD7B09">
            <w:pPr>
              <w:pStyle w:val="NormalWeb"/>
              <w:tabs>
                <w:tab w:val="left" w:pos="851"/>
              </w:tabs>
              <w:spacing w:before="0" w:beforeAutospacing="0" w:after="0" w:afterAutospacing="0"/>
              <w:ind w:right="49" w:firstLine="487"/>
              <w:jc w:val="both"/>
              <w:rPr>
                <w:lang w:val="ro-RO"/>
              </w:rPr>
            </w:pPr>
            <w:r w:rsidRPr="00110178">
              <w:rPr>
                <w:lang w:val="ro-RO"/>
              </w:rPr>
              <w:t xml:space="preserve">Proiectul conține dispoziții esențiale în ceea ce privește mecanismul de utilizare a mijloacelor financiare alocate din bugetul de stat pentru susţinerea agenților economici prin compensarea unor cheltuieli pentru organizarea procesului de instruire a ucenicilor în programele de formare profesională tehnică prin învățământul dual, în scopul creării de noi locuri de muncă în economia națională. </w:t>
            </w:r>
          </w:p>
          <w:p w14:paraId="6E0F1888" w14:textId="77777777" w:rsidR="00110178" w:rsidRPr="00110178" w:rsidRDefault="00110178" w:rsidP="00CD7B09">
            <w:pPr>
              <w:pStyle w:val="NormalWeb"/>
              <w:tabs>
                <w:tab w:val="left" w:pos="851"/>
              </w:tabs>
              <w:spacing w:before="0" w:beforeAutospacing="0" w:after="0" w:afterAutospacing="0"/>
              <w:ind w:right="49" w:firstLine="487"/>
              <w:jc w:val="both"/>
              <w:rPr>
                <w:lang w:val="ro-RO"/>
              </w:rPr>
            </w:pPr>
            <w:r w:rsidRPr="00110178">
              <w:rPr>
                <w:lang w:val="ro-RO"/>
              </w:rPr>
              <w:t xml:space="preserve">Astfel, coordonarea procesului de administrare a mijloacelor financiare alocate din bugetul de stat pentru susţinerea agenților economici prin compensarea unor cheltuieli pentru organizarea procesului de instruire a ucenicilor în programele de formare profesională tehnică prin învățământul dual se realizează de către Ministerul Economiei și Infrastructurii, prin intermediul Consiliului de administrare a mijloacelor financiare alocate (în continuare – </w:t>
            </w:r>
            <w:r w:rsidRPr="00110178">
              <w:rPr>
                <w:i/>
                <w:lang w:val="ro-RO"/>
              </w:rPr>
              <w:t>Consiliu</w:t>
            </w:r>
            <w:r w:rsidRPr="00110178">
              <w:rPr>
                <w:lang w:val="ro-RO"/>
              </w:rPr>
              <w:t>) și Camerei de Comerț și Industrie a Republicii Moldova.</w:t>
            </w:r>
          </w:p>
          <w:p w14:paraId="542D0826" w14:textId="77777777" w:rsidR="00110178" w:rsidRPr="00110178" w:rsidRDefault="00110178" w:rsidP="00CD7B09">
            <w:pPr>
              <w:spacing w:after="0" w:line="240" w:lineRule="auto"/>
              <w:ind w:right="49" w:firstLine="487"/>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t>Prin urmare, prin prezentul proiect se stabilește modul de organizare a activității Consiliului</w:t>
            </w:r>
            <w:r w:rsidRPr="00110178">
              <w:rPr>
                <w:rFonts w:ascii="Times New Roman" w:hAnsi="Times New Roman" w:cs="Times New Roman"/>
                <w:i/>
                <w:sz w:val="24"/>
                <w:szCs w:val="24"/>
                <w:lang w:val="ro-RO"/>
              </w:rPr>
              <w:t>,</w:t>
            </w:r>
            <w:r w:rsidRPr="00110178">
              <w:rPr>
                <w:rFonts w:ascii="Times New Roman" w:hAnsi="Times New Roman" w:cs="Times New Roman"/>
                <w:sz w:val="24"/>
                <w:szCs w:val="24"/>
                <w:lang w:val="ro-RO"/>
              </w:rPr>
              <w:t xml:space="preserve"> cu stabilirea expresă a atribuțiilor acestuia. Astfel, Consiliul va avea sarcina să: </w:t>
            </w:r>
            <w:r w:rsidRPr="00110178">
              <w:rPr>
                <w:rFonts w:ascii="Times New Roman" w:hAnsi="Times New Roman" w:cs="Times New Roman"/>
                <w:i/>
                <w:sz w:val="24"/>
                <w:szCs w:val="24"/>
                <w:lang w:val="ro-RO"/>
              </w:rPr>
              <w:t>i)</w:t>
            </w:r>
            <w:r w:rsidRPr="00110178">
              <w:rPr>
                <w:rFonts w:ascii="Times New Roman" w:hAnsi="Times New Roman" w:cs="Times New Roman"/>
                <w:sz w:val="24"/>
                <w:szCs w:val="24"/>
                <w:lang w:val="ro-RO"/>
              </w:rPr>
              <w:t xml:space="preserve"> examineze Raportul de conformare a agenților economici cerințelor pentru compensarea cheltuielilor suportate, elaborat de Camera de Comerț și Industrie; </w:t>
            </w:r>
            <w:r w:rsidRPr="00110178">
              <w:rPr>
                <w:rFonts w:ascii="Times New Roman" w:hAnsi="Times New Roman" w:cs="Times New Roman"/>
                <w:i/>
                <w:sz w:val="24"/>
                <w:szCs w:val="24"/>
                <w:lang w:val="ro-RO"/>
              </w:rPr>
              <w:t>ii)</w:t>
            </w:r>
            <w:r w:rsidRPr="00110178">
              <w:rPr>
                <w:rFonts w:ascii="Times New Roman" w:hAnsi="Times New Roman" w:cs="Times New Roman"/>
                <w:sz w:val="24"/>
                <w:szCs w:val="24"/>
                <w:lang w:val="ro-RO"/>
              </w:rPr>
              <w:t xml:space="preserve"> aprobe lista agenților economici admiși pentru compensarea cheltuielilor suportate; </w:t>
            </w:r>
            <w:r w:rsidRPr="00110178">
              <w:rPr>
                <w:rFonts w:ascii="Times New Roman" w:hAnsi="Times New Roman" w:cs="Times New Roman"/>
                <w:i/>
                <w:sz w:val="24"/>
                <w:szCs w:val="24"/>
                <w:lang w:val="ro-RO"/>
              </w:rPr>
              <w:t>iii)</w:t>
            </w:r>
            <w:r w:rsidRPr="00110178">
              <w:rPr>
                <w:rFonts w:ascii="Times New Roman" w:hAnsi="Times New Roman" w:cs="Times New Roman"/>
                <w:sz w:val="24"/>
                <w:szCs w:val="24"/>
                <w:lang w:val="ro-RO"/>
              </w:rPr>
              <w:t xml:space="preserve"> prezinte Cancelariei de Stat, Raportul anual cu privire la utilizarea mijloacelor financiare alocate din bugetul de stat pentru susţinerea agenților economici în vederea instruirii ucenicilor prin învățământul dual; </w:t>
            </w:r>
            <w:r w:rsidRPr="00110178">
              <w:rPr>
                <w:rFonts w:ascii="Times New Roman" w:hAnsi="Times New Roman" w:cs="Times New Roman"/>
                <w:i/>
                <w:sz w:val="24"/>
                <w:szCs w:val="24"/>
                <w:lang w:val="ro-RO"/>
              </w:rPr>
              <w:t>iv)</w:t>
            </w:r>
            <w:r w:rsidRPr="00110178">
              <w:rPr>
                <w:rFonts w:ascii="Times New Roman" w:hAnsi="Times New Roman" w:cs="Times New Roman"/>
                <w:sz w:val="24"/>
                <w:szCs w:val="24"/>
                <w:lang w:val="ro-RO"/>
              </w:rPr>
              <w:t xml:space="preserve"> adopte orice altă hotărîre privind administrarea eficientă a procesului de utilizare a mijloacelor financiare alocate pentru compensarea cheltuielilor suportate; precum și </w:t>
            </w:r>
            <w:r w:rsidRPr="00110178">
              <w:rPr>
                <w:rFonts w:ascii="Times New Roman" w:hAnsi="Times New Roman" w:cs="Times New Roman"/>
                <w:i/>
                <w:sz w:val="24"/>
                <w:szCs w:val="24"/>
                <w:lang w:val="ro-RO"/>
              </w:rPr>
              <w:t>v)</w:t>
            </w:r>
            <w:r w:rsidRPr="00110178">
              <w:rPr>
                <w:rFonts w:ascii="Times New Roman" w:hAnsi="Times New Roman" w:cs="Times New Roman"/>
                <w:sz w:val="24"/>
                <w:szCs w:val="24"/>
                <w:lang w:val="ro-RO"/>
              </w:rPr>
              <w:t xml:space="preserve"> administreze mijloacele financiare alocate pînă la intrarea în vigoare a prezentei hotărîrii în scopul modernizării tehnologice a procesului de instruire în învățămînt dual. </w:t>
            </w:r>
          </w:p>
          <w:p w14:paraId="5E9E85A0" w14:textId="77777777" w:rsidR="00110178" w:rsidRPr="00110178" w:rsidRDefault="00110178" w:rsidP="00CD7B09">
            <w:pPr>
              <w:spacing w:after="0" w:line="240" w:lineRule="auto"/>
              <w:ind w:right="49" w:firstLine="487"/>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t>În partea ce ține de administrarea mijloacelor financiare alocate pînă la intrarea în vigoare a prezentei hotărîrii, menționăm că, anterior Colegiului de Inginerie din or. Strășeni, i-au fost alocate mijloace financiare în mărime de 10 mil. lei  pentru dezvoltarea sistemului dual de instruire. Astfel, procesul de utilizare a mijloacelor financiare alocate urmează a fi coordonat și monitorizat în continuare de către Consiliu.</w:t>
            </w:r>
          </w:p>
          <w:p w14:paraId="02793394" w14:textId="77777777" w:rsidR="00110178" w:rsidRPr="00110178" w:rsidRDefault="00110178" w:rsidP="00CD7B09">
            <w:pPr>
              <w:spacing w:after="0" w:line="240" w:lineRule="auto"/>
              <w:ind w:right="49" w:firstLine="487"/>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t>Conform pct. 10 din Regulamentul cu privire la organizarea programelor de formare profesională tehnică prin învățămînt dual, aprobat prin HG nr. 70/2018, Camera de Comerț și Industrie a Republicii Moldova este responsabilă de activități de suport și monitorizare a învăţămîntului dual. În acest sens, se propune ca funcția de secretariat al Consiliului să fie exercitată de către un reprezentant al Camerei de Comerț și Industrie. Astfel, Camera de Comerț și Industrie va exercita următoarele atribuții:</w:t>
            </w:r>
          </w:p>
          <w:p w14:paraId="73E150A5" w14:textId="77777777" w:rsidR="007D4E95" w:rsidRDefault="00110178" w:rsidP="007D4E95">
            <w:pPr>
              <w:pStyle w:val="ListParagraph"/>
              <w:numPr>
                <w:ilvl w:val="2"/>
                <w:numId w:val="19"/>
              </w:numPr>
              <w:suppressAutoHyphens/>
              <w:autoSpaceDN w:val="0"/>
              <w:spacing w:after="0" w:line="240" w:lineRule="auto"/>
              <w:ind w:left="847" w:right="49" w:hanging="270"/>
              <w:jc w:val="both"/>
              <w:textAlignment w:val="baseline"/>
              <w:rPr>
                <w:rFonts w:ascii="Times New Roman" w:hAnsi="Times New Roman" w:cs="Times New Roman"/>
                <w:sz w:val="24"/>
                <w:szCs w:val="24"/>
                <w:lang w:val="ro-RO"/>
              </w:rPr>
            </w:pPr>
            <w:r w:rsidRPr="007D4E95">
              <w:rPr>
                <w:rFonts w:ascii="Times New Roman" w:hAnsi="Times New Roman" w:cs="Times New Roman"/>
                <w:sz w:val="24"/>
                <w:szCs w:val="24"/>
                <w:lang w:val="ro-RO"/>
              </w:rPr>
              <w:t>examinează cererile agenților economici pentru compensarea cheltuielilor suportate, în conformitate cu procedura stabilită de Regulament;</w:t>
            </w:r>
          </w:p>
          <w:p w14:paraId="5810EFED" w14:textId="77777777" w:rsidR="007D4E95" w:rsidRDefault="00110178" w:rsidP="007D4E95">
            <w:pPr>
              <w:pStyle w:val="ListParagraph"/>
              <w:numPr>
                <w:ilvl w:val="2"/>
                <w:numId w:val="19"/>
              </w:numPr>
              <w:suppressAutoHyphens/>
              <w:autoSpaceDN w:val="0"/>
              <w:spacing w:after="0" w:line="240" w:lineRule="auto"/>
              <w:ind w:left="847" w:right="49" w:hanging="270"/>
              <w:jc w:val="both"/>
              <w:textAlignment w:val="baseline"/>
              <w:rPr>
                <w:rFonts w:ascii="Times New Roman" w:hAnsi="Times New Roman" w:cs="Times New Roman"/>
                <w:sz w:val="24"/>
                <w:szCs w:val="24"/>
                <w:lang w:val="ro-RO"/>
              </w:rPr>
            </w:pPr>
            <w:r w:rsidRPr="007D4E95">
              <w:rPr>
                <w:rFonts w:ascii="Times New Roman" w:hAnsi="Times New Roman" w:cs="Times New Roman"/>
                <w:sz w:val="24"/>
                <w:szCs w:val="24"/>
                <w:lang w:val="ro-RO"/>
              </w:rPr>
              <w:t>elaborează și prezintă Consiliului Raportul de conformare a agenților economici cerințelor pentru compensarea cheltuielilor suportate;</w:t>
            </w:r>
          </w:p>
          <w:p w14:paraId="6A4FEBC5" w14:textId="77777777" w:rsidR="007D4E95" w:rsidRDefault="00110178" w:rsidP="007D4E95">
            <w:pPr>
              <w:pStyle w:val="ListParagraph"/>
              <w:numPr>
                <w:ilvl w:val="2"/>
                <w:numId w:val="19"/>
              </w:numPr>
              <w:suppressAutoHyphens/>
              <w:autoSpaceDN w:val="0"/>
              <w:spacing w:after="0" w:line="240" w:lineRule="auto"/>
              <w:ind w:left="847" w:right="49" w:hanging="270"/>
              <w:jc w:val="both"/>
              <w:textAlignment w:val="baseline"/>
              <w:rPr>
                <w:rFonts w:ascii="Times New Roman" w:hAnsi="Times New Roman" w:cs="Times New Roman"/>
                <w:sz w:val="24"/>
                <w:szCs w:val="24"/>
                <w:lang w:val="ro-RO"/>
              </w:rPr>
            </w:pPr>
            <w:r w:rsidRPr="007D4E95">
              <w:rPr>
                <w:rFonts w:ascii="Times New Roman" w:hAnsi="Times New Roman" w:cs="Times New Roman"/>
                <w:sz w:val="24"/>
                <w:szCs w:val="24"/>
                <w:lang w:val="ro-RO"/>
              </w:rPr>
              <w:lastRenderedPageBreak/>
              <w:t>elaborează și prezintă Consiliului spre examinare, până la sfârșitul anului în curs, Raport anual cu privire la utilizarea mijloacelor financiare alocate din bugetul de stat pentru susţinerea agenților economici în vederea instruirii ucenicilor prin învățământul dual;</w:t>
            </w:r>
          </w:p>
          <w:p w14:paraId="2FFF72A5" w14:textId="77777777" w:rsidR="007D4E95" w:rsidRDefault="00110178" w:rsidP="007D4E95">
            <w:pPr>
              <w:pStyle w:val="ListParagraph"/>
              <w:numPr>
                <w:ilvl w:val="2"/>
                <w:numId w:val="19"/>
              </w:numPr>
              <w:suppressAutoHyphens/>
              <w:autoSpaceDN w:val="0"/>
              <w:spacing w:after="0" w:line="240" w:lineRule="auto"/>
              <w:ind w:left="847" w:right="49" w:hanging="270"/>
              <w:jc w:val="both"/>
              <w:textAlignment w:val="baseline"/>
              <w:rPr>
                <w:rFonts w:ascii="Times New Roman" w:hAnsi="Times New Roman" w:cs="Times New Roman"/>
                <w:sz w:val="24"/>
                <w:szCs w:val="24"/>
                <w:lang w:val="ro-RO"/>
              </w:rPr>
            </w:pPr>
            <w:r w:rsidRPr="007D4E95">
              <w:rPr>
                <w:rFonts w:ascii="Times New Roman" w:hAnsi="Times New Roman" w:cs="Times New Roman"/>
                <w:sz w:val="24"/>
                <w:szCs w:val="24"/>
                <w:lang w:val="ro-RO"/>
              </w:rPr>
              <w:t>asigură transferul mijloacelor financiare alocate către agenții economici din lista agenților economici admiși pentru compensarea cheltuielilor suportate, aprobată de Consiliu;</w:t>
            </w:r>
          </w:p>
          <w:p w14:paraId="6C13EE60" w14:textId="77777777" w:rsidR="007D4E95" w:rsidRDefault="00110178" w:rsidP="007D4E95">
            <w:pPr>
              <w:pStyle w:val="ListParagraph"/>
              <w:numPr>
                <w:ilvl w:val="2"/>
                <w:numId w:val="19"/>
              </w:numPr>
              <w:suppressAutoHyphens/>
              <w:autoSpaceDN w:val="0"/>
              <w:spacing w:after="0" w:line="240" w:lineRule="auto"/>
              <w:ind w:left="847" w:right="49" w:hanging="270"/>
              <w:jc w:val="both"/>
              <w:textAlignment w:val="baseline"/>
              <w:rPr>
                <w:rFonts w:ascii="Times New Roman" w:hAnsi="Times New Roman" w:cs="Times New Roman"/>
                <w:sz w:val="24"/>
                <w:szCs w:val="24"/>
                <w:lang w:val="ro-RO"/>
              </w:rPr>
            </w:pPr>
            <w:r w:rsidRPr="007D4E95">
              <w:rPr>
                <w:rFonts w:ascii="Times New Roman" w:hAnsi="Times New Roman" w:cs="Times New Roman"/>
                <w:sz w:val="24"/>
                <w:szCs w:val="24"/>
                <w:lang w:val="ro-RO"/>
              </w:rPr>
              <w:t>ține registrul agenților economici care au beneficiat de mijloace financiare alocate pentru compensarea cheltuielilor suportate;</w:t>
            </w:r>
          </w:p>
          <w:p w14:paraId="18A230F1" w14:textId="53ACD2EF" w:rsidR="00110178" w:rsidRPr="007D4E95" w:rsidRDefault="00110178" w:rsidP="007D4E95">
            <w:pPr>
              <w:pStyle w:val="ListParagraph"/>
              <w:numPr>
                <w:ilvl w:val="2"/>
                <w:numId w:val="19"/>
              </w:numPr>
              <w:suppressAutoHyphens/>
              <w:autoSpaceDN w:val="0"/>
              <w:spacing w:after="0" w:line="240" w:lineRule="auto"/>
              <w:ind w:left="847" w:right="49" w:hanging="270"/>
              <w:jc w:val="both"/>
              <w:textAlignment w:val="baseline"/>
              <w:rPr>
                <w:rFonts w:ascii="Times New Roman" w:hAnsi="Times New Roman" w:cs="Times New Roman"/>
                <w:sz w:val="24"/>
                <w:szCs w:val="24"/>
                <w:lang w:val="ro-RO"/>
              </w:rPr>
            </w:pPr>
            <w:r w:rsidRPr="007D4E95">
              <w:rPr>
                <w:rFonts w:ascii="Times New Roman" w:hAnsi="Times New Roman" w:cs="Times New Roman"/>
                <w:sz w:val="24"/>
                <w:szCs w:val="24"/>
                <w:lang w:val="ro-RO"/>
              </w:rPr>
              <w:t>efectuează, la solicitarea Consiliului, alte analize și evaluări economico-financiare referitoare la cheltuielile eligibile pentru compensare suportate de agenții economici care au depus cerere de compensare.</w:t>
            </w:r>
          </w:p>
          <w:p w14:paraId="213C4453" w14:textId="77777777" w:rsidR="00110178" w:rsidRPr="00110178" w:rsidRDefault="00110178" w:rsidP="00CD7B09">
            <w:pPr>
              <w:pStyle w:val="NormalWeb"/>
              <w:tabs>
                <w:tab w:val="left" w:pos="9667"/>
              </w:tabs>
              <w:spacing w:before="0" w:beforeAutospacing="0" w:after="0" w:afterAutospacing="0"/>
              <w:ind w:right="49" w:firstLine="487"/>
              <w:jc w:val="both"/>
              <w:rPr>
                <w:lang w:val="ro-RO"/>
              </w:rPr>
            </w:pPr>
            <w:r w:rsidRPr="00110178">
              <w:rPr>
                <w:lang w:val="ro-RO"/>
              </w:rPr>
              <w:t>La fel, prin intermediul proiectului se propun modificări și completări în ceea ce privește condițiile, modul și procedura de utilizare a mijloacelor financiare alocate. Astfel, pentru fiecare agent economic din lista agenților economici admiși pentru compensarea se va compensa 50% din valoarea următoarelor cheltuielilor suportate:</w:t>
            </w:r>
          </w:p>
          <w:p w14:paraId="66EEE519" w14:textId="77777777" w:rsidR="007D4E95" w:rsidRDefault="00110178" w:rsidP="007D4E95">
            <w:pPr>
              <w:pStyle w:val="ListParagraph"/>
              <w:numPr>
                <w:ilvl w:val="0"/>
                <w:numId w:val="28"/>
              </w:numPr>
              <w:tabs>
                <w:tab w:val="left" w:pos="360"/>
                <w:tab w:val="left" w:pos="9667"/>
              </w:tabs>
              <w:suppressAutoHyphens/>
              <w:autoSpaceDN w:val="0"/>
              <w:spacing w:after="0" w:line="240" w:lineRule="auto"/>
              <w:ind w:right="49"/>
              <w:jc w:val="both"/>
              <w:textAlignment w:val="baseline"/>
              <w:rPr>
                <w:rFonts w:ascii="Times New Roman" w:hAnsi="Times New Roman" w:cs="Times New Roman"/>
                <w:sz w:val="24"/>
                <w:szCs w:val="24"/>
                <w:lang w:val="ro-RO" w:eastAsia="ru-RU"/>
              </w:rPr>
            </w:pPr>
            <w:r w:rsidRPr="007D4E95">
              <w:rPr>
                <w:rFonts w:ascii="Times New Roman" w:hAnsi="Times New Roman" w:cs="Times New Roman"/>
                <w:sz w:val="24"/>
                <w:szCs w:val="24"/>
                <w:lang w:val="ro-RO" w:eastAsia="ru-RU"/>
              </w:rPr>
              <w:t>salariu de bază lunar al ucenicului (fără adaosuri şi sporuri), dar nu mai mult de 30% din cuantumul minim garantat al salariului în sectorul real;</w:t>
            </w:r>
          </w:p>
          <w:p w14:paraId="24D2CD48" w14:textId="74721BBF" w:rsidR="007D4E95" w:rsidRDefault="00110178" w:rsidP="007D4E95">
            <w:pPr>
              <w:pStyle w:val="ListParagraph"/>
              <w:numPr>
                <w:ilvl w:val="0"/>
                <w:numId w:val="28"/>
              </w:numPr>
              <w:tabs>
                <w:tab w:val="left" w:pos="360"/>
                <w:tab w:val="left" w:pos="9667"/>
              </w:tabs>
              <w:suppressAutoHyphens/>
              <w:autoSpaceDN w:val="0"/>
              <w:spacing w:after="0" w:line="240" w:lineRule="auto"/>
              <w:ind w:right="49"/>
              <w:jc w:val="both"/>
              <w:textAlignment w:val="baseline"/>
              <w:rPr>
                <w:rFonts w:ascii="Times New Roman" w:hAnsi="Times New Roman" w:cs="Times New Roman"/>
                <w:sz w:val="24"/>
                <w:szCs w:val="24"/>
                <w:lang w:val="ro-RO" w:eastAsia="ru-RU"/>
              </w:rPr>
            </w:pPr>
            <w:r w:rsidRPr="007D4E95">
              <w:rPr>
                <w:rFonts w:ascii="Times New Roman" w:hAnsi="Times New Roman" w:cs="Times New Roman"/>
                <w:sz w:val="24"/>
                <w:szCs w:val="24"/>
                <w:lang w:val="ro-RO" w:eastAsia="ru-RU"/>
              </w:rPr>
              <w:t>salariu de bază lunar al maistrului-instructor în producție, care a instruit ucenicii, dar nu mai mult de cuantumul minim garantat a</w:t>
            </w:r>
            <w:r w:rsidR="00974D4D">
              <w:rPr>
                <w:rFonts w:ascii="Times New Roman" w:hAnsi="Times New Roman" w:cs="Times New Roman"/>
                <w:sz w:val="24"/>
                <w:szCs w:val="24"/>
                <w:lang w:val="ro-RO" w:eastAsia="ru-RU"/>
              </w:rPr>
              <w:t xml:space="preserve">l unui salariu în sectorul real. </w:t>
            </w:r>
            <w:r w:rsidR="00974D4D" w:rsidRPr="0015715A">
              <w:rPr>
                <w:rFonts w:ascii="Times New Roman" w:hAnsi="Times New Roman" w:cs="Times New Roman"/>
                <w:sz w:val="24"/>
                <w:szCs w:val="24"/>
                <w:lang w:val="ro-RO" w:eastAsia="ru-RU"/>
              </w:rPr>
              <w:t>În cadrul unui program de formare profesională prin învățămînt dual, n</w:t>
            </w:r>
            <w:r w:rsidR="00974D4D">
              <w:rPr>
                <w:rFonts w:ascii="Times New Roman" w:hAnsi="Times New Roman" w:cs="Times New Roman"/>
                <w:sz w:val="24"/>
                <w:szCs w:val="24"/>
                <w:lang w:val="ro-RO" w:eastAsia="ru-RU"/>
              </w:rPr>
              <w:t xml:space="preserve">umărul </w:t>
            </w:r>
            <w:r w:rsidR="00974D4D" w:rsidRPr="0015715A">
              <w:rPr>
                <w:rFonts w:ascii="Times New Roman" w:hAnsi="Times New Roman" w:cs="Times New Roman"/>
                <w:sz w:val="24"/>
                <w:szCs w:val="24"/>
                <w:lang w:val="ro-RO" w:eastAsia="ru-RU"/>
              </w:rPr>
              <w:t xml:space="preserve">de ucenici îndrumați concomitent de către un maistru-instructor în producție </w:t>
            </w:r>
            <w:r w:rsidR="00974D4D">
              <w:rPr>
                <w:rFonts w:ascii="Times New Roman" w:hAnsi="Times New Roman" w:cs="Times New Roman"/>
                <w:sz w:val="24"/>
                <w:szCs w:val="24"/>
                <w:lang w:val="ro-RO" w:eastAsia="ru-RU"/>
              </w:rPr>
              <w:t>este de cel puțin 15 ucenici;</w:t>
            </w:r>
          </w:p>
          <w:p w14:paraId="0D0AC1A9" w14:textId="702B1316" w:rsidR="00110178" w:rsidRPr="007D4E95" w:rsidRDefault="007D4E95" w:rsidP="007D4E95">
            <w:pPr>
              <w:pStyle w:val="ListParagraph"/>
              <w:numPr>
                <w:ilvl w:val="0"/>
                <w:numId w:val="28"/>
              </w:numPr>
              <w:tabs>
                <w:tab w:val="left" w:pos="360"/>
                <w:tab w:val="left" w:pos="9667"/>
              </w:tabs>
              <w:suppressAutoHyphens/>
              <w:autoSpaceDN w:val="0"/>
              <w:spacing w:after="0" w:line="240" w:lineRule="auto"/>
              <w:ind w:right="49"/>
              <w:jc w:val="both"/>
              <w:textAlignment w:val="baseline"/>
              <w:rPr>
                <w:rFonts w:ascii="Times New Roman" w:hAnsi="Times New Roman" w:cs="Times New Roman"/>
                <w:sz w:val="24"/>
                <w:szCs w:val="24"/>
                <w:lang w:val="ro-RO" w:eastAsia="ru-RU"/>
              </w:rPr>
            </w:pPr>
            <w:r>
              <w:rPr>
                <w:rFonts w:ascii="Times New Roman" w:hAnsi="Times New Roman" w:cs="Times New Roman"/>
                <w:sz w:val="24"/>
                <w:szCs w:val="24"/>
                <w:lang w:val="ro-RO" w:eastAsia="ru-RU"/>
              </w:rPr>
              <w:t>t</w:t>
            </w:r>
            <w:r w:rsidR="00110178" w:rsidRPr="007D4E95">
              <w:rPr>
                <w:rFonts w:ascii="Times New Roman" w:hAnsi="Times New Roman" w:cs="Times New Roman"/>
                <w:sz w:val="24"/>
                <w:szCs w:val="24"/>
                <w:lang w:val="ro-RO" w:eastAsia="ru-RU"/>
              </w:rPr>
              <w:t xml:space="preserve">axa de studii achitată de agentul economic către instituția de învățământ profesional tehnic/centru de formare profesională tehnică unde se instruiește prin învățământul dual angajatul-ucenic al său, dar nu mai mult de cuantumul minim garantat al unui salariu în sectorul real. </w:t>
            </w:r>
          </w:p>
          <w:p w14:paraId="70B43AA5" w14:textId="77777777" w:rsidR="00110178" w:rsidRPr="00110178" w:rsidRDefault="00110178" w:rsidP="00CD7B09">
            <w:pPr>
              <w:pStyle w:val="NormalWeb"/>
              <w:tabs>
                <w:tab w:val="left" w:pos="9667"/>
              </w:tabs>
              <w:spacing w:before="0" w:beforeAutospacing="0" w:after="0" w:afterAutospacing="0"/>
              <w:ind w:right="49" w:firstLine="487"/>
              <w:jc w:val="both"/>
              <w:rPr>
                <w:lang w:val="ro-RO"/>
              </w:rPr>
            </w:pPr>
            <w:r w:rsidRPr="00110178">
              <w:rPr>
                <w:lang w:val="ro-RO"/>
              </w:rPr>
              <w:t xml:space="preserve">Atragem atenția asupra faptului că, mijloacele financiare alocate vor fi utilizate numai pentru compensarea cheltuielilor suportate de agenții economici eligibili și care la data depunerii cererii de compensare </w:t>
            </w:r>
            <w:r w:rsidRPr="00110178">
              <w:rPr>
                <w:i/>
                <w:lang w:val="ro-RO"/>
              </w:rPr>
              <w:t>i)</w:t>
            </w:r>
            <w:r w:rsidRPr="00110178">
              <w:rPr>
                <w:lang w:val="ro-RO"/>
              </w:rPr>
              <w:t xml:space="preserve"> nu au restanțe la bugetul public național și </w:t>
            </w:r>
            <w:r w:rsidRPr="00110178">
              <w:rPr>
                <w:i/>
                <w:lang w:val="ro-RO"/>
              </w:rPr>
              <w:t>ii)</w:t>
            </w:r>
            <w:r w:rsidRPr="00110178">
              <w:rPr>
                <w:lang w:val="ro-RO"/>
              </w:rPr>
              <w:t xml:space="preserve"> nu se află în procedură de insolvabilitate sau de lichidare. Totodată, cadrul normativ primar care reglementează sistemul învăţămîntului dual stipulează faptul că sunt compensate numai cheltuielile suportate pentru instruirea ucenicului în cadrul unei instituții de învățămînt profesional tehnic și/sau centru de formare profesională care implementează programe de formare profesională tehnică prin învățîmînt dual autorizate și/sau acreditate, și doar pentru profesiile incluse în programele de formare profesională tehnică prin învățămînt dual a instituțiilor de învățămînt profesional tehnic și/sau centrelor de formare profesională. Prioritate au profesiile solicitate de agenții economici din domeniul industriei, energeticii, electronicii și comunicațiilor şi alte domenii în care există un deficit de personal pe piaţa forţei de muncă a Republicii Moldova.</w:t>
            </w:r>
          </w:p>
          <w:p w14:paraId="4D3ACC5E" w14:textId="77777777" w:rsidR="00110178" w:rsidRPr="00110178" w:rsidRDefault="00110178" w:rsidP="00CD7B09">
            <w:pPr>
              <w:tabs>
                <w:tab w:val="left" w:pos="9667"/>
              </w:tabs>
              <w:spacing w:after="0" w:line="240" w:lineRule="auto"/>
              <w:ind w:right="49" w:firstLine="487"/>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t xml:space="preserve">Totodată, prezentul proiect conține prevederi exacte și în ceea ce privește procesul de compensare a cheltuielilor suportate pentru fiecare ucenic instruit în învățământul dual. Acest mecanism a fost stabilit în vederea stimulării părților antrenate în procesul învăţămîntului dual, precum și pentru a eficientiza resursele bugetare alocate în acest sens și a admite compensarea cheltuielilor doar pentru ucenicii care finalizează studiile și se angajează la agentul economic care i-a oferit instruirea practică. Astfel, se compensează cheltuielile suportate pentru fiecare ucenic instruit în învățământul dual, după cum urmează: </w:t>
            </w:r>
          </w:p>
          <w:p w14:paraId="31672A84" w14:textId="77777777" w:rsidR="007D4E95" w:rsidRDefault="00110178" w:rsidP="007D4E95">
            <w:pPr>
              <w:pStyle w:val="NormalWeb"/>
              <w:numPr>
                <w:ilvl w:val="0"/>
                <w:numId w:val="29"/>
              </w:numPr>
              <w:tabs>
                <w:tab w:val="left" w:pos="851"/>
                <w:tab w:val="left" w:pos="1117"/>
              </w:tabs>
              <w:spacing w:before="0" w:beforeAutospacing="0" w:after="0" w:afterAutospacing="0"/>
              <w:ind w:left="0" w:right="49" w:firstLine="851"/>
              <w:jc w:val="both"/>
              <w:rPr>
                <w:lang w:val="ro-RO"/>
              </w:rPr>
            </w:pPr>
            <w:r w:rsidRPr="00110178">
              <w:rPr>
                <w:lang w:val="ro-RO"/>
              </w:rPr>
              <w:t>în cadrul programelor de formare profesională tehnică cu durata de 1 an, sunt compensate cheltuielile suportate pentru instruirea ucenicului care a absolvit și s-a angajat la agentul economic care a beneficiat de compensarea cheltuielilor suportate, în baza unui contract de muncă pe o durată de cel puțin 1 an;</w:t>
            </w:r>
          </w:p>
          <w:p w14:paraId="352A2457" w14:textId="5DD6CA8A" w:rsidR="00110178" w:rsidRPr="007D4E95" w:rsidRDefault="00110178" w:rsidP="007D4E95">
            <w:pPr>
              <w:pStyle w:val="NormalWeb"/>
              <w:numPr>
                <w:ilvl w:val="0"/>
                <w:numId w:val="29"/>
              </w:numPr>
              <w:tabs>
                <w:tab w:val="left" w:pos="1117"/>
              </w:tabs>
              <w:spacing w:before="0" w:beforeAutospacing="0" w:after="0" w:afterAutospacing="0"/>
              <w:ind w:left="0" w:right="49" w:firstLine="851"/>
              <w:jc w:val="both"/>
              <w:rPr>
                <w:lang w:val="ro-RO"/>
              </w:rPr>
            </w:pPr>
            <w:r w:rsidRPr="007D4E95">
              <w:rPr>
                <w:lang w:val="ro-RO"/>
              </w:rPr>
              <w:t>în cadrul programelor de formare profesională tehnică cu durata de 2 ani, sunt compensate cheltuielile suportate:</w:t>
            </w:r>
          </w:p>
          <w:p w14:paraId="2CC0E4B7" w14:textId="77777777" w:rsidR="00110178" w:rsidRPr="00110178" w:rsidRDefault="00110178" w:rsidP="007D4E95">
            <w:pPr>
              <w:pStyle w:val="NormalWeb"/>
              <w:numPr>
                <w:ilvl w:val="1"/>
                <w:numId w:val="29"/>
              </w:numPr>
              <w:tabs>
                <w:tab w:val="left" w:pos="9667"/>
              </w:tabs>
              <w:spacing w:before="0" w:beforeAutospacing="0" w:after="0" w:afterAutospacing="0"/>
              <w:ind w:left="577" w:right="49" w:hanging="270"/>
              <w:jc w:val="both"/>
              <w:rPr>
                <w:lang w:val="ro-RO"/>
              </w:rPr>
            </w:pPr>
            <w:r w:rsidRPr="00110178">
              <w:rPr>
                <w:lang w:val="ro-RO"/>
              </w:rPr>
              <w:t>pentru instruirea ucenicului care a absolvit primul an de studii;</w:t>
            </w:r>
          </w:p>
          <w:p w14:paraId="7F13026A" w14:textId="77777777" w:rsidR="00110178" w:rsidRPr="00110178" w:rsidRDefault="00110178" w:rsidP="007D4E95">
            <w:pPr>
              <w:pStyle w:val="NormalWeb"/>
              <w:numPr>
                <w:ilvl w:val="1"/>
                <w:numId w:val="29"/>
              </w:numPr>
              <w:tabs>
                <w:tab w:val="left" w:pos="9667"/>
              </w:tabs>
              <w:spacing w:before="0" w:beforeAutospacing="0" w:after="0" w:afterAutospacing="0"/>
              <w:ind w:left="577" w:right="49" w:hanging="270"/>
              <w:jc w:val="both"/>
              <w:rPr>
                <w:lang w:val="ro-RO"/>
              </w:rPr>
            </w:pPr>
            <w:r w:rsidRPr="00110178">
              <w:rPr>
                <w:lang w:val="ro-RO"/>
              </w:rPr>
              <w:t xml:space="preserve">pentru instruirea ucenicului care a absolvit al doilea an de studii și s-a angajat la agentul economic care a beneficiat de compensarea cheltuielilor suportate, în baza unui contract de muncă pe o durată de cel puțin 1 an. </w:t>
            </w:r>
          </w:p>
          <w:p w14:paraId="5D9DD4D3" w14:textId="77777777" w:rsidR="00110178" w:rsidRPr="00110178" w:rsidRDefault="00110178" w:rsidP="006C087B">
            <w:pPr>
              <w:pStyle w:val="NormalWeb"/>
              <w:tabs>
                <w:tab w:val="left" w:pos="993"/>
              </w:tabs>
              <w:spacing w:before="0" w:beforeAutospacing="0" w:after="0" w:afterAutospacing="0"/>
              <w:ind w:firstLine="487"/>
              <w:jc w:val="both"/>
              <w:rPr>
                <w:lang w:val="ro-RO"/>
              </w:rPr>
            </w:pPr>
            <w:r w:rsidRPr="00110178">
              <w:rPr>
                <w:lang w:val="ro-RO"/>
              </w:rPr>
              <w:t xml:space="preserve">Cererea agentului economic pentru compensarea cheltuielilor suportate se va depune în scris la secretarul Consiliului, după absolvirea de către ucenic a anului de studiu, dar nu mai tîrziu de data de 30 septembrie a anului în care a absolvit ucenicul. </w:t>
            </w:r>
          </w:p>
          <w:p w14:paraId="0AFA7BF8" w14:textId="77777777" w:rsidR="00110178" w:rsidRPr="00110178" w:rsidRDefault="00110178" w:rsidP="00CD7B09">
            <w:pPr>
              <w:pStyle w:val="NormalWeb"/>
              <w:tabs>
                <w:tab w:val="left" w:pos="502"/>
                <w:tab w:val="left" w:pos="993"/>
              </w:tabs>
              <w:spacing w:before="0" w:beforeAutospacing="0" w:after="0" w:afterAutospacing="0"/>
              <w:ind w:right="28" w:firstLine="487"/>
              <w:jc w:val="both"/>
              <w:rPr>
                <w:lang w:val="ro-RO"/>
              </w:rPr>
            </w:pPr>
            <w:r w:rsidRPr="00110178">
              <w:rPr>
                <w:lang w:val="ro-RO"/>
              </w:rPr>
              <w:lastRenderedPageBreak/>
              <w:t xml:space="preserve">Modalitatea și termenul de examinare a cererilor este prevăzută de Regulament, iar lista aprobată de Consiliu a agenților economici admiși pentru compensarea cheltuielilor suportate va fi  publicată pe pagina web a Camerei de Comerț și Industrie. </w:t>
            </w:r>
          </w:p>
        </w:tc>
      </w:tr>
      <w:tr w:rsidR="00110178" w:rsidRPr="00110178" w14:paraId="2B17E8A5" w14:textId="77777777" w:rsidTr="00CD7B09">
        <w:trPr>
          <w:trHeight w:val="318"/>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hideMark/>
          </w:tcPr>
          <w:p w14:paraId="367E6C92" w14:textId="77777777" w:rsidR="00110178" w:rsidRPr="00110178" w:rsidRDefault="00110178" w:rsidP="00CD7B09">
            <w:pPr>
              <w:spacing w:after="0" w:line="240" w:lineRule="auto"/>
              <w:rPr>
                <w:rFonts w:ascii="Times New Roman" w:hAnsi="Times New Roman" w:cs="Times New Roman"/>
                <w:b/>
                <w:sz w:val="24"/>
                <w:szCs w:val="24"/>
                <w:lang w:val="ro-RO"/>
              </w:rPr>
            </w:pPr>
            <w:r w:rsidRPr="00110178">
              <w:rPr>
                <w:rFonts w:ascii="Times New Roman" w:hAnsi="Times New Roman" w:cs="Times New Roman"/>
                <w:b/>
                <w:bCs/>
                <w:sz w:val="24"/>
                <w:szCs w:val="24"/>
                <w:lang w:val="ro-RO"/>
              </w:rPr>
              <w:lastRenderedPageBreak/>
              <w:t>IV.</w:t>
            </w:r>
            <w:r w:rsidRPr="00110178">
              <w:rPr>
                <w:rFonts w:ascii="Times New Roman" w:hAnsi="Times New Roman" w:cs="Times New Roman"/>
                <w:b/>
                <w:sz w:val="24"/>
                <w:szCs w:val="24"/>
                <w:lang w:val="ro-RO"/>
              </w:rPr>
              <w:t xml:space="preserve"> Fundamentarea economico-financiară </w:t>
            </w:r>
          </w:p>
        </w:tc>
      </w:tr>
      <w:tr w:rsidR="00110178" w:rsidRPr="00110178" w14:paraId="6C798B47" w14:textId="77777777" w:rsidTr="00CD7B0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B6E550" w14:textId="77777777" w:rsidR="008C17DD" w:rsidRPr="00040C5C" w:rsidRDefault="008C17DD" w:rsidP="008C17DD">
            <w:pPr>
              <w:pStyle w:val="NormalWeb"/>
              <w:tabs>
                <w:tab w:val="left" w:pos="993"/>
              </w:tabs>
              <w:spacing w:before="0" w:beforeAutospacing="0" w:after="0" w:afterAutospacing="0"/>
              <w:ind w:firstLine="488"/>
              <w:jc w:val="both"/>
              <w:rPr>
                <w:lang w:val="ro-RO"/>
              </w:rPr>
            </w:pPr>
            <w:r w:rsidRPr="00040C5C">
              <w:rPr>
                <w:lang w:val="ro-RO"/>
              </w:rPr>
              <w:t xml:space="preserve">Conform Cadrului Bugetar pe Termen Mediu (CBTM) pentru această acțiune sunt prevăzute mijloace financiare în mărime de 10 mil. lei anual pînă în anul 2022, pentru anul 2019 aceastea au fost aprobate prin Legea bugetului de stat pentru anul 2019. </w:t>
            </w:r>
          </w:p>
          <w:p w14:paraId="7D880BA5" w14:textId="77777777" w:rsidR="008C17DD" w:rsidRPr="00040C5C" w:rsidRDefault="008C17DD" w:rsidP="008C17DD">
            <w:pPr>
              <w:tabs>
                <w:tab w:val="left" w:pos="360"/>
                <w:tab w:val="left" w:pos="9667"/>
              </w:tabs>
              <w:suppressAutoHyphens/>
              <w:autoSpaceDN w:val="0"/>
              <w:spacing w:after="0" w:line="240" w:lineRule="auto"/>
              <w:ind w:right="49" w:firstLine="488"/>
              <w:jc w:val="both"/>
              <w:textAlignment w:val="baseline"/>
              <w:rPr>
                <w:rFonts w:ascii="Times New Roman" w:hAnsi="Times New Roman" w:cs="Times New Roman"/>
                <w:sz w:val="24"/>
                <w:szCs w:val="24"/>
                <w:lang w:val="ro-RO"/>
              </w:rPr>
            </w:pPr>
            <w:r w:rsidRPr="00040C5C">
              <w:rPr>
                <w:rFonts w:ascii="Times New Roman" w:hAnsi="Times New Roman" w:cs="Times New Roman"/>
                <w:sz w:val="24"/>
                <w:szCs w:val="24"/>
                <w:lang w:val="ro-RO"/>
              </w:rPr>
              <w:t xml:space="preserve">În acest sens, a fost făcută și o analiză a gradului de acoperire a compensării cheltuielilor agenților economici care își instruiesc personalul prin învățămînt dual, reieșind din mijloacele financiare alocate anual și cheltuielile care pot fi compensate. Astfel, conform criteriilor de eligibilitate suma alocată anul din bugetul de stat (10 mil lei) ar putea acoperi compensarea cheltuielilor pentru instruirea a circa 700 de ucenici per an, ceea ce constituie 82% din ucenicii încadrați în învățământul dual, sau circa 5.4% din absolvenții instituțiilor profesional tehnice (școli profesionale și colegii), fiind angajați, ulterior, în proporție de 70% la agentul economic care a asigurat instruirea. În medie, din fiecare instituție de învățământ vor fi acoperite costurile pentru circa 9-10 ucenici (în condițiile în care participă la program 50% din instituțiile de învățământ) </w:t>
            </w:r>
            <w:r w:rsidRPr="00040C5C">
              <w:rPr>
                <w:rFonts w:ascii="Times New Roman" w:hAnsi="Times New Roman" w:cs="Times New Roman"/>
                <w:i/>
                <w:sz w:val="24"/>
                <w:szCs w:val="24"/>
                <w:lang w:val="ro-RO"/>
              </w:rPr>
              <w:t>[estimările de rigoare sunt prezentate în anex</w:t>
            </w:r>
            <w:r>
              <w:rPr>
                <w:rFonts w:ascii="Times New Roman" w:hAnsi="Times New Roman" w:cs="Times New Roman"/>
                <w:i/>
                <w:sz w:val="24"/>
                <w:szCs w:val="24"/>
                <w:lang w:val="ro-RO"/>
              </w:rPr>
              <w:t>a Analizei Impactului de Reglementare a proiectului</w:t>
            </w:r>
            <w:r w:rsidRPr="00040C5C">
              <w:rPr>
                <w:rFonts w:ascii="Times New Roman" w:hAnsi="Times New Roman" w:cs="Times New Roman"/>
                <w:i/>
                <w:sz w:val="24"/>
                <w:szCs w:val="24"/>
                <w:lang w:val="ro-RO"/>
              </w:rPr>
              <w:t>].</w:t>
            </w:r>
          </w:p>
          <w:p w14:paraId="6733B41F" w14:textId="77777777" w:rsidR="008C17DD" w:rsidRPr="00040C5C" w:rsidRDefault="008C17DD" w:rsidP="008C17DD">
            <w:pPr>
              <w:tabs>
                <w:tab w:val="left" w:pos="360"/>
                <w:tab w:val="left" w:pos="9667"/>
              </w:tabs>
              <w:suppressAutoHyphens/>
              <w:autoSpaceDN w:val="0"/>
              <w:spacing w:after="0" w:line="240" w:lineRule="auto"/>
              <w:ind w:right="49" w:firstLine="488"/>
              <w:jc w:val="both"/>
              <w:textAlignment w:val="baseline"/>
              <w:rPr>
                <w:rFonts w:ascii="Times New Roman" w:hAnsi="Times New Roman" w:cs="Times New Roman"/>
                <w:sz w:val="24"/>
                <w:szCs w:val="24"/>
                <w:lang w:val="ro-RO"/>
              </w:rPr>
            </w:pPr>
            <w:r w:rsidRPr="00040C5C">
              <w:rPr>
                <w:rFonts w:ascii="Times New Roman" w:hAnsi="Times New Roman" w:cs="Times New Roman"/>
                <w:sz w:val="24"/>
                <w:szCs w:val="24"/>
                <w:lang w:val="ro-RO"/>
              </w:rPr>
              <w:t xml:space="preserve">În urma analizei cost-beneficiu s-a constatat faptul că, lipsa personalului calificat în sectoarele prioritare poate fi ameliorată și ulterior soluționată prin pregătirea anuală a unui număr de specialiști calificați prin intermediul învăţămîntului dual. Specialiștii astfel pregătiți vor deține nu doar cunoștințe teoretice, acumulate la instituția de învățîmînt, dar și competente practice, obținute la agentul economic, în procesul de lucru la utilajele și echipamente moderne, puse la dispoziție de acesta, sub supravegherea maiștrilor-instructori. </w:t>
            </w:r>
          </w:p>
          <w:p w14:paraId="7B544F77" w14:textId="4591FAC7" w:rsidR="00974D4D" w:rsidRPr="00110178" w:rsidRDefault="008C17DD" w:rsidP="008C17DD">
            <w:pPr>
              <w:tabs>
                <w:tab w:val="left" w:pos="360"/>
                <w:tab w:val="left" w:pos="9667"/>
              </w:tabs>
              <w:suppressAutoHyphens/>
              <w:autoSpaceDN w:val="0"/>
              <w:spacing w:after="0" w:line="240" w:lineRule="auto"/>
              <w:ind w:right="49" w:firstLine="487"/>
              <w:jc w:val="both"/>
              <w:textAlignment w:val="baseline"/>
              <w:rPr>
                <w:rFonts w:ascii="Times New Roman" w:hAnsi="Times New Roman" w:cs="Times New Roman"/>
                <w:sz w:val="24"/>
                <w:szCs w:val="24"/>
                <w:lang w:val="ro-RO"/>
              </w:rPr>
            </w:pPr>
            <w:r w:rsidRPr="00040C5C">
              <w:rPr>
                <w:rFonts w:ascii="Times New Roman" w:hAnsi="Times New Roman" w:cs="Times New Roman"/>
                <w:sz w:val="24"/>
                <w:szCs w:val="24"/>
                <w:lang w:val="ro-RO"/>
              </w:rPr>
              <w:t>Prin urmare, anual prin intermediul acestui instrument se preconizează crearea a cca 500 locuri noi de muncă, fiind angajați tineri specialiști bine calificați care lipsesc pe piața muncii.</w:t>
            </w:r>
            <w:bookmarkStart w:id="0" w:name="_GoBack"/>
            <w:bookmarkEnd w:id="0"/>
          </w:p>
        </w:tc>
      </w:tr>
      <w:tr w:rsidR="00110178" w:rsidRPr="00110178" w14:paraId="0F4236D2" w14:textId="77777777" w:rsidTr="00CD7B09">
        <w:trPr>
          <w:trHeight w:val="35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hideMark/>
          </w:tcPr>
          <w:p w14:paraId="0DE11729" w14:textId="77777777" w:rsidR="00110178" w:rsidRPr="00110178" w:rsidRDefault="00110178" w:rsidP="00CD7B09">
            <w:pPr>
              <w:spacing w:after="0" w:line="240" w:lineRule="auto"/>
              <w:rPr>
                <w:rFonts w:ascii="Times New Roman" w:hAnsi="Times New Roman" w:cs="Times New Roman"/>
                <w:b/>
                <w:sz w:val="24"/>
                <w:szCs w:val="24"/>
                <w:lang w:val="ro-RO"/>
              </w:rPr>
            </w:pPr>
            <w:r w:rsidRPr="00110178">
              <w:rPr>
                <w:rFonts w:ascii="Times New Roman" w:hAnsi="Times New Roman" w:cs="Times New Roman"/>
                <w:b/>
                <w:bCs/>
                <w:sz w:val="24"/>
                <w:szCs w:val="24"/>
                <w:lang w:val="ro-RO"/>
              </w:rPr>
              <w:t>V.</w:t>
            </w:r>
            <w:r w:rsidRPr="00110178">
              <w:rPr>
                <w:rFonts w:ascii="Times New Roman" w:hAnsi="Times New Roman" w:cs="Times New Roman"/>
                <w:b/>
                <w:sz w:val="24"/>
                <w:szCs w:val="24"/>
                <w:lang w:val="ro-RO"/>
              </w:rPr>
              <w:t xml:space="preserve"> Modul de încorporare a actului în cadrul normativ în vigoare </w:t>
            </w:r>
          </w:p>
        </w:tc>
      </w:tr>
      <w:tr w:rsidR="00110178" w:rsidRPr="00110178" w14:paraId="30440C6F" w14:textId="77777777" w:rsidTr="00CD7B0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3DCF3B" w14:textId="77777777" w:rsidR="00110178" w:rsidRPr="00110178" w:rsidRDefault="00110178" w:rsidP="00CD7B09">
            <w:pPr>
              <w:pStyle w:val="tt"/>
              <w:ind w:firstLine="432"/>
              <w:jc w:val="both"/>
              <w:rPr>
                <w:b w:val="0"/>
                <w:lang w:val="ro-RO"/>
              </w:rPr>
            </w:pPr>
            <w:r w:rsidRPr="00110178">
              <w:rPr>
                <w:b w:val="0"/>
                <w:lang w:val="ro-RO"/>
              </w:rPr>
              <w:t xml:space="preserve">Odată cu intrarea în vigoare a prezentului proiect de Hotărîre a Guvernului nu va fi necesară modificarea altor acte normative. </w:t>
            </w:r>
          </w:p>
        </w:tc>
      </w:tr>
      <w:tr w:rsidR="00110178" w:rsidRPr="00110178" w14:paraId="6C550B19" w14:textId="77777777" w:rsidTr="00CD7B09">
        <w:trPr>
          <w:trHeight w:val="35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hideMark/>
          </w:tcPr>
          <w:p w14:paraId="3D9DDDDC" w14:textId="77777777" w:rsidR="00110178" w:rsidRPr="00110178" w:rsidRDefault="00110178" w:rsidP="00CD7B09">
            <w:pPr>
              <w:spacing w:after="0" w:line="240" w:lineRule="auto"/>
              <w:rPr>
                <w:rFonts w:ascii="Times New Roman" w:hAnsi="Times New Roman" w:cs="Times New Roman"/>
                <w:b/>
                <w:sz w:val="24"/>
                <w:szCs w:val="24"/>
                <w:lang w:val="ro-RO"/>
              </w:rPr>
            </w:pPr>
            <w:r w:rsidRPr="00110178">
              <w:rPr>
                <w:rFonts w:ascii="Times New Roman" w:hAnsi="Times New Roman" w:cs="Times New Roman"/>
                <w:b/>
                <w:bCs/>
                <w:sz w:val="24"/>
                <w:szCs w:val="24"/>
                <w:lang w:val="ro-RO"/>
              </w:rPr>
              <w:t>VI.</w:t>
            </w:r>
            <w:r w:rsidRPr="00110178">
              <w:rPr>
                <w:rFonts w:ascii="Times New Roman" w:hAnsi="Times New Roman" w:cs="Times New Roman"/>
                <w:b/>
                <w:sz w:val="24"/>
                <w:szCs w:val="24"/>
                <w:lang w:val="ro-RO"/>
              </w:rPr>
              <w:t xml:space="preserve"> Avizarea şi consultarea publică a proiectului </w:t>
            </w:r>
          </w:p>
        </w:tc>
      </w:tr>
      <w:tr w:rsidR="00110178" w:rsidRPr="00110178" w14:paraId="786913E7" w14:textId="77777777" w:rsidTr="00CD7B0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97B78B" w14:textId="77777777" w:rsidR="00110178" w:rsidRPr="00110178" w:rsidRDefault="00110178" w:rsidP="00CD7B09">
            <w:pPr>
              <w:spacing w:after="0" w:line="240" w:lineRule="auto"/>
              <w:ind w:firstLine="432"/>
              <w:jc w:val="both"/>
              <w:rPr>
                <w:rFonts w:ascii="Times New Roman" w:hAnsi="Times New Roman" w:cs="Times New Roman"/>
                <w:sz w:val="24"/>
                <w:szCs w:val="24"/>
                <w:lang w:val="ro-RO"/>
              </w:rPr>
            </w:pPr>
            <w:r w:rsidRPr="00110178">
              <w:rPr>
                <w:rFonts w:ascii="Times New Roman" w:hAnsi="Times New Roman" w:cs="Times New Roman"/>
                <w:sz w:val="24"/>
                <w:szCs w:val="24"/>
                <w:lang w:val="ro-RO"/>
              </w:rPr>
              <w:t xml:space="preserve">În scopul respectării prevederilor Legii nr. 239-XVI din 13 noiembrie 2008 privind </w:t>
            </w:r>
            <w:proofErr w:type="spellStart"/>
            <w:r w:rsidRPr="00110178">
              <w:rPr>
                <w:rFonts w:ascii="Times New Roman" w:hAnsi="Times New Roman" w:cs="Times New Roman"/>
                <w:sz w:val="24"/>
                <w:szCs w:val="24"/>
                <w:lang w:val="ro-RO"/>
              </w:rPr>
              <w:t>transparenţa</w:t>
            </w:r>
            <w:proofErr w:type="spellEnd"/>
            <w:r w:rsidRPr="00110178">
              <w:rPr>
                <w:rFonts w:ascii="Times New Roman" w:hAnsi="Times New Roman" w:cs="Times New Roman"/>
                <w:sz w:val="24"/>
                <w:szCs w:val="24"/>
                <w:lang w:val="ro-RO"/>
              </w:rPr>
              <w:t xml:space="preserve"> în procesul decizional, proiectul a fost plasat pe pagina web a Ministerului Economiei și Infrastructurii (</w:t>
            </w:r>
            <w:hyperlink r:id="rId8" w:history="1">
              <w:r w:rsidRPr="00110178">
                <w:rPr>
                  <w:rStyle w:val="Hyperlink"/>
                  <w:rFonts w:ascii="Times New Roman" w:hAnsi="Times New Roman" w:cs="Times New Roman"/>
                  <w:sz w:val="24"/>
                  <w:szCs w:val="24"/>
                  <w:lang w:val="ro-RO"/>
                </w:rPr>
                <w:t>www.mei.gov.md</w:t>
              </w:r>
            </w:hyperlink>
            <w:r w:rsidRPr="00110178">
              <w:rPr>
                <w:rFonts w:ascii="Times New Roman" w:hAnsi="Times New Roman" w:cs="Times New Roman"/>
                <w:sz w:val="24"/>
                <w:szCs w:val="24"/>
                <w:lang w:val="ro-RO"/>
              </w:rPr>
              <w:t xml:space="preserve">), la compartimentul </w:t>
            </w:r>
            <w:r w:rsidRPr="00110178">
              <w:rPr>
                <w:rFonts w:ascii="Times New Roman" w:hAnsi="Times New Roman" w:cs="Times New Roman"/>
                <w:i/>
                <w:sz w:val="24"/>
                <w:szCs w:val="24"/>
                <w:lang w:val="ro-RO"/>
              </w:rPr>
              <w:t>„</w:t>
            </w:r>
            <w:proofErr w:type="spellStart"/>
            <w:r w:rsidRPr="00110178">
              <w:rPr>
                <w:rFonts w:ascii="Times New Roman" w:hAnsi="Times New Roman" w:cs="Times New Roman"/>
                <w:i/>
                <w:sz w:val="24"/>
                <w:szCs w:val="24"/>
                <w:lang w:val="ro-RO"/>
              </w:rPr>
              <w:t>Transparenţă</w:t>
            </w:r>
            <w:proofErr w:type="spellEnd"/>
            <w:r w:rsidRPr="00110178">
              <w:rPr>
                <w:rFonts w:ascii="Times New Roman" w:hAnsi="Times New Roman" w:cs="Times New Roman"/>
                <w:i/>
                <w:sz w:val="24"/>
                <w:szCs w:val="24"/>
                <w:lang w:val="ro-RO"/>
              </w:rPr>
              <w:t>”</w:t>
            </w:r>
            <w:r w:rsidRPr="00110178">
              <w:rPr>
                <w:rFonts w:ascii="Times New Roman" w:hAnsi="Times New Roman" w:cs="Times New Roman"/>
                <w:sz w:val="24"/>
                <w:szCs w:val="24"/>
                <w:lang w:val="ro-RO"/>
              </w:rPr>
              <w:t xml:space="preserve">, </w:t>
            </w:r>
            <w:proofErr w:type="spellStart"/>
            <w:r w:rsidRPr="00110178">
              <w:rPr>
                <w:rFonts w:ascii="Times New Roman" w:hAnsi="Times New Roman" w:cs="Times New Roman"/>
                <w:sz w:val="24"/>
                <w:szCs w:val="24"/>
                <w:lang w:val="ro-RO"/>
              </w:rPr>
              <w:t>subcompartimentul</w:t>
            </w:r>
            <w:proofErr w:type="spellEnd"/>
            <w:r w:rsidRPr="00110178">
              <w:rPr>
                <w:rFonts w:ascii="Times New Roman" w:hAnsi="Times New Roman" w:cs="Times New Roman"/>
                <w:sz w:val="24"/>
                <w:szCs w:val="24"/>
                <w:lang w:val="ro-RO"/>
              </w:rPr>
              <w:t xml:space="preserve"> </w:t>
            </w:r>
            <w:r w:rsidRPr="00110178">
              <w:rPr>
                <w:rFonts w:ascii="Times New Roman" w:hAnsi="Times New Roman" w:cs="Times New Roman"/>
                <w:i/>
                <w:sz w:val="24"/>
                <w:szCs w:val="24"/>
                <w:lang w:val="ro-RO"/>
              </w:rPr>
              <w:t>„Transparența decizională”</w:t>
            </w:r>
            <w:r w:rsidRPr="00110178">
              <w:rPr>
                <w:rFonts w:ascii="Times New Roman" w:hAnsi="Times New Roman" w:cs="Times New Roman"/>
                <w:sz w:val="24"/>
                <w:szCs w:val="24"/>
                <w:lang w:val="ro-RO"/>
              </w:rPr>
              <w:t xml:space="preserve">, rubrica </w:t>
            </w:r>
            <w:r w:rsidRPr="00110178">
              <w:rPr>
                <w:rFonts w:ascii="Times New Roman" w:hAnsi="Times New Roman" w:cs="Times New Roman"/>
                <w:i/>
                <w:sz w:val="24"/>
                <w:szCs w:val="24"/>
                <w:lang w:val="ro-RO"/>
              </w:rPr>
              <w:t>„</w:t>
            </w:r>
            <w:proofErr w:type="spellStart"/>
            <w:r w:rsidRPr="00110178">
              <w:rPr>
                <w:rFonts w:ascii="Times New Roman" w:hAnsi="Times New Roman" w:cs="Times New Roman"/>
                <w:i/>
                <w:sz w:val="24"/>
                <w:szCs w:val="24"/>
                <w:lang w:val="ro-RO"/>
              </w:rPr>
              <w:t>Anunţuri</w:t>
            </w:r>
            <w:proofErr w:type="spellEnd"/>
            <w:r w:rsidRPr="00110178">
              <w:rPr>
                <w:rFonts w:ascii="Times New Roman" w:hAnsi="Times New Roman" w:cs="Times New Roman"/>
                <w:i/>
                <w:sz w:val="24"/>
                <w:szCs w:val="24"/>
                <w:lang w:val="ro-RO"/>
              </w:rPr>
              <w:t xml:space="preserve"> privind consultările publice”</w:t>
            </w:r>
            <w:r w:rsidRPr="00110178">
              <w:rPr>
                <w:rFonts w:ascii="Times New Roman" w:hAnsi="Times New Roman" w:cs="Times New Roman"/>
                <w:sz w:val="24"/>
                <w:szCs w:val="24"/>
                <w:lang w:val="ro-RO"/>
              </w:rPr>
              <w:t>.</w:t>
            </w:r>
          </w:p>
        </w:tc>
      </w:tr>
    </w:tbl>
    <w:p w14:paraId="722D7EE6" w14:textId="77777777" w:rsidR="00110178" w:rsidRPr="00110178" w:rsidRDefault="00110178" w:rsidP="00110178">
      <w:pPr>
        <w:spacing w:after="0" w:line="240" w:lineRule="auto"/>
        <w:rPr>
          <w:rFonts w:ascii="Times New Roman" w:hAnsi="Times New Roman" w:cs="Times New Roman"/>
          <w:sz w:val="27"/>
          <w:szCs w:val="27"/>
          <w:lang w:val="ro-RO"/>
        </w:rPr>
      </w:pPr>
    </w:p>
    <w:p w14:paraId="566A32AB" w14:textId="77777777" w:rsidR="00110178" w:rsidRPr="00110178" w:rsidRDefault="00110178" w:rsidP="00110178">
      <w:pPr>
        <w:spacing w:after="0" w:line="240" w:lineRule="auto"/>
        <w:rPr>
          <w:rFonts w:ascii="Times New Roman" w:hAnsi="Times New Roman" w:cs="Times New Roman"/>
          <w:b/>
          <w:sz w:val="27"/>
          <w:szCs w:val="27"/>
          <w:lang w:val="ro-RO"/>
        </w:rPr>
      </w:pPr>
    </w:p>
    <w:p w14:paraId="4326A05D" w14:textId="77777777" w:rsidR="00110178" w:rsidRDefault="00110178" w:rsidP="00110178">
      <w:pPr>
        <w:spacing w:after="0" w:line="240" w:lineRule="auto"/>
        <w:rPr>
          <w:rFonts w:ascii="Times New Roman" w:hAnsi="Times New Roman" w:cs="Times New Roman"/>
          <w:b/>
          <w:sz w:val="27"/>
          <w:szCs w:val="27"/>
          <w:lang w:val="ro-RO"/>
        </w:rPr>
      </w:pPr>
    </w:p>
    <w:p w14:paraId="4AC198B7" w14:textId="77777777" w:rsidR="00974D4D" w:rsidRPr="00110178" w:rsidRDefault="00974D4D" w:rsidP="00110178">
      <w:pPr>
        <w:spacing w:after="0" w:line="240" w:lineRule="auto"/>
        <w:rPr>
          <w:rFonts w:ascii="Times New Roman" w:hAnsi="Times New Roman" w:cs="Times New Roman"/>
          <w:b/>
          <w:sz w:val="27"/>
          <w:szCs w:val="27"/>
          <w:lang w:val="ro-RO"/>
        </w:rPr>
      </w:pPr>
    </w:p>
    <w:p w14:paraId="3BE2EC3F" w14:textId="77777777" w:rsidR="00110178" w:rsidRPr="00110178" w:rsidRDefault="00110178" w:rsidP="00110178">
      <w:pPr>
        <w:spacing w:after="0" w:line="240" w:lineRule="auto"/>
        <w:rPr>
          <w:rFonts w:ascii="Times New Roman" w:hAnsi="Times New Roman" w:cs="Times New Roman"/>
          <w:b/>
          <w:sz w:val="27"/>
          <w:szCs w:val="27"/>
          <w:lang w:val="ro-RO"/>
        </w:rPr>
      </w:pPr>
    </w:p>
    <w:p w14:paraId="0B8E0C46" w14:textId="77777777" w:rsidR="00110178" w:rsidRPr="00110178" w:rsidRDefault="00110178" w:rsidP="00110178">
      <w:pPr>
        <w:spacing w:after="0" w:line="240" w:lineRule="auto"/>
        <w:rPr>
          <w:rFonts w:ascii="Times New Roman" w:hAnsi="Times New Roman" w:cs="Times New Roman"/>
          <w:b/>
          <w:sz w:val="27"/>
          <w:szCs w:val="27"/>
          <w:lang w:val="ro-RO"/>
        </w:rPr>
      </w:pPr>
      <w:r w:rsidRPr="00110178">
        <w:rPr>
          <w:rFonts w:ascii="Times New Roman" w:hAnsi="Times New Roman" w:cs="Times New Roman"/>
          <w:b/>
          <w:sz w:val="27"/>
          <w:szCs w:val="27"/>
          <w:lang w:val="ro-RO"/>
        </w:rPr>
        <w:t xml:space="preserve">    </w:t>
      </w:r>
      <w:r>
        <w:rPr>
          <w:rFonts w:ascii="Times New Roman" w:hAnsi="Times New Roman" w:cs="Times New Roman"/>
          <w:b/>
          <w:sz w:val="27"/>
          <w:szCs w:val="27"/>
          <w:lang w:val="ro-RO"/>
        </w:rPr>
        <w:t xml:space="preserve">          </w:t>
      </w:r>
      <w:r w:rsidRPr="00110178">
        <w:rPr>
          <w:rFonts w:ascii="Times New Roman" w:hAnsi="Times New Roman" w:cs="Times New Roman"/>
          <w:b/>
          <w:sz w:val="27"/>
          <w:szCs w:val="27"/>
          <w:lang w:val="ro-RO"/>
        </w:rPr>
        <w:t xml:space="preserve">Ministru                                     </w:t>
      </w:r>
      <w:r>
        <w:rPr>
          <w:rFonts w:ascii="Times New Roman" w:hAnsi="Times New Roman" w:cs="Times New Roman"/>
          <w:b/>
          <w:sz w:val="27"/>
          <w:szCs w:val="27"/>
          <w:lang w:val="ro-RO"/>
        </w:rPr>
        <w:t xml:space="preserve">                            </w:t>
      </w:r>
      <w:r w:rsidRPr="00110178">
        <w:rPr>
          <w:rFonts w:ascii="Times New Roman" w:hAnsi="Times New Roman" w:cs="Times New Roman"/>
          <w:b/>
          <w:sz w:val="27"/>
          <w:szCs w:val="27"/>
          <w:lang w:val="ro-RO"/>
        </w:rPr>
        <w:t xml:space="preserve">     Vadim BRÎNZAN </w:t>
      </w:r>
    </w:p>
    <w:p w14:paraId="637995AC" w14:textId="454430FF" w:rsidR="00110178" w:rsidRPr="00110178" w:rsidRDefault="007D4E95" w:rsidP="00F2014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sectPr w:rsidR="00110178" w:rsidRPr="00110178" w:rsidSect="00B51147">
      <w:footerReference w:type="default" r:id="rId9"/>
      <w:pgSz w:w="11907" w:h="16840" w:code="9"/>
      <w:pgMar w:top="270" w:right="747" w:bottom="10" w:left="1267" w:header="144"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69E21" w14:textId="77777777" w:rsidR="001821B6" w:rsidRDefault="001821B6" w:rsidP="00736F61">
      <w:pPr>
        <w:spacing w:after="0" w:line="240" w:lineRule="auto"/>
      </w:pPr>
      <w:r>
        <w:separator/>
      </w:r>
    </w:p>
  </w:endnote>
  <w:endnote w:type="continuationSeparator" w:id="0">
    <w:p w14:paraId="46D4CA3A" w14:textId="77777777" w:rsidR="001821B6" w:rsidRDefault="001821B6"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E1777" w14:textId="77777777" w:rsidR="0046195D" w:rsidRDefault="00461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6483D" w14:textId="77777777" w:rsidR="001821B6" w:rsidRDefault="001821B6" w:rsidP="00736F61">
      <w:pPr>
        <w:spacing w:after="0" w:line="240" w:lineRule="auto"/>
      </w:pPr>
      <w:r>
        <w:separator/>
      </w:r>
    </w:p>
  </w:footnote>
  <w:footnote w:type="continuationSeparator" w:id="0">
    <w:p w14:paraId="68200EAC" w14:textId="77777777" w:rsidR="001821B6" w:rsidRDefault="001821B6" w:rsidP="00736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768F"/>
    <w:multiLevelType w:val="multilevel"/>
    <w:tmpl w:val="54DE52EE"/>
    <w:lvl w:ilvl="0">
      <w:start w:val="3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427FAF"/>
    <w:multiLevelType w:val="hybridMultilevel"/>
    <w:tmpl w:val="4434E6D8"/>
    <w:lvl w:ilvl="0" w:tplc="512C7AE0">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nsid w:val="0B5B5F1E"/>
    <w:multiLevelType w:val="multilevel"/>
    <w:tmpl w:val="8ADE11D4"/>
    <w:lvl w:ilvl="0">
      <w:start w:val="1"/>
      <w:numFmt w:val="decimal"/>
      <w:lvlText w:val="%1)"/>
      <w:lvlJc w:val="left"/>
      <w:pPr>
        <w:ind w:left="45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nsid w:val="0C80368A"/>
    <w:multiLevelType w:val="hybridMultilevel"/>
    <w:tmpl w:val="EBAEF67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620D50"/>
    <w:multiLevelType w:val="multilevel"/>
    <w:tmpl w:val="D68A19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6B3D94"/>
    <w:multiLevelType w:val="hybridMultilevel"/>
    <w:tmpl w:val="23D27ACA"/>
    <w:lvl w:ilvl="0" w:tplc="8132EA88">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nsid w:val="18E240EE"/>
    <w:multiLevelType w:val="hybridMultilevel"/>
    <w:tmpl w:val="AF46B8E4"/>
    <w:lvl w:ilvl="0" w:tplc="A9C0AA66">
      <w:start w:val="1"/>
      <w:numFmt w:val="lowerLetter"/>
      <w:lvlText w:val="%1)"/>
      <w:lvlJc w:val="left"/>
      <w:pPr>
        <w:ind w:left="900" w:hanging="360"/>
      </w:pPr>
      <w:rPr>
        <w:rFonts w:hint="default"/>
        <w:color w:val="auto"/>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nsid w:val="1B606912"/>
    <w:multiLevelType w:val="multilevel"/>
    <w:tmpl w:val="5A84E3F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BFE1AA7"/>
    <w:multiLevelType w:val="multilevel"/>
    <w:tmpl w:val="53F428C4"/>
    <w:lvl w:ilvl="0">
      <w:start w:val="1"/>
      <w:numFmt w:val="decimal"/>
      <w:lvlText w:val="%1)"/>
      <w:lvlJc w:val="left"/>
      <w:pPr>
        <w:ind w:left="450" w:hanging="360"/>
      </w:pPr>
      <w:rPr>
        <w:rFonts w:ascii="Times New Roman" w:eastAsiaTheme="minorHAnsi"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nsid w:val="248D5E5C"/>
    <w:multiLevelType w:val="hybridMultilevel"/>
    <w:tmpl w:val="80AE293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51B439E"/>
    <w:multiLevelType w:val="hybridMultilevel"/>
    <w:tmpl w:val="1E32E8FC"/>
    <w:lvl w:ilvl="0" w:tplc="72DCFA6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5B3177"/>
    <w:multiLevelType w:val="hybridMultilevel"/>
    <w:tmpl w:val="1AE401CE"/>
    <w:lvl w:ilvl="0" w:tplc="7988EA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9C01F5"/>
    <w:multiLevelType w:val="hybridMultilevel"/>
    <w:tmpl w:val="B100ECA0"/>
    <w:lvl w:ilvl="0" w:tplc="697A055A">
      <w:start w:val="13"/>
      <w:numFmt w:val="decimal"/>
      <w:lvlText w:val="%1."/>
      <w:lvlJc w:val="left"/>
      <w:pPr>
        <w:ind w:left="1350" w:hanging="360"/>
      </w:pPr>
      <w:rPr>
        <w:rFonts w:hint="default"/>
        <w:b/>
        <w:sz w:val="24"/>
        <w:szCs w:val="24"/>
      </w:rPr>
    </w:lvl>
    <w:lvl w:ilvl="1" w:tplc="04090019">
      <w:start w:val="1"/>
      <w:numFmt w:val="lowerLetter"/>
      <w:lvlText w:val="%2."/>
      <w:lvlJc w:val="left"/>
      <w:pPr>
        <w:ind w:left="1890" w:hanging="360"/>
      </w:pPr>
    </w:lvl>
    <w:lvl w:ilvl="2" w:tplc="A13265DC">
      <w:start w:val="1"/>
      <w:numFmt w:val="decimal"/>
      <w:lvlText w:val="%3)"/>
      <w:lvlJc w:val="right"/>
      <w:pPr>
        <w:ind w:left="2610" w:hanging="180"/>
      </w:pPr>
      <w:rPr>
        <w:rFonts w:ascii="Times New Roman" w:eastAsia="Times New Roman" w:hAnsi="Times New Roman" w:cs="Times New Roman"/>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2D2D65B6"/>
    <w:multiLevelType w:val="hybridMultilevel"/>
    <w:tmpl w:val="2118DA6E"/>
    <w:lvl w:ilvl="0" w:tplc="4B624F14">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5C5125"/>
    <w:multiLevelType w:val="hybridMultilevel"/>
    <w:tmpl w:val="79AE828E"/>
    <w:lvl w:ilvl="0" w:tplc="04190017">
      <w:start w:val="1"/>
      <w:numFmt w:val="lowerLetter"/>
      <w:lvlText w:val="%1)"/>
      <w:lvlJc w:val="left"/>
      <w:pPr>
        <w:ind w:left="780" w:hanging="360"/>
      </w:pPr>
      <w:rPr>
        <w:rFonts w:cs="Times New Roman"/>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15">
    <w:nsid w:val="2E6B7482"/>
    <w:multiLevelType w:val="hybridMultilevel"/>
    <w:tmpl w:val="31C49E4E"/>
    <w:lvl w:ilvl="0" w:tplc="04180001">
      <w:start w:val="1"/>
      <w:numFmt w:val="bullet"/>
      <w:lvlText w:val=""/>
      <w:lvlJc w:val="left"/>
      <w:pPr>
        <w:tabs>
          <w:tab w:val="num" w:pos="1593"/>
        </w:tabs>
        <w:ind w:left="1593" w:hanging="885"/>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2E6E631F"/>
    <w:multiLevelType w:val="multilevel"/>
    <w:tmpl w:val="D5D84E5C"/>
    <w:lvl w:ilvl="0">
      <w:numFmt w:val="bullet"/>
      <w:lvlText w:val="-"/>
      <w:lvlJc w:val="left"/>
      <w:pPr>
        <w:ind w:left="720" w:hanging="360"/>
      </w:pPr>
      <w:rPr>
        <w:rFonts w:ascii="Times New Roman" w:eastAsia="Calibri" w:hAnsi="Times New Roman"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E955603"/>
    <w:multiLevelType w:val="hybridMultilevel"/>
    <w:tmpl w:val="0F2EBF5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0227A7"/>
    <w:multiLevelType w:val="multilevel"/>
    <w:tmpl w:val="ED58FB0A"/>
    <w:lvl w:ilvl="0">
      <w:numFmt w:val="bullet"/>
      <w:lvlText w:val="-"/>
      <w:lvlJc w:val="left"/>
      <w:pPr>
        <w:ind w:left="720" w:hanging="360"/>
      </w:pPr>
      <w:rPr>
        <w:rFonts w:ascii="Times New Roman" w:eastAsia="Calibri" w:hAnsi="Times New Roman" w:cs="Times New Roman"/>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30810053"/>
    <w:multiLevelType w:val="hybridMultilevel"/>
    <w:tmpl w:val="03E4B5A6"/>
    <w:lvl w:ilvl="0" w:tplc="3FD2E9AE">
      <w:start w:val="1"/>
      <w:numFmt w:val="lowerRoman"/>
      <w:lvlText w:val="%1)"/>
      <w:lvlJc w:val="left"/>
      <w:pPr>
        <w:ind w:left="1207" w:hanging="720"/>
      </w:pPr>
      <w:rPr>
        <w:rFonts w:hint="default"/>
        <w:i/>
        <w:color w:val="auto"/>
      </w:rPr>
    </w:lvl>
    <w:lvl w:ilvl="1" w:tplc="08090019" w:tentative="1">
      <w:start w:val="1"/>
      <w:numFmt w:val="lowerLetter"/>
      <w:lvlText w:val="%2."/>
      <w:lvlJc w:val="left"/>
      <w:pPr>
        <w:ind w:left="1567" w:hanging="360"/>
      </w:p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20">
    <w:nsid w:val="40276A4F"/>
    <w:multiLevelType w:val="hybridMultilevel"/>
    <w:tmpl w:val="7556DE36"/>
    <w:lvl w:ilvl="0" w:tplc="44DC20A4">
      <w:start w:val="5"/>
      <w:numFmt w:val="decimal"/>
      <w:lvlText w:val="%1."/>
      <w:lvlJc w:val="left"/>
      <w:pPr>
        <w:ind w:left="1080" w:hanging="360"/>
      </w:pPr>
      <w:rPr>
        <w:rFonts w:hint="default"/>
        <w:b/>
      </w:rPr>
    </w:lvl>
    <w:lvl w:ilvl="1" w:tplc="455A2528">
      <w:start w:val="1"/>
      <w:numFmt w:val="lowerLetter"/>
      <w:lvlText w:val="%2)"/>
      <w:lvlJc w:val="left"/>
      <w:pPr>
        <w:ind w:left="1440" w:hanging="360"/>
      </w:pPr>
      <w:rPr>
        <w:rFonts w:hint="default"/>
      </w:rPr>
    </w:lvl>
    <w:lvl w:ilvl="2" w:tplc="E2F453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B426ED"/>
    <w:multiLevelType w:val="hybridMultilevel"/>
    <w:tmpl w:val="CEE4AA26"/>
    <w:lvl w:ilvl="0" w:tplc="033C4CEE">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64C6D45"/>
    <w:multiLevelType w:val="multilevel"/>
    <w:tmpl w:val="9C1C8C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598F7C39"/>
    <w:multiLevelType w:val="multilevel"/>
    <w:tmpl w:val="B784B824"/>
    <w:lvl w:ilvl="0">
      <w:start w:val="1"/>
      <w:numFmt w:val="decimal"/>
      <w:lvlText w:val="%1)"/>
      <w:lvlJc w:val="left"/>
      <w:pPr>
        <w:ind w:left="45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nsid w:val="5C4758FE"/>
    <w:multiLevelType w:val="hybridMultilevel"/>
    <w:tmpl w:val="ADE6F3A6"/>
    <w:lvl w:ilvl="0" w:tplc="D748733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4706FD"/>
    <w:multiLevelType w:val="hybridMultilevel"/>
    <w:tmpl w:val="B400FC90"/>
    <w:lvl w:ilvl="0" w:tplc="455A25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4E7EC8"/>
    <w:multiLevelType w:val="hybridMultilevel"/>
    <w:tmpl w:val="A4CA6AD6"/>
    <w:lvl w:ilvl="0" w:tplc="4A4A5C84">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7">
    <w:nsid w:val="7B8A237E"/>
    <w:multiLevelType w:val="multilevel"/>
    <w:tmpl w:val="0B82FBA6"/>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E490B46"/>
    <w:multiLevelType w:val="multilevel"/>
    <w:tmpl w:val="675A5C6E"/>
    <w:lvl w:ilvl="0">
      <w:numFmt w:val="bullet"/>
      <w:lvlText w:val="-"/>
      <w:lvlJc w:val="left"/>
      <w:pPr>
        <w:ind w:left="644" w:hanging="360"/>
      </w:pPr>
      <w:rPr>
        <w:rFonts w:ascii="Times New Roman" w:eastAsia="Calibri" w:hAnsi="Times New Roman" w:cs="Times New Roman"/>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num w:numId="1">
    <w:abstractNumId w:val="15"/>
  </w:num>
  <w:num w:numId="2">
    <w:abstractNumId w:val="14"/>
  </w:num>
  <w:num w:numId="3">
    <w:abstractNumId w:val="21"/>
  </w:num>
  <w:num w:numId="4">
    <w:abstractNumId w:val="10"/>
  </w:num>
  <w:num w:numId="5">
    <w:abstractNumId w:val="27"/>
  </w:num>
  <w:num w:numId="6">
    <w:abstractNumId w:val="18"/>
  </w:num>
  <w:num w:numId="7">
    <w:abstractNumId w:val="28"/>
  </w:num>
  <w:num w:numId="8">
    <w:abstractNumId w:val="7"/>
  </w:num>
  <w:num w:numId="9">
    <w:abstractNumId w:val="16"/>
  </w:num>
  <w:num w:numId="10">
    <w:abstractNumId w:val="22"/>
  </w:num>
  <w:num w:numId="11">
    <w:abstractNumId w:val="0"/>
  </w:num>
  <w:num w:numId="12">
    <w:abstractNumId w:val="1"/>
  </w:num>
  <w:num w:numId="13">
    <w:abstractNumId w:val="26"/>
  </w:num>
  <w:num w:numId="14">
    <w:abstractNumId w:val="6"/>
  </w:num>
  <w:num w:numId="15">
    <w:abstractNumId w:val="8"/>
  </w:num>
  <w:num w:numId="16">
    <w:abstractNumId w:val="13"/>
  </w:num>
  <w:num w:numId="17">
    <w:abstractNumId w:val="11"/>
  </w:num>
  <w:num w:numId="18">
    <w:abstractNumId w:val="2"/>
  </w:num>
  <w:num w:numId="19">
    <w:abstractNumId w:val="20"/>
  </w:num>
  <w:num w:numId="20">
    <w:abstractNumId w:val="23"/>
  </w:num>
  <w:num w:numId="21">
    <w:abstractNumId w:val="9"/>
  </w:num>
  <w:num w:numId="22">
    <w:abstractNumId w:val="12"/>
  </w:num>
  <w:num w:numId="23">
    <w:abstractNumId w:val="4"/>
  </w:num>
  <w:num w:numId="24">
    <w:abstractNumId w:val="25"/>
  </w:num>
  <w:num w:numId="25">
    <w:abstractNumId w:val="24"/>
  </w:num>
  <w:num w:numId="26">
    <w:abstractNumId w:val="17"/>
  </w:num>
  <w:num w:numId="27">
    <w:abstractNumId w:val="19"/>
  </w:num>
  <w:num w:numId="28">
    <w:abstractNumId w:val="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15E75"/>
    <w:rsid w:val="000170EF"/>
    <w:rsid w:val="00027584"/>
    <w:rsid w:val="00031AE9"/>
    <w:rsid w:val="000470F3"/>
    <w:rsid w:val="0007636E"/>
    <w:rsid w:val="00076FED"/>
    <w:rsid w:val="000B6B9D"/>
    <w:rsid w:val="000C3B4A"/>
    <w:rsid w:val="000E106C"/>
    <w:rsid w:val="000E1673"/>
    <w:rsid w:val="000F790A"/>
    <w:rsid w:val="001054FF"/>
    <w:rsid w:val="00110178"/>
    <w:rsid w:val="0011135D"/>
    <w:rsid w:val="001171E4"/>
    <w:rsid w:val="00142DFB"/>
    <w:rsid w:val="00143DD3"/>
    <w:rsid w:val="0015143C"/>
    <w:rsid w:val="0015715A"/>
    <w:rsid w:val="001821B6"/>
    <w:rsid w:val="00182FF2"/>
    <w:rsid w:val="00190580"/>
    <w:rsid w:val="001B054E"/>
    <w:rsid w:val="001B2737"/>
    <w:rsid w:val="001C48E6"/>
    <w:rsid w:val="001D39D9"/>
    <w:rsid w:val="001D4823"/>
    <w:rsid w:val="001E3FAE"/>
    <w:rsid w:val="001F1AF0"/>
    <w:rsid w:val="001F505C"/>
    <w:rsid w:val="001F5FE1"/>
    <w:rsid w:val="00206908"/>
    <w:rsid w:val="002276EA"/>
    <w:rsid w:val="002354FB"/>
    <w:rsid w:val="00235F5C"/>
    <w:rsid w:val="002533D1"/>
    <w:rsid w:val="00262FD5"/>
    <w:rsid w:val="0027067B"/>
    <w:rsid w:val="002727AB"/>
    <w:rsid w:val="00274E59"/>
    <w:rsid w:val="0027623F"/>
    <w:rsid w:val="00276BA6"/>
    <w:rsid w:val="00281263"/>
    <w:rsid w:val="00282115"/>
    <w:rsid w:val="00284AF8"/>
    <w:rsid w:val="00287C82"/>
    <w:rsid w:val="002A099F"/>
    <w:rsid w:val="002B02D5"/>
    <w:rsid w:val="002C5E60"/>
    <w:rsid w:val="002D21F8"/>
    <w:rsid w:val="002E0BB0"/>
    <w:rsid w:val="002E39C5"/>
    <w:rsid w:val="002E6802"/>
    <w:rsid w:val="002F1F78"/>
    <w:rsid w:val="002F5A61"/>
    <w:rsid w:val="00305248"/>
    <w:rsid w:val="00307792"/>
    <w:rsid w:val="00313330"/>
    <w:rsid w:val="00314145"/>
    <w:rsid w:val="0031554D"/>
    <w:rsid w:val="003258A8"/>
    <w:rsid w:val="00336810"/>
    <w:rsid w:val="003514A4"/>
    <w:rsid w:val="003629B8"/>
    <w:rsid w:val="00366998"/>
    <w:rsid w:val="003719CE"/>
    <w:rsid w:val="00371A7C"/>
    <w:rsid w:val="00374CAC"/>
    <w:rsid w:val="00375086"/>
    <w:rsid w:val="00376964"/>
    <w:rsid w:val="00380778"/>
    <w:rsid w:val="00386B78"/>
    <w:rsid w:val="003A52D3"/>
    <w:rsid w:val="003B1E7D"/>
    <w:rsid w:val="003B250A"/>
    <w:rsid w:val="003B5725"/>
    <w:rsid w:val="003C33F4"/>
    <w:rsid w:val="003C36AE"/>
    <w:rsid w:val="003D769E"/>
    <w:rsid w:val="003F7A31"/>
    <w:rsid w:val="00401F6D"/>
    <w:rsid w:val="0041489F"/>
    <w:rsid w:val="00414D2E"/>
    <w:rsid w:val="00423771"/>
    <w:rsid w:val="00461651"/>
    <w:rsid w:val="0046195D"/>
    <w:rsid w:val="00473817"/>
    <w:rsid w:val="00485E3E"/>
    <w:rsid w:val="0049589E"/>
    <w:rsid w:val="004A03AE"/>
    <w:rsid w:val="004A15C7"/>
    <w:rsid w:val="004E2221"/>
    <w:rsid w:val="00511A07"/>
    <w:rsid w:val="005208F0"/>
    <w:rsid w:val="0052272E"/>
    <w:rsid w:val="0052327C"/>
    <w:rsid w:val="005317AA"/>
    <w:rsid w:val="0053639A"/>
    <w:rsid w:val="00545459"/>
    <w:rsid w:val="00547673"/>
    <w:rsid w:val="00550ED9"/>
    <w:rsid w:val="00554E43"/>
    <w:rsid w:val="00560007"/>
    <w:rsid w:val="0056046C"/>
    <w:rsid w:val="00560DC2"/>
    <w:rsid w:val="00565A48"/>
    <w:rsid w:val="00573F05"/>
    <w:rsid w:val="005A2A86"/>
    <w:rsid w:val="005B3A56"/>
    <w:rsid w:val="005B7822"/>
    <w:rsid w:val="005C1EBC"/>
    <w:rsid w:val="005C5600"/>
    <w:rsid w:val="005D342A"/>
    <w:rsid w:val="005D6F8D"/>
    <w:rsid w:val="005F1790"/>
    <w:rsid w:val="005F3371"/>
    <w:rsid w:val="006011CD"/>
    <w:rsid w:val="00606652"/>
    <w:rsid w:val="0061252A"/>
    <w:rsid w:val="006157A3"/>
    <w:rsid w:val="006232C2"/>
    <w:rsid w:val="006306D0"/>
    <w:rsid w:val="006454FA"/>
    <w:rsid w:val="006556A8"/>
    <w:rsid w:val="00670367"/>
    <w:rsid w:val="0068438F"/>
    <w:rsid w:val="00687FBD"/>
    <w:rsid w:val="00690272"/>
    <w:rsid w:val="00690AC2"/>
    <w:rsid w:val="006954B8"/>
    <w:rsid w:val="006A1694"/>
    <w:rsid w:val="006A5E39"/>
    <w:rsid w:val="006A7E54"/>
    <w:rsid w:val="006B16A4"/>
    <w:rsid w:val="006C087B"/>
    <w:rsid w:val="006C435C"/>
    <w:rsid w:val="006C451D"/>
    <w:rsid w:val="006D6550"/>
    <w:rsid w:val="006D7492"/>
    <w:rsid w:val="006F1662"/>
    <w:rsid w:val="006F1D98"/>
    <w:rsid w:val="006F6467"/>
    <w:rsid w:val="006F6F74"/>
    <w:rsid w:val="007109C7"/>
    <w:rsid w:val="00711CFC"/>
    <w:rsid w:val="00714789"/>
    <w:rsid w:val="00722FD8"/>
    <w:rsid w:val="0073227E"/>
    <w:rsid w:val="00734247"/>
    <w:rsid w:val="00736F61"/>
    <w:rsid w:val="00751032"/>
    <w:rsid w:val="0076132A"/>
    <w:rsid w:val="00762C7E"/>
    <w:rsid w:val="007674C6"/>
    <w:rsid w:val="00772070"/>
    <w:rsid w:val="00776006"/>
    <w:rsid w:val="00796443"/>
    <w:rsid w:val="007A3481"/>
    <w:rsid w:val="007A4666"/>
    <w:rsid w:val="007A7BB0"/>
    <w:rsid w:val="007B3BEF"/>
    <w:rsid w:val="007D4E95"/>
    <w:rsid w:val="007E0A3C"/>
    <w:rsid w:val="007E1A91"/>
    <w:rsid w:val="007E46E5"/>
    <w:rsid w:val="007F1047"/>
    <w:rsid w:val="007F44DF"/>
    <w:rsid w:val="007F7A52"/>
    <w:rsid w:val="00810C99"/>
    <w:rsid w:val="0081133C"/>
    <w:rsid w:val="00815DD0"/>
    <w:rsid w:val="00821F8A"/>
    <w:rsid w:val="008433B7"/>
    <w:rsid w:val="0084345C"/>
    <w:rsid w:val="00845887"/>
    <w:rsid w:val="008522B5"/>
    <w:rsid w:val="008525E3"/>
    <w:rsid w:val="008544D3"/>
    <w:rsid w:val="0086216D"/>
    <w:rsid w:val="008627FD"/>
    <w:rsid w:val="008668DE"/>
    <w:rsid w:val="00870F76"/>
    <w:rsid w:val="00881177"/>
    <w:rsid w:val="00893988"/>
    <w:rsid w:val="008C12A3"/>
    <w:rsid w:val="008C17DD"/>
    <w:rsid w:val="008C71FC"/>
    <w:rsid w:val="008D1355"/>
    <w:rsid w:val="008E53A2"/>
    <w:rsid w:val="008E6610"/>
    <w:rsid w:val="008E770F"/>
    <w:rsid w:val="008F4130"/>
    <w:rsid w:val="009024E5"/>
    <w:rsid w:val="009041BE"/>
    <w:rsid w:val="00914460"/>
    <w:rsid w:val="0091727B"/>
    <w:rsid w:val="00925596"/>
    <w:rsid w:val="00943888"/>
    <w:rsid w:val="00943EFD"/>
    <w:rsid w:val="00944A84"/>
    <w:rsid w:val="00950FBF"/>
    <w:rsid w:val="009644E1"/>
    <w:rsid w:val="009646DD"/>
    <w:rsid w:val="00973D3C"/>
    <w:rsid w:val="00974D4D"/>
    <w:rsid w:val="009911C0"/>
    <w:rsid w:val="009A12F5"/>
    <w:rsid w:val="009C09FB"/>
    <w:rsid w:val="009C3BF5"/>
    <w:rsid w:val="009E1698"/>
    <w:rsid w:val="009E530C"/>
    <w:rsid w:val="009F6409"/>
    <w:rsid w:val="00A02B13"/>
    <w:rsid w:val="00A31FAC"/>
    <w:rsid w:val="00A420C6"/>
    <w:rsid w:val="00A43CA3"/>
    <w:rsid w:val="00A57D45"/>
    <w:rsid w:val="00A71438"/>
    <w:rsid w:val="00A73E35"/>
    <w:rsid w:val="00AA0259"/>
    <w:rsid w:val="00AD53D8"/>
    <w:rsid w:val="00AE2E82"/>
    <w:rsid w:val="00AF3E88"/>
    <w:rsid w:val="00AF3F95"/>
    <w:rsid w:val="00B0091E"/>
    <w:rsid w:val="00B00DA5"/>
    <w:rsid w:val="00B37B32"/>
    <w:rsid w:val="00B46839"/>
    <w:rsid w:val="00B46FDA"/>
    <w:rsid w:val="00B51147"/>
    <w:rsid w:val="00B51D02"/>
    <w:rsid w:val="00B6201C"/>
    <w:rsid w:val="00B62798"/>
    <w:rsid w:val="00B74F4F"/>
    <w:rsid w:val="00B85869"/>
    <w:rsid w:val="00B92380"/>
    <w:rsid w:val="00B92E2D"/>
    <w:rsid w:val="00BA03D8"/>
    <w:rsid w:val="00BA30AC"/>
    <w:rsid w:val="00BB2EC2"/>
    <w:rsid w:val="00BD4533"/>
    <w:rsid w:val="00BD69BF"/>
    <w:rsid w:val="00BE0333"/>
    <w:rsid w:val="00C00816"/>
    <w:rsid w:val="00C0233F"/>
    <w:rsid w:val="00C06126"/>
    <w:rsid w:val="00C2192B"/>
    <w:rsid w:val="00C651F9"/>
    <w:rsid w:val="00C71ECE"/>
    <w:rsid w:val="00C73015"/>
    <w:rsid w:val="00C808AA"/>
    <w:rsid w:val="00C84BC4"/>
    <w:rsid w:val="00C861B2"/>
    <w:rsid w:val="00C864E1"/>
    <w:rsid w:val="00CA668B"/>
    <w:rsid w:val="00CA6D80"/>
    <w:rsid w:val="00CA7539"/>
    <w:rsid w:val="00CB0835"/>
    <w:rsid w:val="00CE583F"/>
    <w:rsid w:val="00CE6365"/>
    <w:rsid w:val="00CF4D96"/>
    <w:rsid w:val="00CF7D35"/>
    <w:rsid w:val="00D00B9A"/>
    <w:rsid w:val="00D0777C"/>
    <w:rsid w:val="00D22B6B"/>
    <w:rsid w:val="00D342C2"/>
    <w:rsid w:val="00D3501B"/>
    <w:rsid w:val="00D56B5E"/>
    <w:rsid w:val="00D57074"/>
    <w:rsid w:val="00D93076"/>
    <w:rsid w:val="00D931C0"/>
    <w:rsid w:val="00DB4E2E"/>
    <w:rsid w:val="00DC6F65"/>
    <w:rsid w:val="00DD0980"/>
    <w:rsid w:val="00E051A9"/>
    <w:rsid w:val="00E05A33"/>
    <w:rsid w:val="00E25DBA"/>
    <w:rsid w:val="00E330CE"/>
    <w:rsid w:val="00E47A7A"/>
    <w:rsid w:val="00E51304"/>
    <w:rsid w:val="00E514A8"/>
    <w:rsid w:val="00E537B4"/>
    <w:rsid w:val="00E53FA4"/>
    <w:rsid w:val="00E5734A"/>
    <w:rsid w:val="00E85029"/>
    <w:rsid w:val="00E94046"/>
    <w:rsid w:val="00E94DE5"/>
    <w:rsid w:val="00EB19D6"/>
    <w:rsid w:val="00ED3953"/>
    <w:rsid w:val="00ED60FB"/>
    <w:rsid w:val="00ED6195"/>
    <w:rsid w:val="00EE3852"/>
    <w:rsid w:val="00F024A8"/>
    <w:rsid w:val="00F02938"/>
    <w:rsid w:val="00F075E1"/>
    <w:rsid w:val="00F11610"/>
    <w:rsid w:val="00F20147"/>
    <w:rsid w:val="00F4586C"/>
    <w:rsid w:val="00F54B18"/>
    <w:rsid w:val="00F824B8"/>
    <w:rsid w:val="00F90DC4"/>
    <w:rsid w:val="00F930D5"/>
    <w:rsid w:val="00F93105"/>
    <w:rsid w:val="00F96A5B"/>
    <w:rsid w:val="00FA0483"/>
    <w:rsid w:val="00FA6F0E"/>
    <w:rsid w:val="00FB35C1"/>
    <w:rsid w:val="00FC457E"/>
    <w:rsid w:val="00FD4C28"/>
    <w:rsid w:val="00FE2690"/>
    <w:rsid w:val="00FE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4796"/>
  <w15:chartTrackingRefBased/>
  <w15:docId w15:val="{76BA1A61-1252-469E-ADF2-AE654CD5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39"/>
    <w:rsid w:val="00F02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Normal"/>
    <w:rsid w:val="002E39C5"/>
    <w:pPr>
      <w:spacing w:after="0" w:line="240" w:lineRule="auto"/>
      <w:jc w:val="center"/>
    </w:pPr>
    <w:rPr>
      <w:rFonts w:ascii="Times New Roman" w:eastAsia="Times New Roman" w:hAnsi="Times New Roman" w:cs="Times New Roman"/>
      <w:sz w:val="24"/>
      <w:szCs w:val="24"/>
      <w:lang w:val="ru-RU" w:eastAsia="ru-RU"/>
    </w:rPr>
  </w:style>
  <w:style w:type="paragraph" w:customStyle="1" w:styleId="2">
    <w:name w:val="Абзац списка2"/>
    <w:basedOn w:val="Normal"/>
    <w:rsid w:val="00401F6D"/>
    <w:pPr>
      <w:spacing w:after="200" w:line="276" w:lineRule="auto"/>
      <w:ind w:left="720"/>
    </w:pPr>
    <w:rPr>
      <w:rFonts w:ascii="Calibri" w:eastAsia="Calibri" w:hAnsi="Calibri" w:cs="Calibri"/>
      <w:lang w:val="ru-RU"/>
    </w:rPr>
  </w:style>
  <w:style w:type="paragraph" w:styleId="ListParagraph">
    <w:name w:val="List Paragraph"/>
    <w:basedOn w:val="Normal"/>
    <w:qFormat/>
    <w:rsid w:val="00D57074"/>
    <w:pPr>
      <w:ind w:left="720"/>
      <w:contextualSpacing/>
    </w:pPr>
  </w:style>
  <w:style w:type="character" w:styleId="Emphasis">
    <w:name w:val="Emphasis"/>
    <w:basedOn w:val="DefaultParagraphFont"/>
    <w:uiPriority w:val="20"/>
    <w:qFormat/>
    <w:rsid w:val="001171E4"/>
    <w:rPr>
      <w:i/>
      <w:iCs/>
    </w:rPr>
  </w:style>
  <w:style w:type="paragraph" w:customStyle="1" w:styleId="tt">
    <w:name w:val="tt"/>
    <w:basedOn w:val="Normal"/>
    <w:uiPriority w:val="99"/>
    <w:rsid w:val="00E94046"/>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cp">
    <w:name w:val="cp"/>
    <w:basedOn w:val="Normal"/>
    <w:rsid w:val="00E94046"/>
    <w:pPr>
      <w:spacing w:after="0" w:line="240" w:lineRule="auto"/>
      <w:jc w:val="center"/>
    </w:pPr>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C86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C861B2"/>
    <w:pPr>
      <w:spacing w:after="0"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459872">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385174474">
      <w:bodyDiv w:val="1"/>
      <w:marLeft w:val="0"/>
      <w:marRight w:val="0"/>
      <w:marTop w:val="0"/>
      <w:marBottom w:val="0"/>
      <w:divBdr>
        <w:top w:val="none" w:sz="0" w:space="0" w:color="auto"/>
        <w:left w:val="none" w:sz="0" w:space="0" w:color="auto"/>
        <w:bottom w:val="none" w:sz="0" w:space="0" w:color="auto"/>
        <w:right w:val="none" w:sz="0" w:space="0" w:color="auto"/>
      </w:divBdr>
    </w:div>
    <w:div w:id="20221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A5FE3-CB4B-4A24-B8FD-36574BCE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4</Pages>
  <Words>2523</Words>
  <Characters>14386</Characters>
  <Application>Microsoft Office Word</Application>
  <DocSecurity>0</DocSecurity>
  <Lines>119</Lines>
  <Paragraphs>33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Tatiana Pirgari</cp:lastModifiedBy>
  <cp:revision>51</cp:revision>
  <cp:lastPrinted>2019-09-11T11:49:00Z</cp:lastPrinted>
  <dcterms:created xsi:type="dcterms:W3CDTF">2019-04-16T11:30:00Z</dcterms:created>
  <dcterms:modified xsi:type="dcterms:W3CDTF">2019-10-04T06:25:00Z</dcterms:modified>
</cp:coreProperties>
</file>