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AF3" w:rsidRPr="00C4103F" w:rsidRDefault="00895AF3" w:rsidP="00895AF3">
      <w:pPr>
        <w:pStyle w:val="Frspaiere1"/>
        <w:jc w:val="right"/>
        <w:rPr>
          <w:rFonts w:ascii="Times New Roman" w:hAnsi="Times New Roman"/>
          <w:b/>
          <w:sz w:val="28"/>
          <w:szCs w:val="28"/>
          <w:lang w:val="ro-RO"/>
        </w:rPr>
      </w:pPr>
    </w:p>
    <w:tbl>
      <w:tblPr>
        <w:tblStyle w:val="a3"/>
        <w:tblW w:w="5529" w:type="pct"/>
        <w:tblInd w:w="-572" w:type="dxa"/>
        <w:tblLook w:val="04A0" w:firstRow="1" w:lastRow="0" w:firstColumn="1" w:lastColumn="0" w:noHBand="0" w:noVBand="1"/>
      </w:tblPr>
      <w:tblGrid>
        <w:gridCol w:w="10334"/>
      </w:tblGrid>
      <w:tr w:rsidR="00895AF3" w:rsidRPr="00CF6BCC" w:rsidTr="00F94683">
        <w:trPr>
          <w:trHeight w:val="885"/>
        </w:trPr>
        <w:tc>
          <w:tcPr>
            <w:tcW w:w="5000" w:type="pct"/>
            <w:hideMark/>
          </w:tcPr>
          <w:p w:rsidR="00895AF3" w:rsidRPr="00744662" w:rsidRDefault="00895AF3" w:rsidP="00F94683">
            <w:pPr>
              <w:jc w:val="center"/>
              <w:rPr>
                <w:b/>
                <w:bCs/>
                <w:sz w:val="24"/>
                <w:szCs w:val="24"/>
              </w:rPr>
            </w:pPr>
            <w:bookmarkStart w:id="0" w:name="page1"/>
            <w:bookmarkEnd w:id="0"/>
            <w:r w:rsidRPr="00744662">
              <w:rPr>
                <w:b/>
                <w:bCs/>
                <w:sz w:val="24"/>
                <w:szCs w:val="24"/>
              </w:rPr>
              <w:t xml:space="preserve">Notă informativă </w:t>
            </w:r>
          </w:p>
          <w:p w:rsidR="00895AF3" w:rsidRPr="00744662" w:rsidRDefault="00895AF3" w:rsidP="00F94683">
            <w:pPr>
              <w:jc w:val="center"/>
              <w:rPr>
                <w:b/>
                <w:bCs/>
                <w:sz w:val="24"/>
                <w:szCs w:val="24"/>
              </w:rPr>
            </w:pPr>
            <w:r w:rsidRPr="00744662">
              <w:rPr>
                <w:b/>
                <w:bCs/>
                <w:sz w:val="24"/>
                <w:szCs w:val="24"/>
              </w:rPr>
              <w:t xml:space="preserve">la proiectul hotărârii Guvernului </w:t>
            </w:r>
            <w:r>
              <w:rPr>
                <w:b/>
                <w:bCs/>
                <w:sz w:val="24"/>
                <w:szCs w:val="24"/>
              </w:rPr>
              <w:t>cu privire la aprobarea Regulamentului transporturilor rutiere de mărfuri perisabile și ușor alterabile</w:t>
            </w:r>
          </w:p>
          <w:p w:rsidR="00895AF3" w:rsidRPr="00744662" w:rsidRDefault="00895AF3" w:rsidP="00F94683">
            <w:pPr>
              <w:jc w:val="center"/>
              <w:rPr>
                <w:b/>
                <w:bCs/>
                <w:sz w:val="24"/>
                <w:szCs w:val="24"/>
              </w:rPr>
            </w:pPr>
          </w:p>
        </w:tc>
      </w:tr>
      <w:tr w:rsidR="00895AF3" w:rsidRPr="00CF6BCC" w:rsidTr="00F94683">
        <w:trPr>
          <w:trHeight w:val="434"/>
        </w:trPr>
        <w:tc>
          <w:tcPr>
            <w:tcW w:w="5000" w:type="pct"/>
            <w:hideMark/>
          </w:tcPr>
          <w:p w:rsidR="00895AF3" w:rsidRPr="00744662" w:rsidRDefault="00895AF3" w:rsidP="00F94683">
            <w:pPr>
              <w:rPr>
                <w:b/>
                <w:sz w:val="24"/>
                <w:szCs w:val="24"/>
              </w:rPr>
            </w:pPr>
            <w:r w:rsidRPr="00744662">
              <w:rPr>
                <w:b/>
                <w:bCs/>
                <w:sz w:val="24"/>
                <w:szCs w:val="24"/>
              </w:rPr>
              <w:t>1.</w:t>
            </w:r>
            <w:r w:rsidRPr="00744662">
              <w:rPr>
                <w:b/>
                <w:sz w:val="24"/>
                <w:szCs w:val="24"/>
              </w:rPr>
              <w:t xml:space="preserve"> Denumirea autorului și, după caz, a participanților la elaborarea proiectului </w:t>
            </w:r>
          </w:p>
        </w:tc>
      </w:tr>
      <w:tr w:rsidR="00895AF3" w:rsidRPr="00CF6BCC" w:rsidTr="00F94683">
        <w:trPr>
          <w:trHeight w:val="407"/>
        </w:trPr>
        <w:tc>
          <w:tcPr>
            <w:tcW w:w="5000" w:type="pct"/>
            <w:hideMark/>
          </w:tcPr>
          <w:p w:rsidR="00895AF3" w:rsidRPr="00744662" w:rsidRDefault="00895AF3" w:rsidP="00F94683">
            <w:pPr>
              <w:ind w:firstLine="720"/>
              <w:jc w:val="both"/>
              <w:rPr>
                <w:sz w:val="24"/>
                <w:szCs w:val="24"/>
              </w:rPr>
            </w:pPr>
            <w:r w:rsidRPr="00744662">
              <w:rPr>
                <w:sz w:val="24"/>
                <w:szCs w:val="24"/>
              </w:rPr>
              <w:t xml:space="preserve">Autorul proiectului hotărârii Guvernului </w:t>
            </w:r>
            <w:r>
              <w:rPr>
                <w:sz w:val="24"/>
                <w:szCs w:val="24"/>
              </w:rPr>
              <w:t>cu privire la aprobarea Regulamentului transporturilor rutiere de mărfuri perisabile și ușor alterabile</w:t>
            </w:r>
            <w:r w:rsidRPr="00744662">
              <w:rPr>
                <w:sz w:val="24"/>
                <w:szCs w:val="24"/>
              </w:rPr>
              <w:t xml:space="preserve"> este Ministerul Economiei și Infrastructurii</w:t>
            </w:r>
            <w:r>
              <w:rPr>
                <w:sz w:val="24"/>
                <w:szCs w:val="24"/>
              </w:rPr>
              <w:t xml:space="preserve"> și cu suportul programului  USAID Reforme Structurale în Republica Moldova</w:t>
            </w:r>
            <w:r w:rsidRPr="00744662">
              <w:rPr>
                <w:sz w:val="24"/>
                <w:szCs w:val="24"/>
              </w:rPr>
              <w:t>.</w:t>
            </w:r>
          </w:p>
        </w:tc>
      </w:tr>
      <w:tr w:rsidR="00895AF3" w:rsidRPr="00CF6BCC" w:rsidTr="00F94683">
        <w:trPr>
          <w:trHeight w:val="407"/>
        </w:trPr>
        <w:tc>
          <w:tcPr>
            <w:tcW w:w="5000" w:type="pct"/>
            <w:hideMark/>
          </w:tcPr>
          <w:p w:rsidR="00895AF3" w:rsidRPr="00744662" w:rsidRDefault="00895AF3" w:rsidP="00F94683">
            <w:pPr>
              <w:rPr>
                <w:b/>
                <w:sz w:val="24"/>
                <w:szCs w:val="24"/>
              </w:rPr>
            </w:pPr>
            <w:r w:rsidRPr="00744662">
              <w:rPr>
                <w:b/>
                <w:bCs/>
                <w:sz w:val="24"/>
                <w:szCs w:val="24"/>
              </w:rPr>
              <w:t>2.</w:t>
            </w:r>
            <w:r w:rsidRPr="00744662">
              <w:rPr>
                <w:b/>
                <w:sz w:val="24"/>
                <w:szCs w:val="24"/>
              </w:rPr>
              <w:t xml:space="preserve"> Condițiile ce au impus elaborarea proiectului de act normativ și finalitățile urmărite </w:t>
            </w:r>
          </w:p>
        </w:tc>
      </w:tr>
      <w:tr w:rsidR="00895AF3" w:rsidRPr="00CF6BCC" w:rsidTr="00F94683">
        <w:trPr>
          <w:trHeight w:val="434"/>
        </w:trPr>
        <w:tc>
          <w:tcPr>
            <w:tcW w:w="5000" w:type="pct"/>
            <w:hideMark/>
          </w:tcPr>
          <w:p w:rsidR="00895AF3" w:rsidRPr="00744662" w:rsidRDefault="00895AF3" w:rsidP="00F94683">
            <w:pPr>
              <w:widowControl w:val="0"/>
              <w:tabs>
                <w:tab w:val="left" w:pos="319"/>
              </w:tabs>
              <w:ind w:right="20" w:firstLine="720"/>
              <w:jc w:val="both"/>
              <w:rPr>
                <w:sz w:val="24"/>
              </w:rPr>
            </w:pPr>
            <w:r w:rsidRPr="00744662">
              <w:rPr>
                <w:b/>
                <w:sz w:val="24"/>
                <w:szCs w:val="24"/>
              </w:rPr>
              <w:t>  </w:t>
            </w:r>
            <w:r w:rsidRPr="00744662">
              <w:rPr>
                <w:sz w:val="24"/>
              </w:rPr>
              <w:t xml:space="preserve">Elaborarea proiectului Hotărârii Guvernului </w:t>
            </w:r>
            <w:r>
              <w:rPr>
                <w:sz w:val="24"/>
                <w:szCs w:val="24"/>
              </w:rPr>
              <w:t>cu privire la aprobarea Regulamentului transporturilor rutiere de mărfuri perisabile și ușor alterabile</w:t>
            </w:r>
            <w:r w:rsidRPr="00744662">
              <w:rPr>
                <w:sz w:val="24"/>
              </w:rPr>
              <w:t xml:space="preserve"> rezultă din necesitatea armonizării legislației în vigoare. Astfel, Proiectul Hotărîrii de Guvern a fost elaborat </w:t>
            </w:r>
            <w:r>
              <w:rPr>
                <w:sz w:val="24"/>
              </w:rPr>
              <w:t>în conformitate cu prevederile art.3 litera c) la Legea nr.150 din 17.07.2014 pentru aprobarea Codului transporturilor rutiere</w:t>
            </w:r>
            <w:r w:rsidRPr="00744662">
              <w:rPr>
                <w:sz w:val="24"/>
              </w:rPr>
              <w:t xml:space="preserve">. Totodată, </w:t>
            </w:r>
            <w:r>
              <w:rPr>
                <w:sz w:val="24"/>
              </w:rPr>
              <w:t>implementarea acestui Regulament survine din prevederile Acordului din 1 septembrie 1970 cu privire la transporturile internaționale de produse  perisabile și cu privire la mijloacele de transport speciale care trebuie folosite pentru aceste transporturi (ATP), adoptat la Geneva</w:t>
            </w:r>
            <w:r w:rsidRPr="00744662">
              <w:rPr>
                <w:sz w:val="24"/>
              </w:rPr>
              <w:t>.</w:t>
            </w:r>
          </w:p>
        </w:tc>
      </w:tr>
      <w:tr w:rsidR="00895AF3" w:rsidRPr="00CF6BCC" w:rsidTr="00F94683">
        <w:trPr>
          <w:trHeight w:val="690"/>
        </w:trPr>
        <w:tc>
          <w:tcPr>
            <w:tcW w:w="5000" w:type="pct"/>
            <w:hideMark/>
          </w:tcPr>
          <w:p w:rsidR="00895AF3" w:rsidRPr="00744662" w:rsidRDefault="00895AF3" w:rsidP="00F94683">
            <w:pPr>
              <w:rPr>
                <w:b/>
                <w:sz w:val="24"/>
                <w:szCs w:val="24"/>
              </w:rPr>
            </w:pPr>
            <w:r w:rsidRPr="00744662">
              <w:rPr>
                <w:b/>
                <w:bCs/>
                <w:sz w:val="24"/>
                <w:szCs w:val="24"/>
              </w:rPr>
              <w:t>3.</w:t>
            </w:r>
            <w:r w:rsidRPr="00744662">
              <w:rPr>
                <w:b/>
                <w:sz w:val="24"/>
                <w:szCs w:val="24"/>
              </w:rPr>
              <w:t xml:space="preserve"> Descrierea gradului de compatibilitate pentru proiectele care au ca scop armonizarea legislației naționale cu legislația Uniunii Europene </w:t>
            </w:r>
          </w:p>
        </w:tc>
      </w:tr>
      <w:tr w:rsidR="00895AF3" w:rsidRPr="00CF6BCC" w:rsidTr="00F94683">
        <w:trPr>
          <w:trHeight w:val="434"/>
        </w:trPr>
        <w:tc>
          <w:tcPr>
            <w:tcW w:w="5000" w:type="pct"/>
            <w:hideMark/>
          </w:tcPr>
          <w:p w:rsidR="00895AF3" w:rsidRPr="001C40A7" w:rsidRDefault="00895AF3" w:rsidP="00F94683">
            <w:pPr>
              <w:jc w:val="both"/>
              <w:rPr>
                <w:sz w:val="24"/>
                <w:szCs w:val="24"/>
              </w:rPr>
            </w:pPr>
            <w:r w:rsidRPr="00744662">
              <w:rPr>
                <w:b/>
                <w:sz w:val="24"/>
                <w:szCs w:val="24"/>
              </w:rPr>
              <w:t> </w:t>
            </w:r>
            <w:r w:rsidRPr="001C40A7">
              <w:rPr>
                <w:sz w:val="24"/>
                <w:szCs w:val="24"/>
              </w:rPr>
              <w:t>Proiectul prezentat respectă prevederile legislației naționale și nu intră în contradicție cu prevederile legislației UE.</w:t>
            </w:r>
          </w:p>
        </w:tc>
      </w:tr>
      <w:tr w:rsidR="00895AF3" w:rsidRPr="00CF6BCC" w:rsidTr="00F94683">
        <w:trPr>
          <w:trHeight w:val="407"/>
        </w:trPr>
        <w:tc>
          <w:tcPr>
            <w:tcW w:w="5000" w:type="pct"/>
            <w:hideMark/>
          </w:tcPr>
          <w:p w:rsidR="00895AF3" w:rsidRPr="00744662" w:rsidRDefault="00895AF3" w:rsidP="00F94683">
            <w:pPr>
              <w:rPr>
                <w:b/>
                <w:sz w:val="24"/>
                <w:szCs w:val="24"/>
              </w:rPr>
            </w:pPr>
            <w:r w:rsidRPr="00744662">
              <w:rPr>
                <w:b/>
                <w:bCs/>
                <w:sz w:val="24"/>
                <w:szCs w:val="24"/>
              </w:rPr>
              <w:t>4.</w:t>
            </w:r>
            <w:r w:rsidRPr="00744662">
              <w:rPr>
                <w:b/>
                <w:sz w:val="24"/>
                <w:szCs w:val="24"/>
              </w:rPr>
              <w:t xml:space="preserve"> Principalele prevederi ale proiectului și evidențierea elementelor noi </w:t>
            </w:r>
          </w:p>
        </w:tc>
      </w:tr>
      <w:tr w:rsidR="00895AF3" w:rsidRPr="00CF6BCC" w:rsidTr="00F94683">
        <w:trPr>
          <w:trHeight w:val="407"/>
        </w:trPr>
        <w:tc>
          <w:tcPr>
            <w:tcW w:w="5000" w:type="pct"/>
            <w:hideMark/>
          </w:tcPr>
          <w:p w:rsidR="00895AF3" w:rsidRPr="00744662" w:rsidRDefault="00895AF3" w:rsidP="00F94683">
            <w:pPr>
              <w:jc w:val="both"/>
            </w:pPr>
            <w:r w:rsidRPr="00744662">
              <w:rPr>
                <w:bCs/>
                <w:color w:val="000000"/>
                <w:spacing w:val="5"/>
                <w:sz w:val="24"/>
                <w:szCs w:val="24"/>
                <w:shd w:val="clear" w:color="auto" w:fill="FFFFFF"/>
              </w:rPr>
              <w:t>Prevederile proiectului Hotărârii de Guvern</w:t>
            </w:r>
            <w:r>
              <w:rPr>
                <w:bCs/>
                <w:color w:val="000000"/>
                <w:spacing w:val="5"/>
                <w:sz w:val="24"/>
                <w:szCs w:val="24"/>
                <w:shd w:val="clear" w:color="auto" w:fill="FFFFFF"/>
              </w:rPr>
              <w:t xml:space="preserve"> </w:t>
            </w:r>
            <w:r w:rsidRPr="00744662">
              <w:rPr>
                <w:bCs/>
                <w:color w:val="000000"/>
                <w:spacing w:val="5"/>
                <w:sz w:val="24"/>
                <w:szCs w:val="24"/>
                <w:shd w:val="clear" w:color="auto" w:fill="FFFFFF"/>
              </w:rPr>
              <w:t xml:space="preserve">se referă la </w:t>
            </w:r>
            <w:r>
              <w:rPr>
                <w:bCs/>
                <w:color w:val="000000"/>
                <w:spacing w:val="5"/>
                <w:sz w:val="24"/>
                <w:szCs w:val="24"/>
                <w:shd w:val="clear" w:color="auto" w:fill="FFFFFF"/>
              </w:rPr>
              <w:t>mărfurile</w:t>
            </w:r>
            <w:r w:rsidRPr="00744662">
              <w:rPr>
                <w:color w:val="000000"/>
                <w:spacing w:val="5"/>
                <w:sz w:val="24"/>
                <w:szCs w:val="24"/>
              </w:rPr>
              <w:t xml:space="preserve"> </w:t>
            </w:r>
            <w:r>
              <w:rPr>
                <w:color w:val="000000"/>
                <w:spacing w:val="5"/>
                <w:sz w:val="24"/>
                <w:szCs w:val="24"/>
              </w:rPr>
              <w:t>perisabile și ușor alterabile, transportarea cărora pe teritoriul Republicii Moldova</w:t>
            </w:r>
            <w:r w:rsidRPr="00744662">
              <w:rPr>
                <w:color w:val="000000"/>
                <w:spacing w:val="5"/>
                <w:sz w:val="24"/>
                <w:szCs w:val="24"/>
              </w:rPr>
              <w:t xml:space="preserve">  </w:t>
            </w:r>
            <w:r>
              <w:rPr>
                <w:color w:val="000000"/>
                <w:spacing w:val="5"/>
                <w:sz w:val="24"/>
                <w:szCs w:val="24"/>
              </w:rPr>
              <w:t xml:space="preserve">poate fi efectuată numai cu vehicule agreate în condițiile prevăzute de Acordul cu privire la transporturile internaționale de produse perisabile și cu privire la mijloacele de transport speciale care trebuie folosite pentru aceste transporturi (ATP), adoptat la Geneva la 1 septembrie 1970, la care Republica Moldova a aderat prin Hotărîrea Parlamentului nr.173 din 19 iulie 2007 (Monitorul Oficial al Republicii Moldova nr.112-116 din 03.08.2007, art. nr.512). Totodată, proiectul prevede și transporturi interne de </w:t>
            </w:r>
            <w:r w:rsidRPr="00744662">
              <w:rPr>
                <w:bCs/>
                <w:color w:val="000000"/>
                <w:spacing w:val="5"/>
                <w:sz w:val="24"/>
                <w:szCs w:val="24"/>
                <w:shd w:val="clear" w:color="auto" w:fill="FFFFFF"/>
              </w:rPr>
              <w:t xml:space="preserve">la </w:t>
            </w:r>
            <w:r>
              <w:rPr>
                <w:bCs/>
                <w:color w:val="000000"/>
                <w:spacing w:val="5"/>
                <w:sz w:val="24"/>
                <w:szCs w:val="24"/>
                <w:shd w:val="clear" w:color="auto" w:fill="FFFFFF"/>
              </w:rPr>
              <w:t>mărfurile</w:t>
            </w:r>
            <w:r w:rsidRPr="00744662">
              <w:rPr>
                <w:color w:val="000000"/>
                <w:spacing w:val="5"/>
                <w:sz w:val="24"/>
                <w:szCs w:val="24"/>
              </w:rPr>
              <w:t xml:space="preserve"> </w:t>
            </w:r>
            <w:r>
              <w:rPr>
                <w:color w:val="000000"/>
                <w:spacing w:val="5"/>
                <w:sz w:val="24"/>
                <w:szCs w:val="24"/>
              </w:rPr>
              <w:t xml:space="preserve">perisabile și ușor alterabile, realizate cu vehicule izoterme sau refrigeratoare, sau cu vehicule frigorifice ori calorifice, indiferent de masa totală maximă autorizată. Aceste transportări pot fi efectuate doar cu vehicule agreate conform prevederilor </w:t>
            </w:r>
            <w:r>
              <w:rPr>
                <w:sz w:val="24"/>
                <w:szCs w:val="24"/>
              </w:rPr>
              <w:t>Regulamentului transporturilor rutiere de mărfuri perisabile și ușor alterabile.</w:t>
            </w:r>
          </w:p>
        </w:tc>
      </w:tr>
      <w:tr w:rsidR="00895AF3" w:rsidRPr="00744662" w:rsidTr="00F94683">
        <w:trPr>
          <w:trHeight w:val="393"/>
        </w:trPr>
        <w:tc>
          <w:tcPr>
            <w:tcW w:w="5000" w:type="pct"/>
          </w:tcPr>
          <w:p w:rsidR="00895AF3" w:rsidRPr="00744662" w:rsidRDefault="00895AF3" w:rsidP="00F94683">
            <w:pPr>
              <w:rPr>
                <w:bCs/>
                <w:color w:val="000000"/>
                <w:spacing w:val="5"/>
                <w:sz w:val="24"/>
                <w:szCs w:val="24"/>
                <w:shd w:val="clear" w:color="auto" w:fill="FFFFFF"/>
              </w:rPr>
            </w:pPr>
            <w:r w:rsidRPr="00744662">
              <w:rPr>
                <w:b/>
                <w:bCs/>
                <w:color w:val="000000"/>
                <w:spacing w:val="5"/>
                <w:sz w:val="24"/>
                <w:szCs w:val="24"/>
                <w:shd w:val="clear" w:color="auto" w:fill="FFFFFF"/>
              </w:rPr>
              <w:t xml:space="preserve">5.Fundamentarea </w:t>
            </w:r>
            <w:proofErr w:type="spellStart"/>
            <w:r w:rsidRPr="00744662">
              <w:rPr>
                <w:b/>
                <w:bCs/>
                <w:color w:val="000000"/>
                <w:spacing w:val="5"/>
                <w:sz w:val="24"/>
                <w:szCs w:val="24"/>
                <w:shd w:val="clear" w:color="auto" w:fill="FFFFFF"/>
              </w:rPr>
              <w:t>economico</w:t>
            </w:r>
            <w:proofErr w:type="spellEnd"/>
            <w:r w:rsidRPr="00744662">
              <w:rPr>
                <w:b/>
                <w:bCs/>
                <w:color w:val="000000"/>
                <w:spacing w:val="5"/>
                <w:sz w:val="24"/>
                <w:szCs w:val="24"/>
                <w:shd w:val="clear" w:color="auto" w:fill="FFFFFF"/>
              </w:rPr>
              <w:t>-financiară</w:t>
            </w:r>
          </w:p>
        </w:tc>
      </w:tr>
      <w:tr w:rsidR="00895AF3" w:rsidRPr="00CF6BCC" w:rsidTr="00F94683">
        <w:trPr>
          <w:trHeight w:val="600"/>
        </w:trPr>
        <w:tc>
          <w:tcPr>
            <w:tcW w:w="5000" w:type="pct"/>
          </w:tcPr>
          <w:p w:rsidR="00895AF3" w:rsidRPr="00744662" w:rsidRDefault="00895AF3" w:rsidP="00F94683">
            <w:pPr>
              <w:rPr>
                <w:bCs/>
                <w:color w:val="000000"/>
                <w:spacing w:val="5"/>
                <w:sz w:val="24"/>
                <w:szCs w:val="24"/>
                <w:shd w:val="clear" w:color="auto" w:fill="FFFFFF"/>
              </w:rPr>
            </w:pPr>
            <w:r w:rsidRPr="00744662">
              <w:rPr>
                <w:bCs/>
                <w:color w:val="000000"/>
                <w:spacing w:val="5"/>
                <w:sz w:val="24"/>
                <w:szCs w:val="24"/>
                <w:shd w:val="clear" w:color="auto" w:fill="FFFFFF"/>
              </w:rPr>
              <w:t>Implementarea prevederilor proiectului nu necesită cheltuieli financiare suplimentare din bugetul de stat.</w:t>
            </w:r>
          </w:p>
        </w:tc>
      </w:tr>
      <w:tr w:rsidR="00895AF3" w:rsidRPr="00CF6BCC" w:rsidTr="00F94683">
        <w:trPr>
          <w:trHeight w:val="407"/>
        </w:trPr>
        <w:tc>
          <w:tcPr>
            <w:tcW w:w="5000" w:type="pct"/>
            <w:hideMark/>
          </w:tcPr>
          <w:p w:rsidR="00895AF3" w:rsidRPr="00744662" w:rsidRDefault="00895AF3" w:rsidP="00F94683">
            <w:pPr>
              <w:rPr>
                <w:b/>
                <w:sz w:val="24"/>
                <w:szCs w:val="24"/>
              </w:rPr>
            </w:pPr>
            <w:r w:rsidRPr="00744662">
              <w:rPr>
                <w:b/>
                <w:bCs/>
                <w:sz w:val="24"/>
                <w:szCs w:val="24"/>
              </w:rPr>
              <w:t>6.</w:t>
            </w:r>
            <w:r w:rsidRPr="00744662">
              <w:rPr>
                <w:b/>
                <w:sz w:val="24"/>
                <w:szCs w:val="24"/>
              </w:rPr>
              <w:t xml:space="preserve"> Modul de încorporare a actului în cadrul normativ în vigoare </w:t>
            </w:r>
          </w:p>
        </w:tc>
      </w:tr>
      <w:tr w:rsidR="00895AF3" w:rsidRPr="00CF6BCC" w:rsidTr="00F94683">
        <w:trPr>
          <w:trHeight w:val="434"/>
        </w:trPr>
        <w:tc>
          <w:tcPr>
            <w:tcW w:w="5000" w:type="pct"/>
            <w:hideMark/>
          </w:tcPr>
          <w:p w:rsidR="00895AF3" w:rsidRPr="00744662" w:rsidRDefault="00895AF3" w:rsidP="00F94683">
            <w:pPr>
              <w:rPr>
                <w:rFonts w:eastAsia="Calibri"/>
                <w:b/>
                <w:bCs/>
                <w:sz w:val="24"/>
                <w:szCs w:val="24"/>
              </w:rPr>
            </w:pPr>
            <w:r w:rsidRPr="00744662">
              <w:rPr>
                <w:rFonts w:eastAsia="Calibri"/>
                <w:bCs/>
                <w:sz w:val="24"/>
                <w:szCs w:val="24"/>
              </w:rPr>
              <w:t>Proiectul se încadrează în sistemul actelor normative</w:t>
            </w:r>
            <w:r w:rsidRPr="00744662">
              <w:rPr>
                <w:rFonts w:eastAsia="Calibri"/>
                <w:b/>
                <w:bCs/>
                <w:sz w:val="24"/>
                <w:szCs w:val="24"/>
              </w:rPr>
              <w:t>.</w:t>
            </w:r>
          </w:p>
        </w:tc>
      </w:tr>
      <w:tr w:rsidR="00895AF3" w:rsidRPr="00CF6BCC" w:rsidTr="00F94683">
        <w:trPr>
          <w:trHeight w:val="407"/>
        </w:trPr>
        <w:tc>
          <w:tcPr>
            <w:tcW w:w="5000" w:type="pct"/>
            <w:hideMark/>
          </w:tcPr>
          <w:p w:rsidR="00895AF3" w:rsidRPr="00744662" w:rsidRDefault="00895AF3" w:rsidP="00F94683">
            <w:pPr>
              <w:rPr>
                <w:b/>
                <w:sz w:val="24"/>
                <w:szCs w:val="24"/>
              </w:rPr>
            </w:pPr>
            <w:r w:rsidRPr="00744662">
              <w:rPr>
                <w:b/>
                <w:bCs/>
                <w:sz w:val="24"/>
                <w:szCs w:val="24"/>
              </w:rPr>
              <w:t>7.</w:t>
            </w:r>
            <w:r w:rsidRPr="00744662">
              <w:rPr>
                <w:b/>
                <w:sz w:val="24"/>
                <w:szCs w:val="24"/>
              </w:rPr>
              <w:t xml:space="preserve"> Avizarea și consultarea publică a proiectului </w:t>
            </w:r>
          </w:p>
        </w:tc>
      </w:tr>
      <w:tr w:rsidR="00895AF3" w:rsidRPr="00CF6BCC" w:rsidTr="00F94683">
        <w:trPr>
          <w:trHeight w:val="407"/>
        </w:trPr>
        <w:tc>
          <w:tcPr>
            <w:tcW w:w="5000" w:type="pct"/>
            <w:hideMark/>
          </w:tcPr>
          <w:p w:rsidR="00895AF3" w:rsidRPr="00744662" w:rsidRDefault="00895AF3" w:rsidP="00F94683">
            <w:pPr>
              <w:ind w:firstLine="576"/>
              <w:jc w:val="both"/>
              <w:rPr>
                <w:bCs/>
                <w:sz w:val="24"/>
                <w:szCs w:val="26"/>
              </w:rPr>
            </w:pPr>
            <w:r w:rsidRPr="00744662">
              <w:rPr>
                <w:b/>
                <w:szCs w:val="24"/>
              </w:rPr>
              <w:t> </w:t>
            </w:r>
            <w:r w:rsidRPr="00744662">
              <w:rPr>
                <w:bCs/>
                <w:sz w:val="24"/>
                <w:szCs w:val="26"/>
              </w:rPr>
              <w:t>Proiectul va fi consultat și avizat cu instituțiile publice de resort în conformitate cu prevederile Legii 100/2017 privind actele normative.</w:t>
            </w:r>
          </w:p>
          <w:p w:rsidR="00895AF3" w:rsidRPr="00744662" w:rsidRDefault="00895AF3" w:rsidP="00F94683">
            <w:pPr>
              <w:ind w:firstLine="567"/>
              <w:jc w:val="both"/>
              <w:rPr>
                <w:rFonts w:eastAsia="Calibri"/>
                <w:sz w:val="24"/>
                <w:szCs w:val="26"/>
              </w:rPr>
            </w:pPr>
            <w:r w:rsidRPr="00744662">
              <w:rPr>
                <w:rFonts w:eastAsia="Calibri"/>
                <w:sz w:val="24"/>
                <w:szCs w:val="26"/>
              </w:rPr>
              <w:t>În cadrul procesului de consultate și avizare se propune implicarea autorităților publice și instituțiilor interesate (Cancelaria de Stat, Centrul Național Anticorupție, Ministerul Justiției și Ministerul Finanțelor, Ministerul Afacerilor Externe și Integrării Europene</w:t>
            </w:r>
            <w:r>
              <w:rPr>
                <w:rFonts w:eastAsia="Calibri"/>
                <w:sz w:val="24"/>
                <w:szCs w:val="26"/>
              </w:rPr>
              <w:t>, Ministerul Afacerilor Interne, Ministerul Agriculturii, Dezvoltării Regionale și Mediului, Ministerul Sănătății, Muncii și Protecției Sociale</w:t>
            </w:r>
            <w:r w:rsidRPr="00744662">
              <w:rPr>
                <w:rFonts w:eastAsia="Calibri"/>
                <w:sz w:val="24"/>
                <w:szCs w:val="26"/>
              </w:rPr>
              <w:t>).</w:t>
            </w:r>
          </w:p>
          <w:p w:rsidR="00895AF3" w:rsidRPr="00744662" w:rsidRDefault="00895AF3" w:rsidP="00F94683">
            <w:pPr>
              <w:ind w:firstLine="567"/>
              <w:jc w:val="both"/>
              <w:rPr>
                <w:rFonts w:eastAsia="Calibri"/>
                <w:sz w:val="26"/>
                <w:szCs w:val="26"/>
              </w:rPr>
            </w:pPr>
            <w:r w:rsidRPr="00744662">
              <w:rPr>
                <w:rFonts w:eastAsia="Calibri"/>
                <w:sz w:val="24"/>
                <w:szCs w:val="26"/>
              </w:rPr>
              <w:t xml:space="preserve">În scopul respectării prevederilor Legii 239/2008 privind transparența în procesul decizional, anunțul privind inițierea procedurii de elaborare a Proiectului poate fi accesat pe pagina web oficială a Ministerului </w:t>
            </w:r>
            <w:r w:rsidRPr="00744662">
              <w:rPr>
                <w:rFonts w:eastAsia="Calibri"/>
                <w:sz w:val="24"/>
                <w:szCs w:val="26"/>
              </w:rPr>
              <w:lastRenderedPageBreak/>
              <w:t xml:space="preserve">Economiei și Infrastructurii (compartimentul </w:t>
            </w:r>
            <w:r w:rsidRPr="00744662">
              <w:rPr>
                <w:rFonts w:eastAsia="Calibri"/>
                <w:i/>
                <w:sz w:val="24"/>
                <w:szCs w:val="26"/>
              </w:rPr>
              <w:t>„Transparența”</w:t>
            </w:r>
            <w:r w:rsidRPr="00744662">
              <w:rPr>
                <w:rFonts w:eastAsia="Calibri"/>
                <w:sz w:val="24"/>
                <w:szCs w:val="26"/>
              </w:rPr>
              <w:t xml:space="preserve">, directoriul </w:t>
            </w:r>
            <w:r w:rsidRPr="00744662">
              <w:rPr>
                <w:rFonts w:eastAsia="Calibri"/>
                <w:i/>
                <w:sz w:val="24"/>
                <w:szCs w:val="26"/>
              </w:rPr>
              <w:t>Transparență decizională/Anunțuri privind inițierea procesului”</w:t>
            </w:r>
            <w:r w:rsidRPr="00744662">
              <w:rPr>
                <w:rFonts w:eastAsia="Calibri"/>
                <w:sz w:val="24"/>
                <w:szCs w:val="26"/>
              </w:rPr>
              <w:t xml:space="preserve">), și pe portalul guvernamental </w:t>
            </w:r>
            <w:r w:rsidRPr="00744662">
              <w:rPr>
                <w:rFonts w:eastAsia="Calibri"/>
                <w:sz w:val="24"/>
                <w:szCs w:val="26"/>
                <w:u w:val="single"/>
              </w:rPr>
              <w:t>particip.gov.md.</w:t>
            </w:r>
          </w:p>
        </w:tc>
      </w:tr>
      <w:tr w:rsidR="00895AF3" w:rsidRPr="00744662" w:rsidTr="00F94683">
        <w:trPr>
          <w:trHeight w:val="407"/>
        </w:trPr>
        <w:tc>
          <w:tcPr>
            <w:tcW w:w="5000" w:type="pct"/>
          </w:tcPr>
          <w:p w:rsidR="00895AF3" w:rsidRPr="00744662" w:rsidRDefault="00895AF3" w:rsidP="00F94683">
            <w:pPr>
              <w:rPr>
                <w:sz w:val="24"/>
              </w:rPr>
            </w:pPr>
            <w:r w:rsidRPr="00744662">
              <w:rPr>
                <w:b/>
                <w:bCs/>
                <w:sz w:val="24"/>
              </w:rPr>
              <w:lastRenderedPageBreak/>
              <w:t>8.</w:t>
            </w:r>
            <w:r w:rsidRPr="00744662">
              <w:rPr>
                <w:b/>
                <w:sz w:val="24"/>
              </w:rPr>
              <w:t>Constatările expertizei anticorupție</w:t>
            </w:r>
          </w:p>
        </w:tc>
      </w:tr>
      <w:tr w:rsidR="00895AF3" w:rsidRPr="00CF6BCC" w:rsidTr="00F94683">
        <w:trPr>
          <w:trHeight w:val="312"/>
        </w:trPr>
        <w:tc>
          <w:tcPr>
            <w:tcW w:w="5000" w:type="pct"/>
          </w:tcPr>
          <w:p w:rsidR="00895AF3" w:rsidRPr="00744662" w:rsidRDefault="00895AF3" w:rsidP="00F94683">
            <w:pPr>
              <w:rPr>
                <w:sz w:val="24"/>
              </w:rPr>
            </w:pPr>
            <w:r w:rsidRPr="00744662">
              <w:rPr>
                <w:sz w:val="24"/>
              </w:rPr>
              <w:t> Expertiza dată se va efectua după procedura de avizare și consultare a proiectului.</w:t>
            </w:r>
          </w:p>
        </w:tc>
      </w:tr>
      <w:tr w:rsidR="00895AF3" w:rsidRPr="00744662" w:rsidTr="00F94683">
        <w:trPr>
          <w:trHeight w:val="407"/>
        </w:trPr>
        <w:tc>
          <w:tcPr>
            <w:tcW w:w="5000" w:type="pct"/>
          </w:tcPr>
          <w:p w:rsidR="00895AF3" w:rsidRPr="00744662" w:rsidRDefault="00895AF3" w:rsidP="00F94683">
            <w:pPr>
              <w:rPr>
                <w:sz w:val="24"/>
              </w:rPr>
            </w:pPr>
            <w:r w:rsidRPr="00744662">
              <w:rPr>
                <w:b/>
                <w:bCs/>
                <w:sz w:val="24"/>
              </w:rPr>
              <w:t>9.</w:t>
            </w:r>
            <w:r w:rsidRPr="00744662">
              <w:rPr>
                <w:b/>
                <w:sz w:val="24"/>
              </w:rPr>
              <w:t>Constatările expertizei de compatibilitate</w:t>
            </w:r>
          </w:p>
        </w:tc>
      </w:tr>
      <w:tr w:rsidR="00895AF3" w:rsidRPr="00CF6BCC" w:rsidTr="00F94683">
        <w:trPr>
          <w:trHeight w:val="407"/>
        </w:trPr>
        <w:tc>
          <w:tcPr>
            <w:tcW w:w="5000" w:type="pct"/>
          </w:tcPr>
          <w:p w:rsidR="00895AF3" w:rsidRPr="00744662" w:rsidRDefault="00895AF3" w:rsidP="00F94683">
            <w:pPr>
              <w:rPr>
                <w:sz w:val="24"/>
              </w:rPr>
            </w:pPr>
            <w:r w:rsidRPr="00744662">
              <w:rPr>
                <w:sz w:val="24"/>
              </w:rPr>
              <w:t> Expertiza dată se va efectua după procedura de avizare și consultare a proiectului.</w:t>
            </w:r>
          </w:p>
        </w:tc>
      </w:tr>
      <w:tr w:rsidR="00895AF3" w:rsidRPr="00744662" w:rsidTr="00F94683">
        <w:trPr>
          <w:trHeight w:val="407"/>
        </w:trPr>
        <w:tc>
          <w:tcPr>
            <w:tcW w:w="5000" w:type="pct"/>
          </w:tcPr>
          <w:p w:rsidR="00895AF3" w:rsidRPr="00744662" w:rsidRDefault="00895AF3" w:rsidP="00F94683">
            <w:pPr>
              <w:rPr>
                <w:sz w:val="24"/>
              </w:rPr>
            </w:pPr>
            <w:r w:rsidRPr="00744662">
              <w:rPr>
                <w:b/>
                <w:bCs/>
                <w:sz w:val="24"/>
              </w:rPr>
              <w:t>10.</w:t>
            </w:r>
            <w:r w:rsidRPr="00744662">
              <w:rPr>
                <w:b/>
                <w:sz w:val="24"/>
              </w:rPr>
              <w:t>Constatările expertizei juridice</w:t>
            </w:r>
          </w:p>
        </w:tc>
      </w:tr>
      <w:tr w:rsidR="00895AF3" w:rsidRPr="00CF6BCC" w:rsidTr="00F94683">
        <w:trPr>
          <w:trHeight w:val="407"/>
        </w:trPr>
        <w:tc>
          <w:tcPr>
            <w:tcW w:w="5000" w:type="pct"/>
          </w:tcPr>
          <w:p w:rsidR="00895AF3" w:rsidRPr="00744662" w:rsidRDefault="00895AF3" w:rsidP="00F94683">
            <w:pPr>
              <w:rPr>
                <w:sz w:val="24"/>
              </w:rPr>
            </w:pPr>
            <w:r w:rsidRPr="00744662">
              <w:rPr>
                <w:sz w:val="24"/>
              </w:rPr>
              <w:t> Expertiza dată se va efectua după procedura de avizare și consultare a proiectului.</w:t>
            </w:r>
          </w:p>
        </w:tc>
      </w:tr>
      <w:tr w:rsidR="00895AF3" w:rsidRPr="00744662" w:rsidTr="00F94683">
        <w:trPr>
          <w:trHeight w:val="407"/>
        </w:trPr>
        <w:tc>
          <w:tcPr>
            <w:tcW w:w="5000" w:type="pct"/>
          </w:tcPr>
          <w:p w:rsidR="00895AF3" w:rsidRPr="00744662" w:rsidRDefault="00895AF3" w:rsidP="00F94683">
            <w:pPr>
              <w:rPr>
                <w:sz w:val="24"/>
              </w:rPr>
            </w:pPr>
            <w:r w:rsidRPr="00744662">
              <w:rPr>
                <w:b/>
                <w:bCs/>
                <w:sz w:val="24"/>
              </w:rPr>
              <w:t>11.</w:t>
            </w:r>
            <w:r w:rsidRPr="00744662">
              <w:rPr>
                <w:b/>
                <w:sz w:val="24"/>
              </w:rPr>
              <w:t>Constatările altor expertize</w:t>
            </w:r>
          </w:p>
        </w:tc>
      </w:tr>
    </w:tbl>
    <w:p w:rsidR="00895AF3" w:rsidRPr="00744662" w:rsidRDefault="00895AF3" w:rsidP="00895AF3">
      <w:pPr>
        <w:rPr>
          <w:b/>
          <w:sz w:val="24"/>
          <w:szCs w:val="24"/>
          <w:lang w:val="ro-RO"/>
        </w:rPr>
      </w:pPr>
    </w:p>
    <w:p w:rsidR="00895AF3" w:rsidRDefault="00895AF3" w:rsidP="00895AF3">
      <w:pPr>
        <w:rPr>
          <w:b/>
          <w:sz w:val="24"/>
          <w:szCs w:val="24"/>
          <w:lang w:val="ro-RO"/>
        </w:rPr>
      </w:pPr>
    </w:p>
    <w:p w:rsidR="00895AF3" w:rsidRDefault="00895AF3" w:rsidP="00895AF3">
      <w:pPr>
        <w:rPr>
          <w:b/>
          <w:sz w:val="24"/>
          <w:szCs w:val="24"/>
          <w:lang w:val="ro-RO"/>
        </w:rPr>
      </w:pPr>
    </w:p>
    <w:p w:rsidR="00895AF3" w:rsidRDefault="00895AF3" w:rsidP="00895AF3">
      <w:pPr>
        <w:rPr>
          <w:b/>
          <w:sz w:val="24"/>
          <w:szCs w:val="24"/>
          <w:lang w:val="ro-RO"/>
        </w:rPr>
      </w:pPr>
    </w:p>
    <w:p w:rsidR="00895AF3" w:rsidRDefault="00895AF3" w:rsidP="00895AF3">
      <w:pPr>
        <w:rPr>
          <w:b/>
          <w:sz w:val="24"/>
          <w:szCs w:val="24"/>
          <w:lang w:val="ro-RO"/>
        </w:rPr>
      </w:pPr>
    </w:p>
    <w:p w:rsidR="00895AF3" w:rsidRDefault="00895AF3" w:rsidP="00895AF3">
      <w:pPr>
        <w:rPr>
          <w:b/>
          <w:sz w:val="24"/>
          <w:szCs w:val="24"/>
          <w:lang w:val="ro-RO"/>
        </w:rPr>
      </w:pPr>
    </w:p>
    <w:p w:rsidR="00895AF3" w:rsidRPr="00744662" w:rsidRDefault="00895AF3" w:rsidP="00895AF3">
      <w:pPr>
        <w:rPr>
          <w:b/>
          <w:sz w:val="24"/>
          <w:szCs w:val="24"/>
          <w:lang w:val="ro-RO"/>
        </w:rPr>
      </w:pPr>
    </w:p>
    <w:p w:rsidR="00895AF3" w:rsidRDefault="00895AF3" w:rsidP="00895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lang w:val="ro-RO"/>
        </w:rPr>
      </w:pPr>
      <w:r>
        <w:rPr>
          <w:b/>
          <w:szCs w:val="24"/>
          <w:lang w:val="ro-RO"/>
        </w:rPr>
        <w:t xml:space="preserve">    Ministru</w:t>
      </w:r>
      <w:r w:rsidRPr="00744662">
        <w:rPr>
          <w:b/>
          <w:szCs w:val="24"/>
          <w:lang w:val="ro-RO"/>
        </w:rPr>
        <w:tab/>
      </w:r>
      <w:r w:rsidRPr="00744662">
        <w:rPr>
          <w:b/>
          <w:szCs w:val="24"/>
          <w:lang w:val="ro-RO"/>
        </w:rPr>
        <w:tab/>
      </w:r>
      <w:r w:rsidRPr="00744662">
        <w:rPr>
          <w:b/>
          <w:szCs w:val="24"/>
          <w:lang w:val="ro-RO"/>
        </w:rPr>
        <w:tab/>
      </w:r>
      <w:r w:rsidRPr="00744662">
        <w:rPr>
          <w:b/>
          <w:szCs w:val="24"/>
          <w:lang w:val="ro-RO"/>
        </w:rPr>
        <w:tab/>
      </w:r>
      <w:r>
        <w:rPr>
          <w:b/>
          <w:szCs w:val="24"/>
          <w:lang w:val="ro-RO"/>
        </w:rPr>
        <w:t xml:space="preserve">                        </w:t>
      </w:r>
      <w:r w:rsidRPr="00744662">
        <w:rPr>
          <w:b/>
          <w:szCs w:val="24"/>
          <w:lang w:val="ro-RO"/>
        </w:rPr>
        <w:tab/>
        <w:t xml:space="preserve">    </w:t>
      </w:r>
      <w:r>
        <w:rPr>
          <w:b/>
          <w:szCs w:val="24"/>
          <w:lang w:val="ro-RO"/>
        </w:rPr>
        <w:t xml:space="preserve">Vadim BRÎNZAN </w:t>
      </w:r>
      <w:r>
        <w:rPr>
          <w:b/>
          <w:szCs w:val="24"/>
          <w:lang w:val="ro-RO"/>
        </w:rPr>
        <w:tab/>
      </w: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r>
        <w:rPr>
          <w:rFonts w:cs="Arial"/>
          <w:sz w:val="24"/>
          <w:lang w:val="ro-MD"/>
        </w:rPr>
        <w:t xml:space="preserve">                </w:t>
      </w: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bookmarkStart w:id="1" w:name="_GoBack"/>
      <w:bookmarkEnd w:id="1"/>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p w:rsidR="00895AF3" w:rsidRDefault="00895AF3" w:rsidP="00895AF3">
      <w:pPr>
        <w:spacing w:line="0" w:lineRule="atLeast"/>
        <w:ind w:left="8160"/>
        <w:rPr>
          <w:rFonts w:cs="Arial"/>
          <w:sz w:val="24"/>
          <w:lang w:val="ro-MD"/>
        </w:rPr>
      </w:pPr>
    </w:p>
    <w:sectPr w:rsidR="00895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F3"/>
    <w:rsid w:val="00895AF3"/>
    <w:rsid w:val="00EB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AAA44-1D91-4F6E-8507-CF40CEFC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F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5AF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895AF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2019-09-23T10:22:00Z</dcterms:created>
  <dcterms:modified xsi:type="dcterms:W3CDTF">2019-09-23T10:23:00Z</dcterms:modified>
</cp:coreProperties>
</file>