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3B" w:rsidRDefault="00852B3B" w:rsidP="00073405">
      <w:pPr>
        <w:spacing w:after="0" w:line="240" w:lineRule="auto"/>
        <w:ind w:firstLine="720"/>
        <w:jc w:val="both"/>
        <w:rPr>
          <w:rFonts w:ascii="Times New Roman" w:hAnsi="Times New Roman"/>
          <w:sz w:val="18"/>
          <w:szCs w:val="18"/>
          <w:lang w:val="ro-RO"/>
        </w:rPr>
      </w:pPr>
    </w:p>
    <w:p w:rsidR="00852B3B" w:rsidRDefault="00852B3B" w:rsidP="00073405">
      <w:pPr>
        <w:spacing w:after="0" w:line="240" w:lineRule="auto"/>
        <w:ind w:firstLine="720"/>
        <w:jc w:val="both"/>
        <w:rPr>
          <w:rFonts w:ascii="Times New Roman" w:hAnsi="Times New Roman"/>
          <w:sz w:val="18"/>
          <w:szCs w:val="18"/>
          <w:lang w:val="ro-RO"/>
        </w:rPr>
      </w:pPr>
    </w:p>
    <w:p w:rsidR="00BA6EAF" w:rsidRPr="00BA6EAF" w:rsidRDefault="00BA6EAF" w:rsidP="00BA6EAF">
      <w:pPr>
        <w:spacing w:after="0" w:line="240" w:lineRule="auto"/>
        <w:ind w:firstLine="708"/>
        <w:jc w:val="center"/>
        <w:rPr>
          <w:rFonts w:ascii="Times New Roman" w:eastAsia="Calibri" w:hAnsi="Times New Roman"/>
          <w:b/>
          <w:sz w:val="28"/>
          <w:szCs w:val="28"/>
          <w:lang w:val="ro-RO"/>
        </w:rPr>
      </w:pPr>
      <w:r w:rsidRPr="00BA6EAF">
        <w:rPr>
          <w:rFonts w:ascii="Times New Roman" w:eastAsia="Calibri" w:hAnsi="Times New Roman"/>
          <w:b/>
          <w:sz w:val="28"/>
          <w:szCs w:val="28"/>
          <w:lang w:val="ro-RO"/>
        </w:rPr>
        <w:t xml:space="preserve">Nota informativă </w:t>
      </w:r>
    </w:p>
    <w:p w:rsidR="00BA6EAF" w:rsidRPr="00BA6EAF" w:rsidRDefault="00BA6EAF" w:rsidP="00BA6EAF">
      <w:pPr>
        <w:spacing w:after="0" w:line="240" w:lineRule="auto"/>
        <w:ind w:firstLine="708"/>
        <w:jc w:val="center"/>
        <w:rPr>
          <w:rFonts w:ascii="Times New Roman" w:eastAsia="Calibri" w:hAnsi="Times New Roman"/>
          <w:b/>
          <w:sz w:val="28"/>
          <w:szCs w:val="28"/>
          <w:lang w:val="ro-RO"/>
        </w:rPr>
      </w:pPr>
      <w:r w:rsidRPr="00BA6EAF">
        <w:rPr>
          <w:rFonts w:ascii="Times New Roman" w:eastAsia="Calibri" w:hAnsi="Times New Roman"/>
          <w:b/>
          <w:sz w:val="28"/>
          <w:szCs w:val="28"/>
          <w:lang w:val="ro-RO"/>
        </w:rPr>
        <w:t xml:space="preserve">la proiectul Hotărârii Guvernului </w:t>
      </w:r>
      <w:r w:rsidRPr="00BA6EAF">
        <w:rPr>
          <w:rFonts w:ascii="Times New Roman" w:hAnsi="Times New Roman"/>
          <w:b/>
          <w:bCs/>
          <w:color w:val="000000"/>
          <w:sz w:val="28"/>
          <w:szCs w:val="28"/>
          <w:lang w:val="ro-RO"/>
        </w:rPr>
        <w:t xml:space="preserve">privind </w:t>
      </w:r>
      <w:r w:rsidRPr="00BA6EAF">
        <w:rPr>
          <w:rFonts w:ascii="Times New Roman" w:eastAsia="Calibri" w:hAnsi="Times New Roman"/>
          <w:b/>
          <w:sz w:val="28"/>
          <w:szCs w:val="28"/>
          <w:lang w:val="ro-RO"/>
        </w:rPr>
        <w:t xml:space="preserve">aprobarea proiectului de lege </w:t>
      </w:r>
    </w:p>
    <w:p w:rsidR="00BA6EAF" w:rsidRDefault="00BA6EAF" w:rsidP="00BA6EAF">
      <w:pPr>
        <w:spacing w:after="0" w:line="240" w:lineRule="auto"/>
        <w:ind w:firstLine="708"/>
        <w:jc w:val="center"/>
        <w:rPr>
          <w:rFonts w:ascii="Times New Roman" w:eastAsia="Calibri" w:hAnsi="Times New Roman"/>
          <w:b/>
          <w:sz w:val="28"/>
          <w:szCs w:val="28"/>
          <w:lang w:val="ro-RO"/>
        </w:rPr>
      </w:pPr>
      <w:r w:rsidRPr="00BA6EAF">
        <w:rPr>
          <w:rFonts w:ascii="Times New Roman" w:eastAsia="Calibri" w:hAnsi="Times New Roman"/>
          <w:b/>
          <w:sz w:val="28"/>
          <w:szCs w:val="28"/>
          <w:lang w:val="ro-RO"/>
        </w:rPr>
        <w:t>pentru modificarea Legii nr.312/2013 privind grupurile de producători agricoli și asociațiile acestora</w:t>
      </w:r>
    </w:p>
    <w:p w:rsidR="00BA6EAF" w:rsidRDefault="00BA6EAF" w:rsidP="00BA6EAF">
      <w:pPr>
        <w:spacing w:after="0" w:line="240" w:lineRule="auto"/>
        <w:ind w:firstLine="708"/>
        <w:jc w:val="center"/>
        <w:rPr>
          <w:rFonts w:ascii="Times New Roman" w:eastAsia="Calibri" w:hAnsi="Times New Roman"/>
          <w:b/>
          <w:sz w:val="28"/>
          <w:szCs w:val="28"/>
          <w:lang w:val="ro-RO"/>
        </w:rPr>
      </w:pPr>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9"/>
      </w:tblGrid>
      <w:tr w:rsidR="00BA6EAF" w:rsidRPr="00BA6EAF" w:rsidTr="00D309CD">
        <w:tc>
          <w:tcPr>
            <w:tcW w:w="5000" w:type="pct"/>
          </w:tcPr>
          <w:p w:rsidR="00BA6EAF" w:rsidRPr="00854D5E" w:rsidRDefault="00854D5E" w:rsidP="00854D5E">
            <w:pPr>
              <w:tabs>
                <w:tab w:val="left" w:pos="284"/>
                <w:tab w:val="left" w:pos="360"/>
              </w:tabs>
              <w:spacing w:after="0" w:line="240" w:lineRule="auto"/>
              <w:rPr>
                <w:rFonts w:ascii="Times New Roman" w:eastAsia="Calibri" w:hAnsi="Times New Roman"/>
                <w:b/>
                <w:sz w:val="28"/>
                <w:szCs w:val="28"/>
                <w:lang w:val="ro-MO" w:eastAsia="ru-RU"/>
              </w:rPr>
            </w:pPr>
            <w:r>
              <w:rPr>
                <w:rFonts w:ascii="Times New Roman" w:eastAsia="Calibri" w:hAnsi="Times New Roman"/>
                <w:b/>
                <w:sz w:val="28"/>
                <w:szCs w:val="28"/>
                <w:lang w:val="ro-RO" w:eastAsia="ru-RU"/>
              </w:rPr>
              <w:t>1.</w:t>
            </w:r>
            <w:r w:rsidR="00BA6EAF" w:rsidRPr="00854D5E">
              <w:rPr>
                <w:rFonts w:ascii="Times New Roman" w:eastAsia="Calibri" w:hAnsi="Times New Roman"/>
                <w:b/>
                <w:sz w:val="28"/>
                <w:szCs w:val="28"/>
                <w:lang w:val="ro-MO" w:eastAsia="ru-RU"/>
              </w:rPr>
              <w:t>Denumirea autorului şi, după caz, a participanţilor la elaborarea proiectului</w:t>
            </w:r>
          </w:p>
        </w:tc>
      </w:tr>
      <w:tr w:rsidR="00BA6EAF" w:rsidRPr="00BA6EAF" w:rsidTr="00D309CD">
        <w:tc>
          <w:tcPr>
            <w:tcW w:w="5000" w:type="pct"/>
          </w:tcPr>
          <w:p w:rsidR="00BA6EAF" w:rsidRPr="00BA6EAF" w:rsidRDefault="00BA6EAF" w:rsidP="00EC75ED">
            <w:pPr>
              <w:tabs>
                <w:tab w:val="left" w:pos="884"/>
                <w:tab w:val="left" w:pos="1196"/>
              </w:tabs>
              <w:spacing w:after="0"/>
              <w:jc w:val="both"/>
              <w:rPr>
                <w:rFonts w:ascii="Times New Roman" w:eastAsia="Calibri" w:hAnsi="Times New Roman"/>
                <w:bCs/>
                <w:sz w:val="28"/>
                <w:szCs w:val="28"/>
                <w:lang w:val="ro-RO"/>
              </w:rPr>
            </w:pPr>
            <w:r w:rsidRPr="00BA6EAF">
              <w:rPr>
                <w:rFonts w:ascii="Times New Roman" w:eastAsia="Calibri" w:hAnsi="Times New Roman"/>
                <w:bCs/>
                <w:sz w:val="28"/>
                <w:szCs w:val="28"/>
                <w:lang w:val="ro-RO"/>
              </w:rPr>
              <w:t xml:space="preserve">Prezentul proiect este elaborat de către Ministerul Agriculturii, Dezvoltării Regionale și Mediului, în colaborare cu </w:t>
            </w:r>
            <w:r w:rsidRPr="00BA6EAF">
              <w:rPr>
                <w:rFonts w:ascii="Times New Roman" w:eastAsia="Calibri" w:hAnsi="Times New Roman"/>
                <w:sz w:val="28"/>
                <w:szCs w:val="28"/>
                <w:lang w:val="ro-RO"/>
              </w:rPr>
              <w:t>Agenția de Intervenție și Plăți pentru Agricultură.</w:t>
            </w:r>
          </w:p>
        </w:tc>
      </w:tr>
      <w:tr w:rsidR="00BA6EAF" w:rsidRPr="00BA6EAF" w:rsidTr="00D309CD">
        <w:tc>
          <w:tcPr>
            <w:tcW w:w="5000" w:type="pct"/>
          </w:tcPr>
          <w:p w:rsidR="00BA6EAF" w:rsidRPr="00BA6EAF" w:rsidRDefault="00854D5E" w:rsidP="00BA6EAF">
            <w:pPr>
              <w:tabs>
                <w:tab w:val="left" w:pos="884"/>
                <w:tab w:val="left" w:pos="1196"/>
              </w:tabs>
              <w:spacing w:after="0" w:line="240" w:lineRule="auto"/>
              <w:jc w:val="both"/>
              <w:rPr>
                <w:rFonts w:ascii="Times New Roman" w:eastAsia="Calibri" w:hAnsi="Times New Roman"/>
                <w:b/>
                <w:sz w:val="28"/>
                <w:szCs w:val="28"/>
                <w:lang w:val="ro-MO" w:eastAsia="ru-RU"/>
              </w:rPr>
            </w:pPr>
            <w:r>
              <w:rPr>
                <w:rFonts w:ascii="Times New Roman" w:eastAsia="Calibri" w:hAnsi="Times New Roman"/>
                <w:b/>
                <w:sz w:val="28"/>
                <w:szCs w:val="28"/>
                <w:lang w:val="ro-MO" w:eastAsia="ru-RU"/>
              </w:rPr>
              <w:t>2.</w:t>
            </w:r>
            <w:r w:rsidR="00BA6EAF" w:rsidRPr="00BA6EAF">
              <w:rPr>
                <w:rFonts w:ascii="Times New Roman" w:eastAsia="Calibri" w:hAnsi="Times New Roman"/>
                <w:b/>
                <w:sz w:val="28"/>
                <w:szCs w:val="28"/>
                <w:lang w:val="ro-MO" w:eastAsia="ru-RU"/>
              </w:rPr>
              <w:t>Condiţiile ce au impus elaborarea proiectului de act normativ şi finalităţile urmărite</w:t>
            </w:r>
          </w:p>
        </w:tc>
      </w:tr>
      <w:tr w:rsidR="00BA6EAF" w:rsidRPr="00BA6EAF" w:rsidTr="00D309CD">
        <w:tc>
          <w:tcPr>
            <w:tcW w:w="5000" w:type="pct"/>
          </w:tcPr>
          <w:p w:rsidR="00BA6EAF" w:rsidRPr="00BA6EAF" w:rsidRDefault="00BA6EAF" w:rsidP="00EC75ED">
            <w:pPr>
              <w:spacing w:before="120" w:after="120"/>
              <w:jc w:val="both"/>
              <w:rPr>
                <w:rFonts w:ascii="Times New Roman" w:hAnsi="Times New Roman"/>
                <w:sz w:val="28"/>
                <w:szCs w:val="28"/>
                <w:lang w:val="ro-RO"/>
              </w:rPr>
            </w:pPr>
            <w:r w:rsidRPr="00BA6EAF">
              <w:rPr>
                <w:rFonts w:ascii="Times New Roman" w:hAnsi="Times New Roman"/>
                <w:sz w:val="28"/>
                <w:szCs w:val="28"/>
                <w:lang w:val="ro-RO"/>
              </w:rPr>
              <w:t>Necesitatea elaborării și promovării proiectului respectiv a fost identificată în cadrul activităților de recunoaștere a grupurilor de producători agricoli, a ședințelor de lucru cu colaboratorii Ministerului și Agenția de Intervenție și Plăți în Agricultură în ceea ce privește elaborarea modificărilor la Regulamentul privind recunoașterea grupurilor de producători agricoli, precum și la elaborarea Normelor metodologice privind supravegherea și monitorizarea respectării de către grupurile de producători</w:t>
            </w:r>
            <w:r w:rsidR="000A49C1">
              <w:rPr>
                <w:rFonts w:ascii="Times New Roman" w:hAnsi="Times New Roman"/>
                <w:sz w:val="28"/>
                <w:szCs w:val="28"/>
                <w:lang w:val="ro-RO"/>
              </w:rPr>
              <w:t xml:space="preserve"> agricoli </w:t>
            </w:r>
            <w:r w:rsidRPr="00BA6EAF">
              <w:rPr>
                <w:rFonts w:ascii="Times New Roman" w:hAnsi="Times New Roman"/>
                <w:sz w:val="28"/>
                <w:szCs w:val="28"/>
                <w:lang w:val="ro-RO"/>
              </w:rPr>
              <w:t>a condițiilor de acordare a sprijinului financiar nerambursabil. Astfel, s-a constatat că la etapa actuală se impune modificarea Legii nr.312/2013 privind grupurile de producători agricoli și asociațiile acestora sub un șir de aspecte, cum ar fi:</w:t>
            </w:r>
          </w:p>
          <w:p w:rsidR="00BA6EAF" w:rsidRPr="00BA6EAF" w:rsidRDefault="00BA6EAF" w:rsidP="00EC75ED">
            <w:pPr>
              <w:numPr>
                <w:ilvl w:val="0"/>
                <w:numId w:val="1"/>
              </w:numPr>
              <w:suppressAutoHyphens/>
              <w:spacing w:before="120" w:after="120"/>
              <w:contextualSpacing/>
              <w:jc w:val="both"/>
              <w:rPr>
                <w:rFonts w:ascii="Times New Roman" w:hAnsi="Times New Roman"/>
                <w:sz w:val="28"/>
                <w:szCs w:val="28"/>
                <w:lang w:val="ro-RO"/>
              </w:rPr>
            </w:pPr>
            <w:r w:rsidRPr="00BA6EAF">
              <w:rPr>
                <w:rFonts w:ascii="Times New Roman" w:hAnsi="Times New Roman"/>
                <w:sz w:val="28"/>
                <w:szCs w:val="28"/>
                <w:lang w:val="ro-RO"/>
              </w:rPr>
              <w:t>atribuțiile Ministerului Agriculturii, Dezvoltării Regionale și Mediului (MADRM);</w:t>
            </w:r>
          </w:p>
          <w:p w:rsidR="00BA6EAF" w:rsidRPr="00BA6EAF" w:rsidRDefault="00BA6EAF" w:rsidP="00EC75ED">
            <w:pPr>
              <w:numPr>
                <w:ilvl w:val="0"/>
                <w:numId w:val="1"/>
              </w:numPr>
              <w:suppressAutoHyphens/>
              <w:spacing w:before="120" w:after="120"/>
              <w:contextualSpacing/>
              <w:jc w:val="both"/>
              <w:rPr>
                <w:rFonts w:ascii="Times New Roman" w:hAnsi="Times New Roman"/>
                <w:sz w:val="28"/>
                <w:szCs w:val="28"/>
                <w:lang w:val="ro-RO"/>
              </w:rPr>
            </w:pPr>
            <w:r w:rsidRPr="00BA6EAF">
              <w:rPr>
                <w:rFonts w:ascii="Times New Roman" w:hAnsi="Times New Roman"/>
                <w:sz w:val="28"/>
                <w:szCs w:val="28"/>
                <w:lang w:val="ro-RO"/>
              </w:rPr>
              <w:t>atribuțiile Agenției de Intervenție și Plăți pentru Agricultură (AIPA);</w:t>
            </w:r>
          </w:p>
          <w:p w:rsidR="00BA6EAF" w:rsidRPr="00BA6EAF" w:rsidRDefault="00BA6EAF" w:rsidP="00EC75ED">
            <w:pPr>
              <w:numPr>
                <w:ilvl w:val="0"/>
                <w:numId w:val="1"/>
              </w:numPr>
              <w:suppressAutoHyphens/>
              <w:spacing w:before="120" w:after="120"/>
              <w:contextualSpacing/>
              <w:jc w:val="both"/>
              <w:rPr>
                <w:rFonts w:ascii="Times New Roman" w:hAnsi="Times New Roman"/>
                <w:sz w:val="28"/>
                <w:szCs w:val="28"/>
                <w:lang w:val="ro-RO"/>
              </w:rPr>
            </w:pPr>
            <w:r w:rsidRPr="00BA6EAF">
              <w:rPr>
                <w:rFonts w:ascii="Times New Roman" w:hAnsi="Times New Roman"/>
                <w:sz w:val="28"/>
                <w:szCs w:val="28"/>
                <w:lang w:val="ro-RO"/>
              </w:rPr>
              <w:t>procedurile și cerințele de înregistrare a grupurilor de producători agricoli;</w:t>
            </w:r>
          </w:p>
          <w:p w:rsidR="00BA6EAF" w:rsidRPr="00BA6EAF" w:rsidRDefault="00BA6EAF" w:rsidP="00EC75ED">
            <w:pPr>
              <w:numPr>
                <w:ilvl w:val="0"/>
                <w:numId w:val="1"/>
              </w:numPr>
              <w:suppressAutoHyphens/>
              <w:spacing w:before="120" w:after="120"/>
              <w:contextualSpacing/>
              <w:jc w:val="both"/>
              <w:rPr>
                <w:rFonts w:ascii="Times New Roman" w:hAnsi="Times New Roman"/>
                <w:sz w:val="28"/>
                <w:szCs w:val="28"/>
                <w:lang w:val="ro-RO"/>
              </w:rPr>
            </w:pPr>
            <w:r w:rsidRPr="00BA6EAF">
              <w:rPr>
                <w:rFonts w:ascii="Times New Roman" w:hAnsi="Times New Roman"/>
                <w:sz w:val="28"/>
                <w:szCs w:val="28"/>
                <w:lang w:val="ro-RO"/>
              </w:rPr>
              <w:t>procedurile privind recunoașterea grupurilor de producători agricoli;</w:t>
            </w:r>
          </w:p>
          <w:p w:rsidR="00BA6EAF" w:rsidRPr="00BA6EAF" w:rsidRDefault="00BA6EAF" w:rsidP="00EC75ED">
            <w:pPr>
              <w:numPr>
                <w:ilvl w:val="0"/>
                <w:numId w:val="1"/>
              </w:numPr>
              <w:suppressAutoHyphens/>
              <w:spacing w:before="120" w:after="120"/>
              <w:contextualSpacing/>
              <w:jc w:val="both"/>
              <w:rPr>
                <w:rFonts w:ascii="Times New Roman" w:hAnsi="Times New Roman"/>
                <w:sz w:val="28"/>
                <w:szCs w:val="28"/>
                <w:lang w:val="ro-RO"/>
              </w:rPr>
            </w:pPr>
            <w:r w:rsidRPr="00BA6EAF">
              <w:rPr>
                <w:rFonts w:ascii="Times New Roman" w:hAnsi="Times New Roman"/>
                <w:sz w:val="28"/>
                <w:szCs w:val="28"/>
                <w:lang w:val="ro-RO"/>
              </w:rPr>
              <w:t>procedurile privind monitorizarea grupurilor de producători agricoli de către AIPA, în cazul în care acestea au accesat subvenții de stat;</w:t>
            </w:r>
          </w:p>
          <w:p w:rsidR="00BA6EAF" w:rsidRPr="00BA6EAF" w:rsidRDefault="00BA6EAF" w:rsidP="00EC75ED">
            <w:pPr>
              <w:numPr>
                <w:ilvl w:val="0"/>
                <w:numId w:val="1"/>
              </w:numPr>
              <w:suppressAutoHyphens/>
              <w:spacing w:before="120" w:after="120"/>
              <w:contextualSpacing/>
              <w:jc w:val="both"/>
              <w:rPr>
                <w:rFonts w:ascii="Times New Roman" w:hAnsi="Times New Roman"/>
                <w:sz w:val="28"/>
                <w:szCs w:val="28"/>
                <w:lang w:val="ro-RO"/>
              </w:rPr>
            </w:pPr>
            <w:r w:rsidRPr="00BA6EAF">
              <w:rPr>
                <w:rFonts w:ascii="Times New Roman" w:hAnsi="Times New Roman"/>
                <w:sz w:val="28"/>
                <w:szCs w:val="28"/>
                <w:lang w:val="ro-RO"/>
              </w:rPr>
              <w:t>structurarea produselor, pentru care se constituie grupurile de producători;</w:t>
            </w:r>
          </w:p>
          <w:p w:rsidR="00BA6EAF" w:rsidRPr="00BA6EAF" w:rsidRDefault="00BA6EAF" w:rsidP="00EC75ED">
            <w:pPr>
              <w:numPr>
                <w:ilvl w:val="0"/>
                <w:numId w:val="1"/>
              </w:numPr>
              <w:suppressAutoHyphens/>
              <w:spacing w:before="120" w:after="120"/>
              <w:contextualSpacing/>
              <w:jc w:val="both"/>
              <w:rPr>
                <w:rFonts w:ascii="Times New Roman" w:hAnsi="Times New Roman"/>
                <w:sz w:val="28"/>
                <w:szCs w:val="28"/>
                <w:lang w:val="ro-RO"/>
              </w:rPr>
            </w:pPr>
            <w:r w:rsidRPr="00BA6EAF">
              <w:rPr>
                <w:rFonts w:ascii="Times New Roman" w:hAnsi="Times New Roman"/>
                <w:sz w:val="28"/>
                <w:szCs w:val="28"/>
                <w:lang w:val="ro-RO"/>
              </w:rPr>
              <w:t>reglementările privind acordarea sprijinului financiar;</w:t>
            </w:r>
          </w:p>
          <w:p w:rsidR="00BA6EAF" w:rsidRPr="00BA6EAF" w:rsidRDefault="00BA6EAF" w:rsidP="00EC75ED">
            <w:pPr>
              <w:numPr>
                <w:ilvl w:val="0"/>
                <w:numId w:val="1"/>
              </w:numPr>
              <w:suppressAutoHyphens/>
              <w:spacing w:before="120" w:after="120"/>
              <w:contextualSpacing/>
              <w:jc w:val="both"/>
              <w:rPr>
                <w:rFonts w:ascii="Times New Roman" w:hAnsi="Times New Roman"/>
                <w:sz w:val="28"/>
                <w:szCs w:val="28"/>
                <w:lang w:val="ro-RO"/>
              </w:rPr>
            </w:pPr>
            <w:r w:rsidRPr="00BA6EAF">
              <w:rPr>
                <w:rFonts w:ascii="Times New Roman" w:hAnsi="Times New Roman"/>
                <w:sz w:val="28"/>
                <w:szCs w:val="28"/>
                <w:lang w:val="ro-RO"/>
              </w:rPr>
              <w:t>procedurile privind sancționarea grupurilor de producători agricoli pentru nerespectarea planurilor de recunoaștere etc.</w:t>
            </w:r>
          </w:p>
          <w:p w:rsidR="00BA6EAF" w:rsidRPr="00BA6EAF" w:rsidRDefault="00BA6EAF" w:rsidP="00EC75ED">
            <w:pPr>
              <w:tabs>
                <w:tab w:val="left" w:pos="884"/>
                <w:tab w:val="left" w:pos="1196"/>
              </w:tabs>
              <w:spacing w:after="0"/>
              <w:jc w:val="both"/>
              <w:rPr>
                <w:rFonts w:ascii="Times New Roman" w:eastAsia="Calibri" w:hAnsi="Times New Roman"/>
                <w:sz w:val="28"/>
                <w:szCs w:val="28"/>
                <w:lang w:val="ro-RO"/>
              </w:rPr>
            </w:pPr>
            <w:r w:rsidRPr="00BA6EAF">
              <w:rPr>
                <w:rFonts w:ascii="Times New Roman" w:eastAsia="Calibri" w:hAnsi="Times New Roman"/>
                <w:bCs/>
                <w:sz w:val="28"/>
                <w:szCs w:val="28"/>
                <w:lang w:val="ro-RO"/>
              </w:rPr>
              <w:t>Proiectul nu conține nici un aspect nou ce vizează reglementarea activității de întreprinzător, respectiv, nu este necesară elaborarea Analizei Impactului de Reglementare (AIR).</w:t>
            </w:r>
          </w:p>
        </w:tc>
      </w:tr>
      <w:tr w:rsidR="00BA6EAF" w:rsidRPr="00BA6EAF" w:rsidTr="00D309CD">
        <w:tc>
          <w:tcPr>
            <w:tcW w:w="5000" w:type="pct"/>
          </w:tcPr>
          <w:p w:rsidR="00BA6EAF" w:rsidRPr="00BA6EAF" w:rsidRDefault="00854D5E" w:rsidP="00EC75ED">
            <w:pPr>
              <w:tabs>
                <w:tab w:val="left" w:pos="884"/>
                <w:tab w:val="left" w:pos="1196"/>
              </w:tabs>
              <w:spacing w:after="0"/>
              <w:jc w:val="both"/>
              <w:rPr>
                <w:rFonts w:ascii="Times New Roman" w:eastAsia="Calibri" w:hAnsi="Times New Roman"/>
                <w:b/>
                <w:sz w:val="28"/>
                <w:szCs w:val="28"/>
                <w:lang w:val="ro-MO" w:eastAsia="ru-RU"/>
              </w:rPr>
            </w:pPr>
            <w:r>
              <w:rPr>
                <w:rFonts w:ascii="Times New Roman" w:eastAsia="Calibri" w:hAnsi="Times New Roman"/>
                <w:b/>
                <w:sz w:val="28"/>
                <w:szCs w:val="28"/>
                <w:lang w:val="ro-MO" w:eastAsia="ru-RU"/>
              </w:rPr>
              <w:t>3.</w:t>
            </w:r>
            <w:r w:rsidR="00BA6EAF" w:rsidRPr="00BA6EAF">
              <w:rPr>
                <w:rFonts w:ascii="Times New Roman" w:eastAsia="Calibri" w:hAnsi="Times New Roman"/>
                <w:b/>
                <w:sz w:val="28"/>
                <w:szCs w:val="28"/>
                <w:lang w:val="ro-MO" w:eastAsia="ru-RU"/>
              </w:rPr>
              <w:t>Descrierea gradului de compatibilitate pentru proiectele care au ca scop armonizarea legislaţiei naţionale cu legislaţia Uniunii Europene</w:t>
            </w:r>
          </w:p>
        </w:tc>
      </w:tr>
      <w:tr w:rsidR="00BA6EAF" w:rsidRPr="00BA6EAF" w:rsidTr="00D309CD">
        <w:tc>
          <w:tcPr>
            <w:tcW w:w="5000" w:type="pct"/>
          </w:tcPr>
          <w:p w:rsidR="00BA6EAF" w:rsidRPr="00BA6EAF" w:rsidRDefault="00BA6EAF" w:rsidP="00EC75ED">
            <w:pPr>
              <w:tabs>
                <w:tab w:val="left" w:pos="884"/>
                <w:tab w:val="left" w:pos="1196"/>
              </w:tabs>
              <w:spacing w:after="0"/>
              <w:ind w:left="-90"/>
              <w:jc w:val="both"/>
              <w:rPr>
                <w:rFonts w:ascii="Times New Roman" w:eastAsia="Calibri" w:hAnsi="Times New Roman"/>
                <w:b/>
                <w:sz w:val="28"/>
                <w:szCs w:val="28"/>
                <w:lang w:val="ro-MO" w:eastAsia="ru-RU"/>
              </w:rPr>
            </w:pPr>
            <w:r w:rsidRPr="00BA6EAF">
              <w:rPr>
                <w:rFonts w:ascii="Times New Roman" w:eastAsia="Calibri" w:hAnsi="Times New Roman"/>
                <w:sz w:val="28"/>
                <w:szCs w:val="28"/>
                <w:lang w:val="ro-RO"/>
              </w:rPr>
              <w:t xml:space="preserve">Proiectul nu conține norme privind armonizarea legislației naționale cu legislaţia Uniunii </w:t>
            </w:r>
            <w:r w:rsidRPr="00BA6EAF">
              <w:rPr>
                <w:rFonts w:ascii="Times New Roman" w:eastAsia="Calibri" w:hAnsi="Times New Roman"/>
                <w:sz w:val="28"/>
                <w:szCs w:val="28"/>
                <w:lang w:val="ro-RO"/>
              </w:rPr>
              <w:lastRenderedPageBreak/>
              <w:t>Europene</w:t>
            </w:r>
          </w:p>
        </w:tc>
      </w:tr>
      <w:tr w:rsidR="00BA6EAF" w:rsidRPr="00BA6EAF" w:rsidTr="00D309CD">
        <w:tc>
          <w:tcPr>
            <w:tcW w:w="5000" w:type="pct"/>
          </w:tcPr>
          <w:p w:rsidR="00BA6EAF" w:rsidRPr="00BA6EAF" w:rsidRDefault="00854D5E" w:rsidP="00EC75ED">
            <w:pPr>
              <w:tabs>
                <w:tab w:val="left" w:pos="884"/>
                <w:tab w:val="left" w:pos="1196"/>
              </w:tabs>
              <w:spacing w:after="0"/>
              <w:jc w:val="both"/>
              <w:rPr>
                <w:rFonts w:ascii="Times New Roman" w:eastAsia="Calibri" w:hAnsi="Times New Roman"/>
                <w:b/>
                <w:sz w:val="28"/>
                <w:szCs w:val="28"/>
                <w:lang w:val="ro-MO" w:eastAsia="ru-RU"/>
              </w:rPr>
            </w:pPr>
            <w:r>
              <w:rPr>
                <w:rFonts w:ascii="Times New Roman" w:eastAsia="Calibri" w:hAnsi="Times New Roman"/>
                <w:b/>
                <w:sz w:val="28"/>
                <w:szCs w:val="28"/>
                <w:lang w:val="ro-MO" w:eastAsia="ru-RU"/>
              </w:rPr>
              <w:lastRenderedPageBreak/>
              <w:t>4.</w:t>
            </w:r>
            <w:r w:rsidR="00BA6EAF" w:rsidRPr="00BA6EAF">
              <w:rPr>
                <w:rFonts w:ascii="Times New Roman" w:eastAsia="Calibri" w:hAnsi="Times New Roman"/>
                <w:b/>
                <w:sz w:val="28"/>
                <w:szCs w:val="28"/>
                <w:lang w:val="ro-MO" w:eastAsia="ru-RU"/>
              </w:rPr>
              <w:t>Principalele prevederi ale proiectului şi evidenţierea elementelor noi</w:t>
            </w:r>
          </w:p>
        </w:tc>
      </w:tr>
      <w:tr w:rsidR="00BA6EAF" w:rsidRPr="00BA6EAF" w:rsidTr="00D309CD">
        <w:tc>
          <w:tcPr>
            <w:tcW w:w="5000" w:type="pct"/>
          </w:tcPr>
          <w:p w:rsidR="00BA6EAF" w:rsidRPr="00BA6EAF" w:rsidRDefault="00BA6EAF" w:rsidP="00EC75ED">
            <w:pPr>
              <w:spacing w:after="0"/>
              <w:jc w:val="both"/>
              <w:rPr>
                <w:rFonts w:ascii="Times New Roman" w:hAnsi="Times New Roman"/>
                <w:color w:val="000000"/>
                <w:sz w:val="28"/>
                <w:szCs w:val="28"/>
                <w:lang w:val="ro-RO" w:eastAsia="ro-RO"/>
              </w:rPr>
            </w:pPr>
            <w:r w:rsidRPr="00BA6EAF">
              <w:rPr>
                <w:rFonts w:ascii="Times New Roman" w:eastAsia="Calibri" w:hAnsi="Times New Roman"/>
                <w:sz w:val="28"/>
                <w:szCs w:val="28"/>
                <w:lang w:val="ro-RO" w:eastAsia="ru-RU"/>
              </w:rPr>
              <w:t>Prezentul proiect de lege propune operarea unor modificări la Legea nr.312/2013 privind grupurile de producători agricoli și asociațiile acestora (</w:t>
            </w:r>
            <w:r w:rsidRPr="00BA6EAF">
              <w:rPr>
                <w:rFonts w:ascii="Times New Roman" w:hAnsi="Times New Roman"/>
                <w:sz w:val="28"/>
                <w:szCs w:val="28"/>
                <w:lang w:val="ro-RO" w:eastAsia="ru-RU"/>
              </w:rPr>
              <w:t xml:space="preserve">Monitorul Oficial al Republicii Moldova </w:t>
            </w:r>
            <w:r w:rsidRPr="00BA6EAF">
              <w:rPr>
                <w:rFonts w:ascii="Times New Roman" w:hAnsi="Times New Roman"/>
                <w:bCs/>
                <w:sz w:val="28"/>
                <w:szCs w:val="28"/>
                <w:lang w:val="ro-RO" w:eastAsia="ru-RU"/>
              </w:rPr>
              <w:t>nr. 47-48, art.90 din 25.02.2013</w:t>
            </w:r>
            <w:r w:rsidR="00770036">
              <w:rPr>
                <w:rFonts w:ascii="Times New Roman" w:eastAsia="Calibri" w:hAnsi="Times New Roman"/>
                <w:sz w:val="28"/>
                <w:szCs w:val="28"/>
                <w:lang w:val="ro-RO" w:eastAsia="ru-RU"/>
              </w:rPr>
              <w:t xml:space="preserve">), </w:t>
            </w:r>
            <w:r w:rsidRPr="00BA6EAF">
              <w:rPr>
                <w:rFonts w:ascii="Times New Roman" w:hAnsi="Times New Roman"/>
                <w:color w:val="000000"/>
                <w:sz w:val="28"/>
                <w:szCs w:val="28"/>
                <w:lang w:val="ro-RO" w:eastAsia="ro-RO"/>
              </w:rPr>
              <w:t xml:space="preserve">principalele prevederi şi elemente noi integrate în proiect </w:t>
            </w:r>
            <w:r w:rsidR="00770036">
              <w:rPr>
                <w:rFonts w:ascii="Times New Roman" w:hAnsi="Times New Roman"/>
                <w:color w:val="000000"/>
                <w:sz w:val="28"/>
                <w:szCs w:val="28"/>
                <w:lang w:val="ro-RO" w:eastAsia="ro-RO"/>
              </w:rPr>
              <w:t>fiind</w:t>
            </w:r>
            <w:r w:rsidRPr="00BA6EAF">
              <w:rPr>
                <w:rFonts w:ascii="Times New Roman" w:hAnsi="Times New Roman"/>
                <w:color w:val="000000"/>
                <w:sz w:val="28"/>
                <w:szCs w:val="28"/>
                <w:lang w:val="ro-RO" w:eastAsia="ro-RO"/>
              </w:rPr>
              <w:t xml:space="preserve"> următoarele.</w:t>
            </w:r>
          </w:p>
          <w:p w:rsidR="00BA6EAF" w:rsidRPr="00BA6EAF" w:rsidRDefault="00770036" w:rsidP="00EC75ED">
            <w:pPr>
              <w:tabs>
                <w:tab w:val="left" w:pos="884"/>
                <w:tab w:val="left" w:pos="1196"/>
              </w:tabs>
              <w:spacing w:after="0"/>
              <w:jc w:val="both"/>
              <w:rPr>
                <w:rFonts w:ascii="Times New Roman" w:eastAsia="Calibri" w:hAnsi="Times New Roman"/>
                <w:sz w:val="28"/>
                <w:szCs w:val="28"/>
                <w:lang w:val="ro-RO"/>
              </w:rPr>
            </w:pPr>
            <w:r>
              <w:rPr>
                <w:rFonts w:ascii="Times New Roman" w:eastAsia="Calibri" w:hAnsi="Times New Roman"/>
                <w:sz w:val="28"/>
                <w:szCs w:val="28"/>
                <w:lang w:val="ro-RO"/>
              </w:rPr>
              <w:t>A</w:t>
            </w:r>
            <w:r w:rsidR="00BA6EAF" w:rsidRPr="00BA6EAF">
              <w:rPr>
                <w:rFonts w:ascii="Times New Roman" w:eastAsia="Calibri" w:hAnsi="Times New Roman"/>
                <w:sz w:val="28"/>
                <w:szCs w:val="28"/>
                <w:lang w:val="ro-RO"/>
              </w:rPr>
              <w:t>spect</w:t>
            </w:r>
            <w:r>
              <w:rPr>
                <w:rFonts w:ascii="Times New Roman" w:eastAsia="Calibri" w:hAnsi="Times New Roman"/>
                <w:sz w:val="28"/>
                <w:szCs w:val="28"/>
                <w:lang w:val="ro-RO"/>
              </w:rPr>
              <w:t>ul</w:t>
            </w:r>
            <w:r w:rsidR="00BA6EAF" w:rsidRPr="00BA6EAF">
              <w:rPr>
                <w:rFonts w:ascii="Times New Roman" w:eastAsia="Calibri" w:hAnsi="Times New Roman"/>
                <w:sz w:val="28"/>
                <w:szCs w:val="28"/>
                <w:lang w:val="ro-RO"/>
              </w:rPr>
              <w:t xml:space="preserve"> important al modificărilor la Legea nr.312/2013 ține de excluderea unor prevederi nejustificate cu privire la actele de constituire a grupurilor de producători, cum ar fi: autentificarea notarială a acestora, includerea în statut a unor cerințe ce depășesc cadrul legal de reglementare a formei organizatorico-juridice respective (art.10, alin.(1) din lege). </w:t>
            </w:r>
          </w:p>
          <w:p w:rsidR="00BA6EAF" w:rsidRPr="00BA6EAF" w:rsidRDefault="00BA6EAF" w:rsidP="00EC75ED">
            <w:pPr>
              <w:tabs>
                <w:tab w:val="left" w:pos="884"/>
                <w:tab w:val="left" w:pos="1196"/>
              </w:tabs>
              <w:spacing w:after="0"/>
              <w:jc w:val="both"/>
              <w:rPr>
                <w:rFonts w:ascii="Times New Roman" w:eastAsia="Calibri" w:hAnsi="Times New Roman"/>
                <w:sz w:val="28"/>
                <w:szCs w:val="28"/>
                <w:lang w:val="ro-RO"/>
              </w:rPr>
            </w:pPr>
            <w:r w:rsidRPr="00BA6EAF">
              <w:rPr>
                <w:rFonts w:ascii="Times New Roman" w:eastAsia="Calibri" w:hAnsi="Times New Roman"/>
                <w:sz w:val="28"/>
                <w:szCs w:val="28"/>
                <w:lang w:val="ro-RO"/>
              </w:rPr>
              <w:t>Totodată, s-au in</w:t>
            </w:r>
            <w:r w:rsidR="00B5783E">
              <w:rPr>
                <w:rFonts w:ascii="Times New Roman" w:eastAsia="Calibri" w:hAnsi="Times New Roman"/>
                <w:sz w:val="28"/>
                <w:szCs w:val="28"/>
                <w:lang w:val="ro-RO"/>
              </w:rPr>
              <w:t>trodus</w:t>
            </w:r>
            <w:r w:rsidRPr="00BA6EAF">
              <w:rPr>
                <w:rFonts w:ascii="Times New Roman" w:eastAsia="Calibri" w:hAnsi="Times New Roman"/>
                <w:sz w:val="28"/>
                <w:szCs w:val="28"/>
                <w:lang w:val="ro-RO"/>
              </w:rPr>
              <w:t xml:space="preserve"> prevederi ce vor </w:t>
            </w:r>
            <w:r w:rsidR="00B5783E">
              <w:rPr>
                <w:rFonts w:ascii="Times New Roman" w:eastAsia="Calibri" w:hAnsi="Times New Roman"/>
                <w:sz w:val="28"/>
                <w:szCs w:val="28"/>
                <w:lang w:val="ro-RO"/>
              </w:rPr>
              <w:t xml:space="preserve">exclude </w:t>
            </w:r>
            <w:r w:rsidRPr="00BA6EAF">
              <w:rPr>
                <w:rFonts w:ascii="Times New Roman" w:eastAsia="Calibri" w:hAnsi="Times New Roman"/>
                <w:sz w:val="28"/>
                <w:szCs w:val="28"/>
                <w:lang w:val="ro-RO"/>
              </w:rPr>
              <w:t>situațiile în care un producător agricol putea fi membru a mai multor grupuri de producători (art.7).</w:t>
            </w:r>
          </w:p>
          <w:p w:rsidR="00BA6EAF" w:rsidRPr="00BA6EAF" w:rsidRDefault="00BA6EAF" w:rsidP="00EC75ED">
            <w:pPr>
              <w:tabs>
                <w:tab w:val="left" w:pos="884"/>
                <w:tab w:val="left" w:pos="1196"/>
              </w:tabs>
              <w:spacing w:after="0"/>
              <w:jc w:val="both"/>
              <w:rPr>
                <w:rFonts w:ascii="Times New Roman" w:hAnsi="Times New Roman"/>
                <w:sz w:val="28"/>
                <w:szCs w:val="28"/>
                <w:lang w:val="ro-RO"/>
              </w:rPr>
            </w:pPr>
            <w:r w:rsidRPr="00BA6EAF">
              <w:rPr>
                <w:rFonts w:ascii="Times New Roman" w:eastAsia="Calibri" w:hAnsi="Times New Roman"/>
                <w:sz w:val="28"/>
                <w:szCs w:val="28"/>
                <w:lang w:val="ro-RO"/>
              </w:rPr>
              <w:t xml:space="preserve">Art. 2 din lege a fost completat cu noțiuni noi, scopul cărora este de a exclude interpretările eronate ale unor termeni utilizați în activitatea grupurilor. Astfel, s-a definit detaliat </w:t>
            </w:r>
            <w:r w:rsidRPr="00BA6EAF">
              <w:rPr>
                <w:rFonts w:ascii="Times New Roman" w:hAnsi="Times New Roman"/>
                <w:iCs/>
                <w:sz w:val="28"/>
                <w:szCs w:val="28"/>
                <w:lang w:val="ro-RO"/>
              </w:rPr>
              <w:t>noțiunea</w:t>
            </w:r>
            <w:r w:rsidRPr="00BA6EAF">
              <w:rPr>
                <w:rFonts w:ascii="Times New Roman" w:hAnsi="Times New Roman"/>
                <w:i/>
                <w:iCs/>
                <w:sz w:val="28"/>
                <w:szCs w:val="28"/>
                <w:lang w:val="ro-RO"/>
              </w:rPr>
              <w:t xml:space="preserve"> „valoarea producţiei comercializate”</w:t>
            </w:r>
            <w:r w:rsidRPr="00BA6EAF">
              <w:rPr>
                <w:rFonts w:ascii="Times New Roman" w:hAnsi="Times New Roman"/>
                <w:iCs/>
                <w:sz w:val="28"/>
                <w:szCs w:val="28"/>
                <w:lang w:val="ro-RO"/>
              </w:rPr>
              <w:t xml:space="preserve">, cu specificarea faptului că în calcul se ia doar </w:t>
            </w:r>
            <w:r w:rsidRPr="00BA6EAF">
              <w:rPr>
                <w:rFonts w:ascii="Times New Roman" w:hAnsi="Times New Roman"/>
                <w:sz w:val="28"/>
                <w:szCs w:val="28"/>
                <w:lang w:val="ro-RO"/>
              </w:rPr>
              <w:t>producția aferentă produsului sau grupului de produse, pentru care grupul de producători a fost recunoscut.</w:t>
            </w:r>
          </w:p>
          <w:p w:rsidR="00BA6EAF" w:rsidRPr="00BA6EAF" w:rsidRDefault="00BA6EAF" w:rsidP="00EC75ED">
            <w:pPr>
              <w:spacing w:after="0"/>
              <w:jc w:val="both"/>
              <w:rPr>
                <w:rFonts w:ascii="Times New Roman" w:hAnsi="Times New Roman"/>
                <w:sz w:val="28"/>
                <w:szCs w:val="28"/>
                <w:lang w:val="ro-RO"/>
              </w:rPr>
            </w:pPr>
            <w:r w:rsidRPr="00BA6EAF">
              <w:rPr>
                <w:rFonts w:ascii="Times New Roman" w:hAnsi="Times New Roman"/>
                <w:color w:val="000000"/>
                <w:sz w:val="28"/>
                <w:szCs w:val="28"/>
                <w:lang w:val="ro-RO"/>
              </w:rPr>
              <w:t>La art.3 s-a propus completarea obiectivelor pentru care se constituie grupurile de producători cu două litere noi:</w:t>
            </w:r>
            <w:r w:rsidRPr="00BA6EAF">
              <w:rPr>
                <w:rFonts w:ascii="Times New Roman" w:eastAsia="Calibri" w:hAnsi="Times New Roman"/>
                <w:sz w:val="28"/>
                <w:szCs w:val="28"/>
                <w:lang w:val="ro-RO"/>
              </w:rPr>
              <w:t xml:space="preserve"> </w:t>
            </w:r>
            <w:r w:rsidRPr="00BA6EAF">
              <w:rPr>
                <w:rFonts w:ascii="Times New Roman" w:hAnsi="Times New Roman"/>
                <w:i/>
                <w:color w:val="000000"/>
                <w:sz w:val="28"/>
                <w:szCs w:val="28"/>
                <w:lang w:val="ro-RO"/>
              </w:rPr>
              <w:t>comercializarea producţiei agricole a membrilor prin intermediul grupului de producători</w:t>
            </w:r>
            <w:r w:rsidRPr="00BA6EAF">
              <w:rPr>
                <w:rFonts w:ascii="Times New Roman" w:hAnsi="Times New Roman"/>
                <w:i/>
                <w:sz w:val="28"/>
                <w:szCs w:val="28"/>
                <w:lang w:val="ro-RO"/>
              </w:rPr>
              <w:t>,</w:t>
            </w:r>
            <w:r w:rsidRPr="00BA6EAF">
              <w:rPr>
                <w:rFonts w:ascii="Times New Roman" w:hAnsi="Times New Roman"/>
                <w:i/>
                <w:color w:val="00B050"/>
                <w:sz w:val="28"/>
                <w:szCs w:val="28"/>
                <w:lang w:val="ro-RO"/>
              </w:rPr>
              <w:t xml:space="preserve"> </w:t>
            </w:r>
            <w:r w:rsidRPr="00BA6EAF">
              <w:rPr>
                <w:rFonts w:ascii="Times New Roman" w:hAnsi="Times New Roman"/>
                <w:color w:val="000000"/>
                <w:sz w:val="28"/>
                <w:szCs w:val="28"/>
                <w:lang w:val="ro-RO"/>
              </w:rPr>
              <w:t xml:space="preserve">prin care se statuează clar și fără posibilitate de </w:t>
            </w:r>
            <w:r w:rsidR="000A49C1">
              <w:rPr>
                <w:rFonts w:ascii="Times New Roman" w:hAnsi="Times New Roman"/>
                <w:color w:val="000000"/>
                <w:sz w:val="28"/>
                <w:szCs w:val="28"/>
                <w:lang w:val="ro-RO"/>
              </w:rPr>
              <w:t xml:space="preserve">interpretare obiectivul de bază </w:t>
            </w:r>
            <w:r w:rsidRPr="00BA6EAF">
              <w:rPr>
                <w:rFonts w:ascii="Times New Roman" w:hAnsi="Times New Roman"/>
                <w:color w:val="000000"/>
                <w:sz w:val="28"/>
                <w:szCs w:val="28"/>
                <w:lang w:val="ro-RO"/>
              </w:rPr>
              <w:t xml:space="preserve">– comercializarea producției </w:t>
            </w:r>
            <w:r w:rsidRPr="00BA6EAF">
              <w:rPr>
                <w:rFonts w:ascii="Times New Roman" w:hAnsi="Times New Roman"/>
                <w:sz w:val="28"/>
                <w:szCs w:val="28"/>
                <w:lang w:val="ro-RO"/>
              </w:rPr>
              <w:t>membrilor (integrale sau a unei părți) doar prin intermediul grupului</w:t>
            </w:r>
            <w:r w:rsidR="00B5783E">
              <w:rPr>
                <w:rFonts w:ascii="Times New Roman" w:hAnsi="Times New Roman"/>
                <w:sz w:val="28"/>
                <w:szCs w:val="28"/>
                <w:lang w:val="ro-RO"/>
              </w:rPr>
              <w:t>,</w:t>
            </w:r>
            <w:r w:rsidRPr="00BA6EAF">
              <w:rPr>
                <w:rFonts w:ascii="Times New Roman" w:hAnsi="Times New Roman"/>
                <w:sz w:val="28"/>
                <w:szCs w:val="28"/>
                <w:lang w:val="ro-RO"/>
              </w:rPr>
              <w:t xml:space="preserve"> </w:t>
            </w:r>
            <w:r w:rsidRPr="00BA6EAF">
              <w:rPr>
                <w:rFonts w:ascii="Times New Roman" w:hAnsi="Times New Roman"/>
                <w:i/>
                <w:sz w:val="28"/>
                <w:szCs w:val="28"/>
                <w:lang w:val="ro-RO"/>
              </w:rPr>
              <w:t xml:space="preserve">și promovarea tehnologiilor de cultivare și a practicilor care nu dăunează mediului înconjurător, </w:t>
            </w:r>
            <w:r w:rsidRPr="00BA6EAF">
              <w:rPr>
                <w:rFonts w:ascii="Times New Roman" w:hAnsi="Times New Roman"/>
                <w:sz w:val="28"/>
                <w:szCs w:val="28"/>
                <w:lang w:val="ro-RO"/>
              </w:rPr>
              <w:t>obiectiv</w:t>
            </w:r>
            <w:r w:rsidR="00EC75ED">
              <w:rPr>
                <w:rFonts w:ascii="Times New Roman" w:hAnsi="Times New Roman"/>
                <w:sz w:val="28"/>
                <w:szCs w:val="28"/>
                <w:lang w:val="ro-RO"/>
              </w:rPr>
              <w:t>ul</w:t>
            </w:r>
            <w:r w:rsidRPr="00BA6EAF">
              <w:rPr>
                <w:rFonts w:ascii="Times New Roman" w:hAnsi="Times New Roman"/>
                <w:sz w:val="28"/>
                <w:szCs w:val="28"/>
                <w:lang w:val="ro-RO"/>
              </w:rPr>
              <w:t xml:space="preserve"> fiind în conformitate cu tendințele actuale de desfășurare a activităților de producție, care să urmărească protejarea și conservarea mediului ambiant.</w:t>
            </w:r>
          </w:p>
          <w:p w:rsidR="00BA6EAF" w:rsidRDefault="00BA6EAF" w:rsidP="00EC75ED">
            <w:pPr>
              <w:tabs>
                <w:tab w:val="left" w:pos="884"/>
                <w:tab w:val="left" w:pos="1196"/>
              </w:tabs>
              <w:spacing w:after="0"/>
              <w:jc w:val="both"/>
              <w:rPr>
                <w:rFonts w:ascii="Times New Roman" w:eastAsia="Calibri" w:hAnsi="Times New Roman"/>
                <w:sz w:val="28"/>
                <w:szCs w:val="28"/>
                <w:lang w:val="ro-RO"/>
              </w:rPr>
            </w:pPr>
            <w:r w:rsidRPr="00BA6EAF">
              <w:rPr>
                <w:rFonts w:ascii="Times New Roman" w:eastAsia="Calibri" w:hAnsi="Times New Roman"/>
                <w:sz w:val="28"/>
                <w:szCs w:val="28"/>
                <w:lang w:val="ro-RO"/>
              </w:rPr>
              <w:t xml:space="preserve">În vederea excluderii interpretării eronate a sensului de </w:t>
            </w:r>
            <w:r w:rsidRPr="00BA6EAF">
              <w:rPr>
                <w:rFonts w:ascii="Times New Roman" w:eastAsia="Calibri" w:hAnsi="Times New Roman"/>
                <w:i/>
                <w:sz w:val="28"/>
                <w:szCs w:val="28"/>
                <w:lang w:val="ro-RO"/>
              </w:rPr>
              <w:t>grup de produse omogene</w:t>
            </w:r>
            <w:r w:rsidRPr="00BA6EAF">
              <w:rPr>
                <w:rFonts w:ascii="Times New Roman" w:eastAsia="Calibri" w:hAnsi="Times New Roman"/>
                <w:sz w:val="28"/>
                <w:szCs w:val="28"/>
                <w:lang w:val="ro-RO"/>
              </w:rPr>
              <w:t xml:space="preserve">, din întreg textul legii a fost exclus cuvântul </w:t>
            </w:r>
            <w:r w:rsidRPr="00BA6EAF">
              <w:rPr>
                <w:rFonts w:ascii="Times New Roman" w:eastAsia="Calibri" w:hAnsi="Times New Roman"/>
                <w:i/>
                <w:sz w:val="28"/>
                <w:szCs w:val="28"/>
                <w:lang w:val="ro-RO"/>
              </w:rPr>
              <w:t>omogen</w:t>
            </w:r>
            <w:r w:rsidRPr="00BA6EAF">
              <w:rPr>
                <w:rFonts w:ascii="Times New Roman" w:eastAsia="Calibri" w:hAnsi="Times New Roman"/>
                <w:sz w:val="28"/>
                <w:szCs w:val="28"/>
                <w:lang w:val="ro-RO"/>
              </w:rPr>
              <w:t>, iar pentru a clarifica pentru care grupe de produse se pot asocia producătorii agricoli, art.14 din lege a fost expus într-o redacție nouă, fiind structurat pe grupe de produse.</w:t>
            </w:r>
          </w:p>
          <w:p w:rsidR="00F97F3A" w:rsidRPr="00B47089" w:rsidRDefault="00F97F3A" w:rsidP="00EC75ED">
            <w:pPr>
              <w:tabs>
                <w:tab w:val="left" w:pos="884"/>
                <w:tab w:val="left" w:pos="1196"/>
              </w:tabs>
              <w:spacing w:after="0"/>
              <w:jc w:val="both"/>
              <w:rPr>
                <w:rFonts w:ascii="Times New Roman" w:eastAsia="Calibri" w:hAnsi="Times New Roman"/>
                <w:sz w:val="28"/>
                <w:szCs w:val="28"/>
                <w:lang w:val="ro-RO"/>
              </w:rPr>
            </w:pPr>
            <w:r w:rsidRPr="00B47089">
              <w:rPr>
                <w:rFonts w:ascii="Times New Roman" w:eastAsia="Calibri" w:hAnsi="Times New Roman"/>
                <w:sz w:val="28"/>
                <w:szCs w:val="28"/>
                <w:lang w:val="ro-RO"/>
              </w:rPr>
              <w:t>În scopul concretizării unor competențe atribuite Agenției de Intervenție și Plăți pentru Agricultură, la articolul 6, alin.(2), litera e) a fost expusă într-o redacție nouă, fiind completate atribuțiile Agenției de Intervenție și Plăți pentru Agricultură</w:t>
            </w:r>
            <w:r w:rsidR="00FF67ED" w:rsidRPr="00B47089">
              <w:rPr>
                <w:rFonts w:ascii="Times New Roman" w:eastAsia="Calibri" w:hAnsi="Times New Roman"/>
                <w:sz w:val="28"/>
                <w:szCs w:val="28"/>
                <w:lang w:val="ro-RO"/>
              </w:rPr>
              <w:t>.</w:t>
            </w:r>
          </w:p>
          <w:p w:rsidR="00BA6EAF" w:rsidRPr="00BA6EAF" w:rsidRDefault="00BA6EAF" w:rsidP="00EC75ED">
            <w:pPr>
              <w:tabs>
                <w:tab w:val="left" w:pos="884"/>
                <w:tab w:val="left" w:pos="1196"/>
              </w:tabs>
              <w:spacing w:after="0"/>
              <w:jc w:val="both"/>
              <w:rPr>
                <w:rFonts w:ascii="Times New Roman" w:eastAsia="Calibri" w:hAnsi="Times New Roman"/>
                <w:sz w:val="28"/>
                <w:szCs w:val="28"/>
                <w:lang w:val="ro-RO"/>
              </w:rPr>
            </w:pPr>
            <w:r w:rsidRPr="00BA6EAF">
              <w:rPr>
                <w:rFonts w:ascii="Times New Roman" w:eastAsia="Calibri" w:hAnsi="Times New Roman"/>
                <w:sz w:val="28"/>
                <w:szCs w:val="28"/>
                <w:lang w:val="ro-RO"/>
              </w:rPr>
              <w:t>Titlul Capitolului II a fost redenumit pentru a expune clar și consecutiv procedurile pe care le implică crearea unui grup de producători agricoli.</w:t>
            </w:r>
          </w:p>
          <w:p w:rsidR="00BA6EAF" w:rsidRPr="00BA6EAF" w:rsidRDefault="00BA6EAF" w:rsidP="00EC75ED">
            <w:pPr>
              <w:tabs>
                <w:tab w:val="left" w:pos="884"/>
                <w:tab w:val="left" w:pos="1196"/>
              </w:tabs>
              <w:spacing w:after="0"/>
              <w:jc w:val="both"/>
              <w:rPr>
                <w:rFonts w:ascii="Times New Roman" w:hAnsi="Times New Roman"/>
                <w:sz w:val="28"/>
                <w:szCs w:val="28"/>
                <w:lang w:val="ro-RO"/>
              </w:rPr>
            </w:pPr>
            <w:r w:rsidRPr="00BA6EAF">
              <w:rPr>
                <w:rFonts w:ascii="Times New Roman" w:eastAsia="Calibri" w:hAnsi="Times New Roman"/>
                <w:sz w:val="28"/>
                <w:szCs w:val="28"/>
                <w:lang w:val="ro-RO"/>
              </w:rPr>
              <w:t xml:space="preserve">Articolele 9 și 10 au fost completate cu prevederi ce țin de obligațiile membrilor grupurilor și care trebuie expuse în actele de constituire, în vederea asigurării </w:t>
            </w:r>
            <w:r w:rsidRPr="00BA6EAF">
              <w:rPr>
                <w:rFonts w:ascii="Times New Roman" w:eastAsia="Calibri" w:hAnsi="Times New Roman"/>
                <w:sz w:val="28"/>
                <w:szCs w:val="28"/>
                <w:lang w:val="ro-RO"/>
              </w:rPr>
              <w:lastRenderedPageBreak/>
              <w:t xml:space="preserve">sustenabilității și responsabilității membrilor față de grup. Aceste prevederi se referă la </w:t>
            </w:r>
            <w:r w:rsidRPr="00BA6EAF">
              <w:rPr>
                <w:rFonts w:ascii="Times New Roman" w:hAnsi="Times New Roman"/>
                <w:sz w:val="28"/>
                <w:szCs w:val="28"/>
                <w:lang w:val="ro-RO"/>
              </w:rPr>
              <w:t>angajamentul membrilor de a achita contribuțiile financiare necesare pentru finanțarea grupului de producători, suportarea riscurilor asociate în rezultatul acordării sprijinului financiar.</w:t>
            </w:r>
          </w:p>
          <w:p w:rsidR="00BA6EAF" w:rsidRPr="00BA6EAF" w:rsidRDefault="00EC75ED" w:rsidP="00EC75ED">
            <w:pPr>
              <w:spacing w:after="0"/>
              <w:jc w:val="both"/>
              <w:rPr>
                <w:rFonts w:ascii="Times New Roman" w:hAnsi="Times New Roman"/>
                <w:color w:val="000000"/>
                <w:sz w:val="28"/>
                <w:szCs w:val="28"/>
                <w:lang w:val="ro-RO"/>
              </w:rPr>
            </w:pPr>
            <w:r>
              <w:rPr>
                <w:rFonts w:ascii="Times New Roman" w:eastAsia="Calibri" w:hAnsi="Times New Roman"/>
                <w:sz w:val="28"/>
                <w:szCs w:val="28"/>
                <w:lang w:val="ro-RO"/>
              </w:rPr>
              <w:t>De asemenea, l</w:t>
            </w:r>
            <w:r w:rsidR="00BA6EAF" w:rsidRPr="00BA6EAF">
              <w:rPr>
                <w:rFonts w:ascii="Times New Roman" w:eastAsia="Calibri" w:hAnsi="Times New Roman"/>
                <w:sz w:val="28"/>
                <w:szCs w:val="28"/>
                <w:lang w:val="ro-RO"/>
              </w:rPr>
              <w:t xml:space="preserve">egea prevede faptul că recunoașterea grupurilor de producători se va efectua conform unor proceduri speciale, însă nu specifică cine este responsabil pentru elaborarea și aprobarea acestor proceduri. Prin completarea propusă la art.11 cu un alineat nou, se prevede că </w:t>
            </w:r>
            <w:r w:rsidR="00BA6EAF" w:rsidRPr="00BA6EAF">
              <w:rPr>
                <w:rFonts w:ascii="Times New Roman" w:hAnsi="Times New Roman"/>
                <w:i/>
                <w:color w:val="000000"/>
                <w:sz w:val="28"/>
                <w:szCs w:val="28"/>
                <w:lang w:val="ro-RO"/>
              </w:rPr>
              <w:t>componența Comisiei de recunoaștere, condițiile de organizare și funcționare, precum și procedura de recunoaștere a grupurilor de producători</w:t>
            </w:r>
            <w:r w:rsidR="00827942">
              <w:rPr>
                <w:rFonts w:ascii="Times New Roman" w:hAnsi="Times New Roman"/>
                <w:i/>
                <w:color w:val="000000"/>
                <w:sz w:val="28"/>
                <w:szCs w:val="28"/>
                <w:lang w:val="ro-RO"/>
              </w:rPr>
              <w:t xml:space="preserve"> vor fi reglementate printr-un r</w:t>
            </w:r>
            <w:r w:rsidR="00BA6EAF" w:rsidRPr="00BA6EAF">
              <w:rPr>
                <w:rFonts w:ascii="Times New Roman" w:hAnsi="Times New Roman"/>
                <w:i/>
                <w:color w:val="000000"/>
                <w:sz w:val="28"/>
                <w:szCs w:val="28"/>
                <w:lang w:val="ro-RO"/>
              </w:rPr>
              <w:t>egulament, aprobat prin Ordinul Minist</w:t>
            </w:r>
            <w:r w:rsidR="00827942">
              <w:rPr>
                <w:rFonts w:ascii="Times New Roman" w:hAnsi="Times New Roman"/>
                <w:i/>
                <w:color w:val="000000"/>
                <w:sz w:val="28"/>
                <w:szCs w:val="28"/>
                <w:lang w:val="ro-RO"/>
              </w:rPr>
              <w:t>e</w:t>
            </w:r>
            <w:r w:rsidR="00BA6EAF" w:rsidRPr="00BA6EAF">
              <w:rPr>
                <w:rFonts w:ascii="Times New Roman" w:hAnsi="Times New Roman"/>
                <w:i/>
                <w:color w:val="000000"/>
                <w:sz w:val="28"/>
                <w:szCs w:val="28"/>
                <w:lang w:val="ro-RO"/>
              </w:rPr>
              <w:t>rului agriculturii, dezvoltării regionale și mediului</w:t>
            </w:r>
            <w:r w:rsidR="00BA6EAF" w:rsidRPr="00BA6EAF">
              <w:rPr>
                <w:rFonts w:ascii="Times New Roman" w:hAnsi="Times New Roman"/>
                <w:color w:val="000000"/>
                <w:sz w:val="28"/>
                <w:szCs w:val="28"/>
                <w:lang w:val="ro-RO"/>
              </w:rPr>
              <w:t>. Astfel, această carență din lege a fost eliminată.</w:t>
            </w:r>
          </w:p>
          <w:p w:rsidR="00BA6EAF" w:rsidRPr="00BA6EAF" w:rsidRDefault="00BA6EAF" w:rsidP="00EC75ED">
            <w:pPr>
              <w:spacing w:after="0"/>
              <w:ind w:firstLine="720"/>
              <w:jc w:val="both"/>
              <w:rPr>
                <w:rFonts w:ascii="Times New Roman" w:hAnsi="Times New Roman"/>
                <w:color w:val="000000"/>
                <w:sz w:val="28"/>
                <w:szCs w:val="28"/>
                <w:lang w:val="ro-RO"/>
              </w:rPr>
            </w:pPr>
            <w:r w:rsidRPr="00BA6EAF">
              <w:rPr>
                <w:rFonts w:ascii="Times New Roman" w:hAnsi="Times New Roman"/>
                <w:sz w:val="28"/>
                <w:szCs w:val="28"/>
                <w:lang w:val="ro-MO"/>
              </w:rPr>
              <w:t xml:space="preserve">Ținând </w:t>
            </w:r>
            <w:r w:rsidRPr="00BA6EAF">
              <w:rPr>
                <w:rFonts w:ascii="Times New Roman" w:hAnsi="Times New Roman"/>
                <w:sz w:val="28"/>
                <w:szCs w:val="28"/>
                <w:lang w:val="ro-RO"/>
              </w:rPr>
              <w:t>cont de faptul</w:t>
            </w:r>
            <w:r w:rsidR="00EC75ED">
              <w:rPr>
                <w:rFonts w:ascii="Times New Roman" w:hAnsi="Times New Roman"/>
                <w:sz w:val="28"/>
                <w:szCs w:val="28"/>
                <w:lang w:val="ro-RO"/>
              </w:rPr>
              <w:t>,</w:t>
            </w:r>
            <w:r w:rsidRPr="00BA6EAF">
              <w:rPr>
                <w:rFonts w:ascii="Times New Roman" w:hAnsi="Times New Roman"/>
                <w:sz w:val="28"/>
                <w:szCs w:val="28"/>
                <w:lang w:val="ro-RO"/>
              </w:rPr>
              <w:t xml:space="preserve"> că Agenția de Intervenție și Plăți pentru Agricultură este abilitată cu dreptul de aviza</w:t>
            </w:r>
            <w:r w:rsidR="00EC75ED">
              <w:rPr>
                <w:rFonts w:ascii="Times New Roman" w:hAnsi="Times New Roman"/>
                <w:sz w:val="28"/>
                <w:szCs w:val="28"/>
                <w:lang w:val="ro-RO"/>
              </w:rPr>
              <w:t>re a</w:t>
            </w:r>
            <w:r w:rsidRPr="00BA6EAF">
              <w:rPr>
                <w:rFonts w:ascii="Times New Roman" w:hAnsi="Times New Roman"/>
                <w:sz w:val="28"/>
                <w:szCs w:val="28"/>
                <w:lang w:val="ro-RO"/>
              </w:rPr>
              <w:t xml:space="preserve"> planul</w:t>
            </w:r>
            <w:r w:rsidR="00EC75ED">
              <w:rPr>
                <w:rFonts w:ascii="Times New Roman" w:hAnsi="Times New Roman"/>
                <w:sz w:val="28"/>
                <w:szCs w:val="28"/>
                <w:lang w:val="ro-RO"/>
              </w:rPr>
              <w:t>ui</w:t>
            </w:r>
            <w:r w:rsidRPr="00BA6EAF">
              <w:rPr>
                <w:rFonts w:ascii="Times New Roman" w:hAnsi="Times New Roman"/>
                <w:sz w:val="28"/>
                <w:szCs w:val="28"/>
                <w:lang w:val="ro-RO"/>
              </w:rPr>
              <w:t xml:space="preserve"> de recunoaștere a grupurilor de producători agricoli, respectiv, această instituție trebuie să fie abilitată și cu dreptul de efectuare a verificărilor și monitorizărilor ce țin de respectarea implementării </w:t>
            </w:r>
            <w:r w:rsidR="00EC75ED">
              <w:rPr>
                <w:rFonts w:ascii="Times New Roman" w:hAnsi="Times New Roman"/>
                <w:sz w:val="28"/>
                <w:szCs w:val="28"/>
                <w:lang w:val="ro-RO"/>
              </w:rPr>
              <w:t xml:space="preserve">acestor </w:t>
            </w:r>
            <w:r w:rsidRPr="00BA6EAF">
              <w:rPr>
                <w:rFonts w:ascii="Times New Roman" w:hAnsi="Times New Roman"/>
                <w:sz w:val="28"/>
                <w:szCs w:val="28"/>
                <w:lang w:val="ro-RO"/>
              </w:rPr>
              <w:t xml:space="preserve">planuri. Reglementările generale referitoare la efectuarea verificărilor și monitorizărilor au fost legiferate prin includerea a două articole noi </w:t>
            </w:r>
            <w:r w:rsidR="00827942" w:rsidRPr="00B47089">
              <w:rPr>
                <w:rFonts w:ascii="Times New Roman" w:hAnsi="Times New Roman"/>
                <w:sz w:val="28"/>
                <w:szCs w:val="28"/>
                <w:lang w:val="ro-RO"/>
              </w:rPr>
              <w:t>12</w:t>
            </w:r>
            <w:r w:rsidRPr="00B47089">
              <w:rPr>
                <w:rFonts w:ascii="Times New Roman" w:hAnsi="Times New Roman"/>
                <w:sz w:val="28"/>
                <w:szCs w:val="28"/>
                <w:vertAlign w:val="superscript"/>
                <w:lang w:val="ro-RO"/>
              </w:rPr>
              <w:t xml:space="preserve">1 </w:t>
            </w:r>
            <w:r w:rsidRPr="00B47089">
              <w:rPr>
                <w:rFonts w:ascii="Times New Roman" w:hAnsi="Times New Roman"/>
                <w:sz w:val="28"/>
                <w:szCs w:val="28"/>
                <w:lang w:val="ro-RO"/>
              </w:rPr>
              <w:t>și 15</w:t>
            </w:r>
            <w:r w:rsidR="00827942" w:rsidRPr="00B47089">
              <w:rPr>
                <w:rFonts w:ascii="Times New Roman" w:hAnsi="Times New Roman"/>
                <w:sz w:val="28"/>
                <w:szCs w:val="28"/>
                <w:vertAlign w:val="superscript"/>
                <w:lang w:val="ro-RO"/>
              </w:rPr>
              <w:t>1</w:t>
            </w:r>
            <w:r w:rsidRPr="00BA6EAF">
              <w:rPr>
                <w:rFonts w:ascii="Times New Roman" w:hAnsi="Times New Roman"/>
                <w:color w:val="000000"/>
                <w:sz w:val="28"/>
                <w:szCs w:val="28"/>
                <w:lang w:val="ro-RO"/>
              </w:rPr>
              <w:t>, urmând ca procedurile de efectuare a acestora să fie elaborate și aprobate de Agenție.</w:t>
            </w:r>
          </w:p>
          <w:p w:rsidR="00BA6EAF" w:rsidRPr="00BA6EAF" w:rsidRDefault="00BA6EAF" w:rsidP="00EC75ED">
            <w:pPr>
              <w:tabs>
                <w:tab w:val="left" w:pos="884"/>
                <w:tab w:val="left" w:pos="1196"/>
              </w:tabs>
              <w:spacing w:after="0"/>
              <w:ind w:firstLine="540"/>
              <w:jc w:val="both"/>
              <w:rPr>
                <w:rFonts w:ascii="Times New Roman" w:eastAsia="Calibri" w:hAnsi="Times New Roman"/>
                <w:sz w:val="28"/>
                <w:szCs w:val="28"/>
                <w:lang w:val="ro-RO"/>
              </w:rPr>
            </w:pPr>
            <w:r w:rsidRPr="00BA6EAF">
              <w:rPr>
                <w:rFonts w:ascii="Times New Roman" w:eastAsia="Calibri" w:hAnsi="Times New Roman"/>
                <w:sz w:val="28"/>
                <w:szCs w:val="28"/>
                <w:lang w:val="ro-RO"/>
              </w:rPr>
              <w:t>Totodată, au fost detaliate reglementările referitoare la asociațiile grupurilor de producători agricoli</w:t>
            </w:r>
            <w:r w:rsidR="00EC75ED">
              <w:rPr>
                <w:rFonts w:ascii="Times New Roman" w:eastAsia="Calibri" w:hAnsi="Times New Roman"/>
                <w:sz w:val="28"/>
                <w:szCs w:val="28"/>
                <w:lang w:val="ro-RO"/>
              </w:rPr>
              <w:t xml:space="preserve">, fiind </w:t>
            </w:r>
            <w:r w:rsidRPr="00BA6EAF">
              <w:rPr>
                <w:rFonts w:ascii="Times New Roman" w:eastAsia="Calibri" w:hAnsi="Times New Roman"/>
                <w:sz w:val="28"/>
                <w:szCs w:val="28"/>
                <w:lang w:val="ro-RO"/>
              </w:rPr>
              <w:t xml:space="preserve">stabilit că acestea pot fi create de minimum 5 grupuri de producători, </w:t>
            </w:r>
            <w:r w:rsidR="00EC75ED">
              <w:rPr>
                <w:rFonts w:ascii="Times New Roman" w:eastAsia="Calibri" w:hAnsi="Times New Roman"/>
                <w:sz w:val="28"/>
                <w:szCs w:val="28"/>
                <w:lang w:val="ro-RO"/>
              </w:rPr>
              <w:t xml:space="preserve">cu </w:t>
            </w:r>
            <w:r w:rsidRPr="00BA6EAF">
              <w:rPr>
                <w:rFonts w:ascii="Times New Roman" w:eastAsia="Calibri" w:hAnsi="Times New Roman"/>
                <w:sz w:val="28"/>
                <w:szCs w:val="28"/>
                <w:lang w:val="ro-RO"/>
              </w:rPr>
              <w:t>specifica</w:t>
            </w:r>
            <w:r w:rsidR="00EC75ED">
              <w:rPr>
                <w:rFonts w:ascii="Times New Roman" w:eastAsia="Calibri" w:hAnsi="Times New Roman"/>
                <w:sz w:val="28"/>
                <w:szCs w:val="28"/>
                <w:lang w:val="ro-RO"/>
              </w:rPr>
              <w:t>rea</w:t>
            </w:r>
            <w:r w:rsidRPr="00BA6EAF">
              <w:rPr>
                <w:rFonts w:ascii="Times New Roman" w:eastAsia="Calibri" w:hAnsi="Times New Roman"/>
                <w:sz w:val="28"/>
                <w:szCs w:val="28"/>
                <w:lang w:val="ro-RO"/>
              </w:rPr>
              <w:t xml:space="preserve"> obiectivel</w:t>
            </w:r>
            <w:r w:rsidR="00EC75ED">
              <w:rPr>
                <w:rFonts w:ascii="Times New Roman" w:eastAsia="Calibri" w:hAnsi="Times New Roman"/>
                <w:sz w:val="28"/>
                <w:szCs w:val="28"/>
                <w:lang w:val="ro-RO"/>
              </w:rPr>
              <w:t>or</w:t>
            </w:r>
            <w:r w:rsidRPr="00BA6EAF">
              <w:rPr>
                <w:rFonts w:ascii="Times New Roman" w:eastAsia="Calibri" w:hAnsi="Times New Roman"/>
                <w:sz w:val="28"/>
                <w:szCs w:val="28"/>
                <w:lang w:val="ro-RO"/>
              </w:rPr>
              <w:t xml:space="preserve"> pentru care se creează asociațiile.</w:t>
            </w:r>
          </w:p>
          <w:p w:rsidR="00BA6EAF" w:rsidRPr="00BA6EAF" w:rsidRDefault="00BA6EAF" w:rsidP="00EC75ED">
            <w:pPr>
              <w:tabs>
                <w:tab w:val="left" w:pos="884"/>
                <w:tab w:val="left" w:pos="1196"/>
              </w:tabs>
              <w:spacing w:after="0"/>
              <w:ind w:firstLine="540"/>
              <w:jc w:val="both"/>
              <w:rPr>
                <w:rFonts w:ascii="Times New Roman" w:eastAsia="Calibri" w:hAnsi="Times New Roman"/>
                <w:sz w:val="28"/>
                <w:szCs w:val="28"/>
                <w:lang w:val="ro-RO"/>
              </w:rPr>
            </w:pPr>
            <w:r w:rsidRPr="00BA6EAF">
              <w:rPr>
                <w:rFonts w:ascii="Times New Roman" w:eastAsia="Calibri" w:hAnsi="Times New Roman"/>
                <w:sz w:val="28"/>
                <w:szCs w:val="28"/>
                <w:lang w:val="ro-RO"/>
              </w:rPr>
              <w:t>Urmare a politicilor statului, în vederea promovării grupurilor de producători agricoli, în special, și a agriculturii, în general, s-a majorat cuantumul procentual al sprijinului financiar acordat de către stat grupurilor de producători agricoli, fiind expus în acest sens alin.(4) din art.18 într-o nouă redacție.</w:t>
            </w:r>
          </w:p>
          <w:p w:rsidR="00BA6EAF" w:rsidRPr="00BA6EAF" w:rsidRDefault="00BA6EAF" w:rsidP="00EC75ED">
            <w:pPr>
              <w:tabs>
                <w:tab w:val="left" w:pos="884"/>
                <w:tab w:val="left" w:pos="1196"/>
              </w:tabs>
              <w:spacing w:after="0"/>
              <w:ind w:firstLine="540"/>
              <w:jc w:val="both"/>
              <w:rPr>
                <w:rFonts w:ascii="Times New Roman" w:eastAsia="Calibri" w:hAnsi="Times New Roman"/>
                <w:sz w:val="28"/>
                <w:szCs w:val="28"/>
                <w:lang w:val="ro-RO"/>
              </w:rPr>
            </w:pPr>
            <w:r w:rsidRPr="00BA6EAF">
              <w:rPr>
                <w:rFonts w:ascii="Times New Roman" w:eastAsia="Calibri" w:hAnsi="Times New Roman"/>
                <w:sz w:val="28"/>
                <w:szCs w:val="28"/>
                <w:lang w:val="ro-RO"/>
              </w:rPr>
              <w:t>Practica ne demonstrează</w:t>
            </w:r>
            <w:r w:rsidR="00EC75ED">
              <w:rPr>
                <w:rFonts w:ascii="Times New Roman" w:eastAsia="Calibri" w:hAnsi="Times New Roman"/>
                <w:sz w:val="28"/>
                <w:szCs w:val="28"/>
                <w:lang w:val="ro-RO"/>
              </w:rPr>
              <w:t>,</w:t>
            </w:r>
            <w:r w:rsidRPr="00BA6EAF">
              <w:rPr>
                <w:rFonts w:ascii="Times New Roman" w:eastAsia="Calibri" w:hAnsi="Times New Roman"/>
                <w:sz w:val="28"/>
                <w:szCs w:val="28"/>
                <w:lang w:val="ro-RO"/>
              </w:rPr>
              <w:t xml:space="preserve"> că unele grupuri de producători agricoli nu respectă totdeauna cerințele planului de recunoaștere. Pentru a reduce acest fenomen, articolul 20 se completează cu alineatul (4</w:t>
            </w:r>
            <w:r w:rsidRPr="00BA6EAF">
              <w:rPr>
                <w:rFonts w:ascii="Times New Roman" w:eastAsia="Calibri" w:hAnsi="Times New Roman"/>
                <w:sz w:val="28"/>
                <w:szCs w:val="28"/>
                <w:vertAlign w:val="superscript"/>
                <w:lang w:val="ro-RO"/>
              </w:rPr>
              <w:t>1</w:t>
            </w:r>
            <w:r w:rsidRPr="00BA6EAF">
              <w:rPr>
                <w:rFonts w:ascii="Times New Roman" w:eastAsia="Calibri" w:hAnsi="Times New Roman"/>
                <w:sz w:val="28"/>
                <w:szCs w:val="28"/>
                <w:lang w:val="ro-RO"/>
              </w:rPr>
              <w:t>), conform căruia Agenția poate aplica sancțiuni grupului de producători agricoli, acestea fiind calculate în raport procentual din valoarea sprijinului financiar acordat. Pînă în prezent, nu a fost reglementată o soluție eficientă pentru sancționarea acelor grupuri, ce nu respectă planurile de recunoaștere, însă au beneficiat de sprijin financiar. Prin completările propuse, această carență a fost eliminată.</w:t>
            </w:r>
          </w:p>
        </w:tc>
      </w:tr>
      <w:tr w:rsidR="00BA6EAF" w:rsidRPr="00BA6EAF" w:rsidTr="00D309CD">
        <w:tc>
          <w:tcPr>
            <w:tcW w:w="5000" w:type="pct"/>
          </w:tcPr>
          <w:p w:rsidR="00BA6EAF" w:rsidRPr="00BA6EAF" w:rsidRDefault="00854D5E" w:rsidP="00EC75ED">
            <w:pPr>
              <w:tabs>
                <w:tab w:val="left" w:pos="884"/>
                <w:tab w:val="left" w:pos="1196"/>
              </w:tabs>
              <w:spacing w:after="0"/>
              <w:jc w:val="both"/>
              <w:rPr>
                <w:rFonts w:ascii="Times New Roman" w:eastAsia="Calibri" w:hAnsi="Times New Roman"/>
                <w:b/>
                <w:sz w:val="28"/>
                <w:szCs w:val="28"/>
                <w:lang w:val="ro-MO" w:eastAsia="ru-RU"/>
              </w:rPr>
            </w:pPr>
            <w:r>
              <w:rPr>
                <w:rFonts w:ascii="Times New Roman" w:eastAsia="Calibri" w:hAnsi="Times New Roman"/>
                <w:b/>
                <w:sz w:val="28"/>
                <w:szCs w:val="28"/>
                <w:lang w:val="ro-MO" w:eastAsia="ru-RU"/>
              </w:rPr>
              <w:lastRenderedPageBreak/>
              <w:t>5.</w:t>
            </w:r>
            <w:r w:rsidR="00BA6EAF" w:rsidRPr="00BA6EAF">
              <w:rPr>
                <w:rFonts w:ascii="Times New Roman" w:eastAsia="Calibri" w:hAnsi="Times New Roman"/>
                <w:b/>
                <w:sz w:val="28"/>
                <w:szCs w:val="28"/>
                <w:lang w:val="ro-MO" w:eastAsia="ru-RU"/>
              </w:rPr>
              <w:t>Fundamentarea economico-financiară</w:t>
            </w:r>
          </w:p>
        </w:tc>
      </w:tr>
      <w:tr w:rsidR="00BA6EAF" w:rsidRPr="00BA6EAF" w:rsidTr="00D309CD">
        <w:tc>
          <w:tcPr>
            <w:tcW w:w="5000" w:type="pct"/>
          </w:tcPr>
          <w:p w:rsidR="00BA6EAF" w:rsidRPr="00BA6EAF" w:rsidRDefault="00BA6EAF" w:rsidP="00EC75ED">
            <w:pPr>
              <w:spacing w:after="0"/>
              <w:jc w:val="both"/>
              <w:rPr>
                <w:rFonts w:ascii="Times New Roman" w:hAnsi="Times New Roman"/>
                <w:color w:val="000000"/>
                <w:sz w:val="28"/>
                <w:szCs w:val="28"/>
                <w:lang w:val="ro-RO"/>
              </w:rPr>
            </w:pPr>
            <w:r w:rsidRPr="00BA6EAF">
              <w:rPr>
                <w:rFonts w:ascii="Times New Roman" w:hAnsi="Times New Roman"/>
                <w:sz w:val="28"/>
                <w:szCs w:val="28"/>
                <w:lang w:val="ro-RO"/>
              </w:rPr>
              <w:t>Implementarea acestui proiect nu necesită alocarea resurselor financiare suplimentare din bugetul de stat.</w:t>
            </w:r>
          </w:p>
        </w:tc>
      </w:tr>
      <w:tr w:rsidR="00BA6EAF" w:rsidRPr="00BA6EAF" w:rsidTr="00D309CD">
        <w:tc>
          <w:tcPr>
            <w:tcW w:w="5000" w:type="pct"/>
          </w:tcPr>
          <w:p w:rsidR="00BA6EAF" w:rsidRPr="00BA6EAF" w:rsidRDefault="00BA6EAF" w:rsidP="00EC75ED">
            <w:pPr>
              <w:tabs>
                <w:tab w:val="left" w:pos="884"/>
                <w:tab w:val="left" w:pos="1196"/>
              </w:tabs>
              <w:spacing w:after="0"/>
              <w:jc w:val="both"/>
              <w:rPr>
                <w:rFonts w:ascii="Times New Roman" w:eastAsia="Calibri" w:hAnsi="Times New Roman"/>
                <w:b/>
                <w:sz w:val="28"/>
                <w:szCs w:val="28"/>
                <w:lang w:val="ro-MO" w:eastAsia="ru-RU"/>
              </w:rPr>
            </w:pPr>
            <w:r w:rsidRPr="00BA6EAF">
              <w:rPr>
                <w:rFonts w:ascii="Times New Roman" w:eastAsia="Calibri" w:hAnsi="Times New Roman"/>
                <w:b/>
                <w:sz w:val="28"/>
                <w:szCs w:val="28"/>
                <w:lang w:val="ro-MO" w:eastAsia="ru-RU"/>
              </w:rPr>
              <w:lastRenderedPageBreak/>
              <w:t>6. Modul de încorporare a actului în cadrul normativ în vigoare</w:t>
            </w:r>
          </w:p>
        </w:tc>
      </w:tr>
      <w:tr w:rsidR="00BA6EAF" w:rsidRPr="00BA6EAF" w:rsidTr="00D309CD">
        <w:tc>
          <w:tcPr>
            <w:tcW w:w="5000" w:type="pct"/>
          </w:tcPr>
          <w:p w:rsidR="00BA6EAF" w:rsidRPr="00BA6EAF" w:rsidRDefault="00BA6EAF" w:rsidP="00EC75ED">
            <w:pPr>
              <w:tabs>
                <w:tab w:val="left" w:pos="884"/>
                <w:tab w:val="left" w:pos="1196"/>
              </w:tabs>
              <w:spacing w:after="0"/>
              <w:jc w:val="both"/>
              <w:rPr>
                <w:rFonts w:ascii="Times New Roman" w:eastAsia="Calibri" w:hAnsi="Times New Roman"/>
                <w:sz w:val="28"/>
                <w:szCs w:val="28"/>
                <w:lang w:val="ro-RO"/>
              </w:rPr>
            </w:pPr>
            <w:r w:rsidRPr="00BA6EAF">
              <w:rPr>
                <w:rFonts w:ascii="Times New Roman" w:eastAsia="Calibri" w:hAnsi="Times New Roman"/>
                <w:sz w:val="28"/>
                <w:szCs w:val="28"/>
                <w:lang w:val="ro-RO"/>
              </w:rPr>
              <w:t xml:space="preserve">Adoptarea și punerea în aplicare a prevederilor proiectului nu impune necesitatea aprobării unor acte normative, iar pentru implementarea modificărilor vor fi elaborate proceduri interne instituționale. </w:t>
            </w:r>
          </w:p>
        </w:tc>
      </w:tr>
      <w:tr w:rsidR="00BA6EAF" w:rsidRPr="00BA6EAF" w:rsidTr="00D309CD">
        <w:tc>
          <w:tcPr>
            <w:tcW w:w="5000" w:type="pct"/>
          </w:tcPr>
          <w:p w:rsidR="00BA6EAF" w:rsidRPr="00BA6EAF" w:rsidRDefault="00BA6EAF" w:rsidP="00EC75ED">
            <w:pPr>
              <w:tabs>
                <w:tab w:val="left" w:pos="884"/>
                <w:tab w:val="left" w:pos="1196"/>
              </w:tabs>
              <w:spacing w:after="0"/>
              <w:jc w:val="both"/>
              <w:rPr>
                <w:rFonts w:ascii="Times New Roman" w:eastAsia="Calibri" w:hAnsi="Times New Roman"/>
                <w:b/>
                <w:sz w:val="28"/>
                <w:szCs w:val="28"/>
                <w:lang w:val="ro-MO" w:eastAsia="ru-RU"/>
              </w:rPr>
            </w:pPr>
            <w:r w:rsidRPr="00BA6EAF">
              <w:rPr>
                <w:rFonts w:ascii="Times New Roman" w:eastAsia="Calibri" w:hAnsi="Times New Roman"/>
                <w:b/>
                <w:sz w:val="28"/>
                <w:szCs w:val="28"/>
                <w:lang w:val="ro-MO" w:eastAsia="ru-RU"/>
              </w:rPr>
              <w:t>7. Avizarea şi consultarea publică a proiectului</w:t>
            </w:r>
          </w:p>
        </w:tc>
      </w:tr>
      <w:tr w:rsidR="00BA6EAF" w:rsidRPr="00BA6EAF" w:rsidTr="00D309CD">
        <w:tc>
          <w:tcPr>
            <w:tcW w:w="5000" w:type="pct"/>
          </w:tcPr>
          <w:p w:rsidR="00BA6EAF" w:rsidRPr="00BA6EAF" w:rsidRDefault="00BA6EAF" w:rsidP="00EC75ED">
            <w:pPr>
              <w:tabs>
                <w:tab w:val="left" w:pos="884"/>
                <w:tab w:val="left" w:pos="1196"/>
              </w:tabs>
              <w:spacing w:after="0"/>
              <w:jc w:val="both"/>
              <w:rPr>
                <w:rFonts w:ascii="Times New Roman" w:eastAsia="Calibri" w:hAnsi="Times New Roman"/>
                <w:sz w:val="28"/>
                <w:szCs w:val="28"/>
                <w:lang w:val="ro-RO"/>
              </w:rPr>
            </w:pPr>
            <w:r w:rsidRPr="00BA6EAF">
              <w:rPr>
                <w:rFonts w:ascii="Times New Roman" w:eastAsia="Calibri" w:hAnsi="Times New Roman"/>
                <w:sz w:val="28"/>
                <w:szCs w:val="28"/>
                <w:lang w:val="ro-RO"/>
              </w:rPr>
              <w:t>În conformitate cu prevederile Legii nr.100/2017 cu privire la actele normative și ale Regulamentului aprobat prin Hotărârea Guvernului nr. 610/2018, prezentul proiect se transmite Cancelariei de Stat pentru examinare și aprobare.</w:t>
            </w:r>
          </w:p>
          <w:p w:rsidR="00BA6EAF" w:rsidRPr="00BA6EAF" w:rsidRDefault="00BA6EAF" w:rsidP="00B47089">
            <w:pPr>
              <w:spacing w:after="0"/>
              <w:jc w:val="both"/>
              <w:rPr>
                <w:rFonts w:ascii="Times New Roman" w:eastAsia="Calibri" w:hAnsi="Times New Roman"/>
                <w:sz w:val="28"/>
                <w:szCs w:val="28"/>
                <w:lang w:val="ro-RO"/>
              </w:rPr>
            </w:pPr>
            <w:r w:rsidRPr="00BA6EAF">
              <w:rPr>
                <w:rFonts w:ascii="Times New Roman" w:eastAsia="Calibri" w:hAnsi="Times New Roman"/>
                <w:sz w:val="28"/>
                <w:szCs w:val="28"/>
                <w:lang w:val="ro-RO"/>
              </w:rPr>
              <w:t xml:space="preserve">Pentru asigurarea transparenței în procesul decizional, </w:t>
            </w:r>
            <w:r w:rsidRPr="00B47089">
              <w:rPr>
                <w:rFonts w:ascii="Times New Roman" w:eastAsia="Calibri" w:hAnsi="Times New Roman"/>
                <w:sz w:val="28"/>
                <w:szCs w:val="28"/>
                <w:lang w:val="ro-RO"/>
              </w:rPr>
              <w:t xml:space="preserve">proiectul elaborat </w:t>
            </w:r>
            <w:r w:rsidR="00B47089" w:rsidRPr="00B47089">
              <w:rPr>
                <w:rFonts w:ascii="Times New Roman" w:eastAsia="Calibri" w:hAnsi="Times New Roman"/>
                <w:sz w:val="28"/>
                <w:szCs w:val="28"/>
                <w:lang w:val="ro-RO"/>
              </w:rPr>
              <w:t>va</w:t>
            </w:r>
            <w:r w:rsidRPr="00B47089">
              <w:rPr>
                <w:rFonts w:ascii="Times New Roman" w:eastAsia="Calibri" w:hAnsi="Times New Roman"/>
                <w:sz w:val="28"/>
                <w:szCs w:val="28"/>
                <w:lang w:val="ro-RO"/>
              </w:rPr>
              <w:t xml:space="preserve"> </w:t>
            </w:r>
            <w:r w:rsidR="00B47089" w:rsidRPr="00B47089">
              <w:rPr>
                <w:rFonts w:ascii="Times New Roman" w:eastAsia="Calibri" w:hAnsi="Times New Roman"/>
                <w:sz w:val="28"/>
                <w:szCs w:val="28"/>
                <w:lang w:val="ro-RO"/>
              </w:rPr>
              <w:t>fi</w:t>
            </w:r>
            <w:r w:rsidRPr="00B47089">
              <w:rPr>
                <w:rFonts w:ascii="Times New Roman" w:eastAsia="Calibri" w:hAnsi="Times New Roman"/>
                <w:sz w:val="28"/>
                <w:szCs w:val="28"/>
                <w:lang w:val="ro-RO"/>
              </w:rPr>
              <w:t xml:space="preserve"> plasat pe site-ul oficial al MADRM</w:t>
            </w:r>
            <w:r w:rsidR="00086F43" w:rsidRPr="00B47089">
              <w:rPr>
                <w:rFonts w:ascii="Times New Roman" w:eastAsia="Calibri" w:hAnsi="Times New Roman"/>
                <w:sz w:val="28"/>
                <w:szCs w:val="28"/>
                <w:lang w:val="ro-RO"/>
              </w:rPr>
              <w:t>.</w:t>
            </w:r>
          </w:p>
        </w:tc>
      </w:tr>
      <w:tr w:rsidR="00BA6EAF" w:rsidRPr="00BA6EAF" w:rsidTr="00D309CD">
        <w:tc>
          <w:tcPr>
            <w:tcW w:w="5000" w:type="pct"/>
          </w:tcPr>
          <w:p w:rsidR="00BA6EAF" w:rsidRPr="00BA6EAF" w:rsidRDefault="00BA6EAF" w:rsidP="00EC75ED">
            <w:pPr>
              <w:tabs>
                <w:tab w:val="left" w:pos="884"/>
                <w:tab w:val="left" w:pos="1196"/>
              </w:tabs>
              <w:spacing w:after="0"/>
              <w:jc w:val="both"/>
              <w:rPr>
                <w:rFonts w:ascii="Times New Roman" w:eastAsia="Calibri" w:hAnsi="Times New Roman"/>
                <w:b/>
                <w:sz w:val="28"/>
                <w:szCs w:val="28"/>
                <w:lang w:val="ro-MO" w:eastAsia="ru-RU"/>
              </w:rPr>
            </w:pPr>
            <w:r w:rsidRPr="00BA6EAF">
              <w:rPr>
                <w:rFonts w:ascii="Times New Roman" w:eastAsia="Calibri" w:hAnsi="Times New Roman"/>
                <w:b/>
                <w:sz w:val="28"/>
                <w:szCs w:val="28"/>
                <w:lang w:val="ro-MO" w:eastAsia="ru-RU"/>
              </w:rPr>
              <w:t>8. Constatările expertizei anticorupție</w:t>
            </w:r>
          </w:p>
        </w:tc>
      </w:tr>
      <w:tr w:rsidR="00BA6EAF" w:rsidRPr="00BA6EAF" w:rsidTr="00D309CD">
        <w:tc>
          <w:tcPr>
            <w:tcW w:w="5000" w:type="pct"/>
          </w:tcPr>
          <w:p w:rsidR="00BA6EAF" w:rsidRPr="00BA6EAF" w:rsidRDefault="00BA6EAF" w:rsidP="00EC75ED">
            <w:pPr>
              <w:spacing w:after="0"/>
              <w:jc w:val="both"/>
              <w:rPr>
                <w:rFonts w:ascii="Times New Roman" w:eastAsia="Calibri" w:hAnsi="Times New Roman"/>
                <w:sz w:val="28"/>
                <w:szCs w:val="28"/>
                <w:lang w:val="ro-RO"/>
              </w:rPr>
            </w:pPr>
            <w:r w:rsidRPr="00BA6EAF">
              <w:rPr>
                <w:rFonts w:ascii="Times New Roman" w:eastAsia="Calibri" w:hAnsi="Times New Roman"/>
                <w:sz w:val="28"/>
                <w:szCs w:val="28"/>
                <w:lang w:val="ro-RO"/>
              </w:rPr>
              <w:t xml:space="preserve">Proiectul </w:t>
            </w:r>
            <w:r w:rsidR="00973C52">
              <w:rPr>
                <w:rFonts w:ascii="Times New Roman" w:eastAsia="Calibri" w:hAnsi="Times New Roman"/>
                <w:sz w:val="28"/>
                <w:szCs w:val="28"/>
                <w:lang w:val="ro-RO"/>
              </w:rPr>
              <w:t xml:space="preserve">va fi </w:t>
            </w:r>
            <w:r w:rsidRPr="00BA6EAF">
              <w:rPr>
                <w:rFonts w:ascii="Times New Roman" w:eastAsia="Calibri" w:hAnsi="Times New Roman"/>
                <w:sz w:val="28"/>
                <w:szCs w:val="28"/>
                <w:lang w:val="ro-RO"/>
              </w:rPr>
              <w:t>remis Centrului National Anticorupție (CNA) pentru efectuarea expertizei anticorupție.</w:t>
            </w:r>
          </w:p>
        </w:tc>
      </w:tr>
      <w:tr w:rsidR="00BA6EAF" w:rsidRPr="00BA6EAF" w:rsidTr="00D309CD">
        <w:tc>
          <w:tcPr>
            <w:tcW w:w="5000" w:type="pct"/>
          </w:tcPr>
          <w:p w:rsidR="00BA6EAF" w:rsidRPr="00BA6EAF" w:rsidRDefault="00BA6EAF" w:rsidP="00BA6EAF">
            <w:pPr>
              <w:tabs>
                <w:tab w:val="left" w:pos="884"/>
                <w:tab w:val="left" w:pos="1196"/>
              </w:tabs>
              <w:spacing w:after="0" w:line="240" w:lineRule="auto"/>
              <w:jc w:val="both"/>
              <w:rPr>
                <w:rFonts w:ascii="Times New Roman" w:eastAsia="Calibri" w:hAnsi="Times New Roman"/>
                <w:b/>
                <w:sz w:val="28"/>
                <w:szCs w:val="28"/>
                <w:lang w:val="ro-MO" w:eastAsia="ru-RU"/>
              </w:rPr>
            </w:pPr>
            <w:r w:rsidRPr="00BA6EAF">
              <w:rPr>
                <w:rFonts w:ascii="Times New Roman" w:eastAsia="Calibri" w:hAnsi="Times New Roman"/>
                <w:b/>
                <w:sz w:val="28"/>
                <w:szCs w:val="28"/>
                <w:lang w:val="ro-MO" w:eastAsia="ru-RU"/>
              </w:rPr>
              <w:t>9. Constatările expertizei de compatibilitate</w:t>
            </w:r>
          </w:p>
        </w:tc>
      </w:tr>
      <w:tr w:rsidR="00BA6EAF" w:rsidRPr="00BA6EAF" w:rsidTr="00D309CD">
        <w:tc>
          <w:tcPr>
            <w:tcW w:w="5000" w:type="pct"/>
          </w:tcPr>
          <w:p w:rsidR="00BA6EAF" w:rsidRPr="00BA6EAF" w:rsidRDefault="00BA6EAF" w:rsidP="00EC75ED">
            <w:pPr>
              <w:spacing w:after="0" w:line="240" w:lineRule="auto"/>
              <w:jc w:val="both"/>
              <w:rPr>
                <w:rFonts w:ascii="Times New Roman" w:eastAsia="Calibri" w:hAnsi="Times New Roman"/>
                <w:sz w:val="28"/>
                <w:szCs w:val="28"/>
                <w:lang w:val="ro-RO"/>
              </w:rPr>
            </w:pPr>
            <w:r w:rsidRPr="00BA6EAF">
              <w:rPr>
                <w:rFonts w:ascii="Times New Roman" w:eastAsia="Calibri" w:hAnsi="Times New Roman"/>
                <w:sz w:val="28"/>
                <w:szCs w:val="28"/>
                <w:lang w:val="ro-RO"/>
              </w:rPr>
              <w:t xml:space="preserve">Proiectul </w:t>
            </w:r>
            <w:r w:rsidR="00086F43">
              <w:rPr>
                <w:rFonts w:ascii="Times New Roman" w:eastAsia="Calibri" w:hAnsi="Times New Roman"/>
                <w:sz w:val="28"/>
                <w:szCs w:val="28"/>
                <w:lang w:val="ro-RO"/>
              </w:rPr>
              <w:t>v</w:t>
            </w:r>
            <w:r w:rsidRPr="00BA6EAF">
              <w:rPr>
                <w:rFonts w:ascii="Times New Roman" w:eastAsia="Calibri" w:hAnsi="Times New Roman"/>
                <w:sz w:val="28"/>
                <w:szCs w:val="28"/>
                <w:lang w:val="ro-RO"/>
              </w:rPr>
              <w:t>a f</w:t>
            </w:r>
            <w:r w:rsidR="00086F43">
              <w:rPr>
                <w:rFonts w:ascii="Times New Roman" w:eastAsia="Calibri" w:hAnsi="Times New Roman"/>
                <w:sz w:val="28"/>
                <w:szCs w:val="28"/>
                <w:lang w:val="ro-RO"/>
              </w:rPr>
              <w:t>i</w:t>
            </w:r>
            <w:r w:rsidRPr="00BA6EAF">
              <w:rPr>
                <w:rFonts w:ascii="Times New Roman" w:eastAsia="Calibri" w:hAnsi="Times New Roman"/>
                <w:sz w:val="28"/>
                <w:szCs w:val="28"/>
                <w:lang w:val="ro-RO"/>
              </w:rPr>
              <w:t xml:space="preserve"> remis Ministerului Justiției </w:t>
            </w:r>
            <w:r w:rsidR="00EC75ED">
              <w:rPr>
                <w:rFonts w:ascii="Times New Roman" w:eastAsia="Calibri" w:hAnsi="Times New Roman"/>
                <w:sz w:val="28"/>
                <w:szCs w:val="28"/>
                <w:lang w:val="ro-RO"/>
              </w:rPr>
              <w:t>pentru</w:t>
            </w:r>
            <w:r w:rsidRPr="00BA6EAF">
              <w:rPr>
                <w:rFonts w:ascii="Times New Roman" w:eastAsia="Calibri" w:hAnsi="Times New Roman"/>
                <w:sz w:val="28"/>
                <w:szCs w:val="28"/>
                <w:lang w:val="ro-RO"/>
              </w:rPr>
              <w:t xml:space="preserve"> efectuarea expertizei juridice.</w:t>
            </w:r>
          </w:p>
        </w:tc>
      </w:tr>
      <w:tr w:rsidR="00BA6EAF" w:rsidRPr="00BA6EAF" w:rsidTr="00D309CD">
        <w:tc>
          <w:tcPr>
            <w:tcW w:w="5000" w:type="pct"/>
          </w:tcPr>
          <w:p w:rsidR="00BA6EAF" w:rsidRPr="00BA6EAF" w:rsidRDefault="00BA6EAF" w:rsidP="00BA6EAF">
            <w:pPr>
              <w:tabs>
                <w:tab w:val="left" w:pos="884"/>
                <w:tab w:val="left" w:pos="1196"/>
              </w:tabs>
              <w:spacing w:after="0" w:line="240" w:lineRule="auto"/>
              <w:jc w:val="both"/>
              <w:rPr>
                <w:rFonts w:ascii="Times New Roman" w:eastAsia="Calibri" w:hAnsi="Times New Roman"/>
                <w:b/>
                <w:sz w:val="28"/>
                <w:szCs w:val="28"/>
                <w:lang w:val="ro-MO" w:eastAsia="ru-RU"/>
              </w:rPr>
            </w:pPr>
            <w:r w:rsidRPr="00BA6EAF">
              <w:rPr>
                <w:rFonts w:ascii="Times New Roman" w:eastAsia="Calibri" w:hAnsi="Times New Roman"/>
                <w:b/>
                <w:sz w:val="28"/>
                <w:szCs w:val="28"/>
                <w:lang w:val="ro-MO" w:eastAsia="ru-RU"/>
              </w:rPr>
              <w:t>10. Constatările expertizei juridice</w:t>
            </w:r>
          </w:p>
        </w:tc>
      </w:tr>
      <w:tr w:rsidR="00BA6EAF" w:rsidRPr="00BA6EAF" w:rsidTr="00D309CD">
        <w:tc>
          <w:tcPr>
            <w:tcW w:w="5000" w:type="pct"/>
          </w:tcPr>
          <w:p w:rsidR="00BA6EAF" w:rsidRPr="00BA6EAF" w:rsidRDefault="00BA6EAF" w:rsidP="00BA6EAF">
            <w:pPr>
              <w:tabs>
                <w:tab w:val="left" w:pos="884"/>
                <w:tab w:val="left" w:pos="1196"/>
              </w:tabs>
              <w:spacing w:after="0" w:line="240" w:lineRule="auto"/>
              <w:ind w:firstLine="360"/>
              <w:jc w:val="both"/>
              <w:rPr>
                <w:rFonts w:ascii="Times New Roman" w:eastAsia="Calibri" w:hAnsi="Times New Roman"/>
                <w:b/>
                <w:sz w:val="28"/>
                <w:szCs w:val="28"/>
                <w:lang w:val="ro-MO" w:eastAsia="ru-RU"/>
              </w:rPr>
            </w:pPr>
          </w:p>
        </w:tc>
      </w:tr>
      <w:tr w:rsidR="00BA6EAF" w:rsidRPr="00BA6EAF" w:rsidTr="00D309CD">
        <w:tc>
          <w:tcPr>
            <w:tcW w:w="5000" w:type="pct"/>
          </w:tcPr>
          <w:p w:rsidR="00BA6EAF" w:rsidRPr="00BA6EAF" w:rsidRDefault="00BA6EAF" w:rsidP="00BA6EAF">
            <w:pPr>
              <w:tabs>
                <w:tab w:val="left" w:pos="884"/>
                <w:tab w:val="left" w:pos="1196"/>
              </w:tabs>
              <w:spacing w:after="0" w:line="240" w:lineRule="auto"/>
              <w:jc w:val="both"/>
              <w:rPr>
                <w:rFonts w:ascii="Times New Roman" w:eastAsia="Calibri" w:hAnsi="Times New Roman"/>
                <w:b/>
                <w:sz w:val="28"/>
                <w:szCs w:val="28"/>
                <w:lang w:val="ro-MO" w:eastAsia="ru-RU"/>
              </w:rPr>
            </w:pPr>
            <w:r w:rsidRPr="00BA6EAF">
              <w:rPr>
                <w:rFonts w:ascii="Times New Roman" w:eastAsia="Calibri" w:hAnsi="Times New Roman"/>
                <w:b/>
                <w:sz w:val="28"/>
                <w:szCs w:val="28"/>
                <w:lang w:val="ro-MO" w:eastAsia="ru-RU"/>
              </w:rPr>
              <w:t>11. Constatările altor expertize</w:t>
            </w:r>
          </w:p>
        </w:tc>
      </w:tr>
      <w:tr w:rsidR="00BA6EAF" w:rsidRPr="00BA6EAF" w:rsidTr="00D309CD">
        <w:tc>
          <w:tcPr>
            <w:tcW w:w="5000" w:type="pct"/>
          </w:tcPr>
          <w:p w:rsidR="00BA6EAF" w:rsidRPr="00BA6EAF" w:rsidRDefault="00BA6EAF" w:rsidP="00BA6EAF">
            <w:pPr>
              <w:spacing w:after="0" w:line="240" w:lineRule="auto"/>
              <w:ind w:firstLine="360"/>
              <w:jc w:val="both"/>
              <w:rPr>
                <w:rFonts w:ascii="Times New Roman" w:eastAsia="Calibri" w:hAnsi="Times New Roman"/>
                <w:color w:val="000000"/>
                <w:sz w:val="28"/>
                <w:szCs w:val="28"/>
                <w:lang w:val="ro-RO"/>
              </w:rPr>
            </w:pPr>
          </w:p>
        </w:tc>
      </w:tr>
    </w:tbl>
    <w:p w:rsidR="00BA6EAF" w:rsidRPr="00BA6EAF" w:rsidRDefault="00BA6EAF" w:rsidP="00BA6EAF">
      <w:pPr>
        <w:tabs>
          <w:tab w:val="left" w:pos="884"/>
          <w:tab w:val="left" w:pos="1196"/>
        </w:tabs>
        <w:spacing w:after="0" w:line="240" w:lineRule="auto"/>
        <w:jc w:val="both"/>
        <w:rPr>
          <w:rFonts w:ascii="Times New Roman" w:eastAsia="Calibri" w:hAnsi="Times New Roman"/>
          <w:bCs/>
          <w:sz w:val="24"/>
          <w:szCs w:val="24"/>
          <w:vertAlign w:val="superscript"/>
          <w:lang w:val="ro-MO" w:eastAsia="ru-RU"/>
        </w:rPr>
      </w:pPr>
    </w:p>
    <w:p w:rsidR="00BA6EAF" w:rsidRPr="00BA6EAF" w:rsidRDefault="00BA6EAF" w:rsidP="00BA6EAF">
      <w:pPr>
        <w:tabs>
          <w:tab w:val="left" w:pos="884"/>
          <w:tab w:val="left" w:pos="1196"/>
        </w:tabs>
        <w:spacing w:after="0" w:line="240" w:lineRule="auto"/>
        <w:jc w:val="both"/>
        <w:rPr>
          <w:rFonts w:ascii="Times New Roman" w:eastAsia="Calibri" w:hAnsi="Times New Roman"/>
          <w:color w:val="000000"/>
          <w:sz w:val="28"/>
          <w:szCs w:val="28"/>
          <w:lang w:val="ro-RO"/>
        </w:rPr>
      </w:pPr>
    </w:p>
    <w:p w:rsidR="00BA6EAF" w:rsidRPr="00BA6EAF" w:rsidRDefault="00BA6EAF" w:rsidP="00BA6EAF">
      <w:pPr>
        <w:spacing w:after="0" w:line="240" w:lineRule="auto"/>
        <w:ind w:firstLine="720"/>
        <w:jc w:val="both"/>
        <w:rPr>
          <w:rFonts w:ascii="Times New Roman" w:eastAsia="Calibri" w:hAnsi="Times New Roman"/>
          <w:color w:val="000000"/>
          <w:sz w:val="28"/>
          <w:szCs w:val="28"/>
          <w:lang w:val="ro-RO"/>
        </w:rPr>
      </w:pPr>
    </w:p>
    <w:p w:rsidR="00BA6EAF" w:rsidRPr="00BA6EAF" w:rsidRDefault="00192ADD" w:rsidP="00192ADD">
      <w:pPr>
        <w:spacing w:after="0" w:line="240" w:lineRule="auto"/>
        <w:jc w:val="both"/>
        <w:rPr>
          <w:rFonts w:ascii="Times New Roman" w:eastAsia="Calibri" w:hAnsi="Times New Roman"/>
          <w:b/>
          <w:sz w:val="28"/>
          <w:szCs w:val="28"/>
          <w:lang w:val="ro-RO"/>
        </w:rPr>
      </w:pPr>
      <w:r>
        <w:rPr>
          <w:rFonts w:ascii="Times New Roman" w:eastAsia="Calibri" w:hAnsi="Times New Roman"/>
          <w:b/>
          <w:sz w:val="28"/>
          <w:szCs w:val="28"/>
          <w:lang w:val="ro-RO"/>
        </w:rPr>
        <w:t xml:space="preserve">         </w:t>
      </w:r>
      <w:r w:rsidR="002471B5" w:rsidRPr="002471B5">
        <w:rPr>
          <w:rFonts w:ascii="Times New Roman" w:eastAsia="Calibri" w:hAnsi="Times New Roman"/>
          <w:b/>
          <w:sz w:val="28"/>
          <w:szCs w:val="28"/>
          <w:lang w:val="ro-RO"/>
        </w:rPr>
        <w:t xml:space="preserve">Ministru                                        </w:t>
      </w:r>
      <w:r w:rsidR="002471B5">
        <w:rPr>
          <w:rFonts w:ascii="Times New Roman" w:eastAsia="Calibri" w:hAnsi="Times New Roman"/>
          <w:b/>
          <w:sz w:val="28"/>
          <w:szCs w:val="28"/>
          <w:lang w:val="ro-RO"/>
        </w:rPr>
        <w:t xml:space="preserve">                       </w:t>
      </w:r>
      <w:r w:rsidR="002471B5" w:rsidRPr="002471B5">
        <w:rPr>
          <w:rFonts w:ascii="Times New Roman" w:eastAsia="Calibri" w:hAnsi="Times New Roman"/>
          <w:b/>
          <w:sz w:val="28"/>
          <w:szCs w:val="28"/>
          <w:lang w:val="ro-RO"/>
        </w:rPr>
        <w:t>Georgeta MINCU</w:t>
      </w:r>
    </w:p>
    <w:p w:rsidR="00BA6EAF" w:rsidRDefault="00BA6EAF" w:rsidP="002471B5">
      <w:pPr>
        <w:spacing w:after="0" w:line="240" w:lineRule="auto"/>
        <w:jc w:val="both"/>
        <w:rPr>
          <w:rFonts w:ascii="Times New Roman" w:eastAsia="Calibri" w:hAnsi="Times New Roman"/>
          <w:b/>
          <w:sz w:val="28"/>
          <w:szCs w:val="28"/>
          <w:lang w:val="ro-RO"/>
        </w:rPr>
      </w:pPr>
      <w:r w:rsidRPr="00BA6EAF">
        <w:rPr>
          <w:rFonts w:ascii="Times New Roman" w:eastAsia="Calibri" w:hAnsi="Times New Roman"/>
          <w:b/>
          <w:sz w:val="28"/>
          <w:szCs w:val="28"/>
          <w:lang w:val="ro-RO"/>
        </w:rPr>
        <w:t xml:space="preserve">  </w:t>
      </w: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9D0579" w:rsidRDefault="009D0579" w:rsidP="002471B5">
      <w:pPr>
        <w:spacing w:after="0" w:line="240" w:lineRule="auto"/>
        <w:jc w:val="both"/>
        <w:rPr>
          <w:rFonts w:ascii="Times New Roman" w:eastAsia="Calibri" w:hAnsi="Times New Roman"/>
          <w:b/>
          <w:sz w:val="28"/>
          <w:szCs w:val="28"/>
          <w:lang w:val="ro-RO"/>
        </w:rPr>
      </w:pPr>
    </w:p>
    <w:p w:rsidR="00BA6EAF" w:rsidRDefault="00BA6EAF" w:rsidP="000C7140">
      <w:pPr>
        <w:spacing w:after="0" w:line="240" w:lineRule="auto"/>
        <w:jc w:val="both"/>
        <w:rPr>
          <w:rFonts w:ascii="Times New Roman" w:eastAsia="Calibri" w:hAnsi="Times New Roman"/>
          <w:sz w:val="28"/>
          <w:szCs w:val="28"/>
          <w:lang w:val="ro-RO"/>
        </w:rPr>
      </w:pPr>
      <w:bookmarkStart w:id="0" w:name="_GoBack"/>
      <w:bookmarkEnd w:id="0"/>
    </w:p>
    <w:sectPr w:rsidR="00BA6EAF" w:rsidSect="005B25D3">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F9B"/>
    <w:multiLevelType w:val="hybridMultilevel"/>
    <w:tmpl w:val="61E4D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24660A"/>
    <w:multiLevelType w:val="hybridMultilevel"/>
    <w:tmpl w:val="234C827E"/>
    <w:lvl w:ilvl="0" w:tplc="A74CA672">
      <w:start w:val="1"/>
      <w:numFmt w:val="lowerLetter"/>
      <w:lvlText w:val="%1)"/>
      <w:lvlJc w:val="left"/>
      <w:pPr>
        <w:ind w:left="795" w:hanging="360"/>
      </w:pPr>
      <w:rPr>
        <w:rFonts w:ascii="Times New Roman" w:eastAsiaTheme="minorEastAsia" w:hAnsi="Times New Roman" w:cs="Times New Roman"/>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3D7A1ECB"/>
    <w:multiLevelType w:val="hybridMultilevel"/>
    <w:tmpl w:val="C91CE01A"/>
    <w:lvl w:ilvl="0" w:tplc="E4B22F14">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3437AB"/>
    <w:multiLevelType w:val="hybridMultilevel"/>
    <w:tmpl w:val="B28880D4"/>
    <w:lvl w:ilvl="0" w:tplc="D50CA854">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65AD7"/>
    <w:multiLevelType w:val="hybridMultilevel"/>
    <w:tmpl w:val="D1BA5DFC"/>
    <w:lvl w:ilvl="0" w:tplc="212A8C0A">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68857645"/>
    <w:multiLevelType w:val="hybridMultilevel"/>
    <w:tmpl w:val="DB76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4F31BC"/>
    <w:multiLevelType w:val="hybridMultilevel"/>
    <w:tmpl w:val="2516089E"/>
    <w:lvl w:ilvl="0" w:tplc="0E645AEA">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CD2233"/>
    <w:multiLevelType w:val="hybridMultilevel"/>
    <w:tmpl w:val="67EC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EB3C40"/>
    <w:multiLevelType w:val="hybridMultilevel"/>
    <w:tmpl w:val="EE3AF01C"/>
    <w:lvl w:ilvl="0" w:tplc="2A50B32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10"/>
  </w:num>
  <w:num w:numId="5">
    <w:abstractNumId w:val="2"/>
  </w:num>
  <w:num w:numId="6">
    <w:abstractNumId w:val="5"/>
  </w:num>
  <w:num w:numId="7">
    <w:abstractNumId w:val="8"/>
  </w:num>
  <w:num w:numId="8">
    <w:abstractNumId w:val="9"/>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2ED"/>
    <w:rsid w:val="0001497B"/>
    <w:rsid w:val="00032ECB"/>
    <w:rsid w:val="00056D17"/>
    <w:rsid w:val="00072122"/>
    <w:rsid w:val="00073405"/>
    <w:rsid w:val="00086F43"/>
    <w:rsid w:val="000A49C1"/>
    <w:rsid w:val="000C2616"/>
    <w:rsid w:val="000C7140"/>
    <w:rsid w:val="0011614D"/>
    <w:rsid w:val="0013210D"/>
    <w:rsid w:val="00192ADD"/>
    <w:rsid w:val="001B667B"/>
    <w:rsid w:val="001D6EEB"/>
    <w:rsid w:val="00234B0A"/>
    <w:rsid w:val="002406C9"/>
    <w:rsid w:val="002471B5"/>
    <w:rsid w:val="002547D4"/>
    <w:rsid w:val="002551FB"/>
    <w:rsid w:val="00260F6F"/>
    <w:rsid w:val="0028284B"/>
    <w:rsid w:val="0028404E"/>
    <w:rsid w:val="002F36F3"/>
    <w:rsid w:val="00347E4C"/>
    <w:rsid w:val="00361545"/>
    <w:rsid w:val="003736B3"/>
    <w:rsid w:val="0037759D"/>
    <w:rsid w:val="003919BF"/>
    <w:rsid w:val="003B0ECB"/>
    <w:rsid w:val="003D13CD"/>
    <w:rsid w:val="003D67AD"/>
    <w:rsid w:val="003D7EAB"/>
    <w:rsid w:val="003F3FC8"/>
    <w:rsid w:val="003F621C"/>
    <w:rsid w:val="00442A9D"/>
    <w:rsid w:val="00477680"/>
    <w:rsid w:val="00484384"/>
    <w:rsid w:val="004906E7"/>
    <w:rsid w:val="004C3C96"/>
    <w:rsid w:val="004E791E"/>
    <w:rsid w:val="005548AB"/>
    <w:rsid w:val="00586760"/>
    <w:rsid w:val="005B02B9"/>
    <w:rsid w:val="005B25D3"/>
    <w:rsid w:val="005C280D"/>
    <w:rsid w:val="005E60B7"/>
    <w:rsid w:val="0061197C"/>
    <w:rsid w:val="006F7ADA"/>
    <w:rsid w:val="007473F2"/>
    <w:rsid w:val="00761B23"/>
    <w:rsid w:val="007647E1"/>
    <w:rsid w:val="00770036"/>
    <w:rsid w:val="00774F12"/>
    <w:rsid w:val="007942D9"/>
    <w:rsid w:val="007A05E7"/>
    <w:rsid w:val="007B28F1"/>
    <w:rsid w:val="007C7A7D"/>
    <w:rsid w:val="007F1DAF"/>
    <w:rsid w:val="00827942"/>
    <w:rsid w:val="00852B3B"/>
    <w:rsid w:val="00854D5E"/>
    <w:rsid w:val="00861998"/>
    <w:rsid w:val="0087696D"/>
    <w:rsid w:val="008C08FA"/>
    <w:rsid w:val="008C0988"/>
    <w:rsid w:val="008F22ED"/>
    <w:rsid w:val="008F6673"/>
    <w:rsid w:val="00901436"/>
    <w:rsid w:val="00961C94"/>
    <w:rsid w:val="00962281"/>
    <w:rsid w:val="00973C52"/>
    <w:rsid w:val="009906FA"/>
    <w:rsid w:val="00991F92"/>
    <w:rsid w:val="00991FCA"/>
    <w:rsid w:val="00994C0F"/>
    <w:rsid w:val="009D0579"/>
    <w:rsid w:val="009F61DC"/>
    <w:rsid w:val="009F77EE"/>
    <w:rsid w:val="00A041BE"/>
    <w:rsid w:val="00A32A7A"/>
    <w:rsid w:val="00A529CB"/>
    <w:rsid w:val="00A775B2"/>
    <w:rsid w:val="00A9160F"/>
    <w:rsid w:val="00AA2742"/>
    <w:rsid w:val="00B47089"/>
    <w:rsid w:val="00B5783E"/>
    <w:rsid w:val="00B65AC3"/>
    <w:rsid w:val="00B66349"/>
    <w:rsid w:val="00B960A9"/>
    <w:rsid w:val="00BA558C"/>
    <w:rsid w:val="00BA6EAF"/>
    <w:rsid w:val="00BB39C2"/>
    <w:rsid w:val="00BB53E1"/>
    <w:rsid w:val="00BC1E46"/>
    <w:rsid w:val="00C93D79"/>
    <w:rsid w:val="00CD653D"/>
    <w:rsid w:val="00D064A4"/>
    <w:rsid w:val="00D309CD"/>
    <w:rsid w:val="00D33022"/>
    <w:rsid w:val="00D34CB6"/>
    <w:rsid w:val="00D71410"/>
    <w:rsid w:val="00D8532C"/>
    <w:rsid w:val="00D8768A"/>
    <w:rsid w:val="00DC1F40"/>
    <w:rsid w:val="00DE2F8C"/>
    <w:rsid w:val="00E1534D"/>
    <w:rsid w:val="00E55E95"/>
    <w:rsid w:val="00E81CF9"/>
    <w:rsid w:val="00E85486"/>
    <w:rsid w:val="00E97D72"/>
    <w:rsid w:val="00EC61D5"/>
    <w:rsid w:val="00EC75ED"/>
    <w:rsid w:val="00EF0CB9"/>
    <w:rsid w:val="00EF6236"/>
    <w:rsid w:val="00F04781"/>
    <w:rsid w:val="00F37749"/>
    <w:rsid w:val="00F74369"/>
    <w:rsid w:val="00F83AA8"/>
    <w:rsid w:val="00F871A1"/>
    <w:rsid w:val="00F97F3A"/>
    <w:rsid w:val="00FB21B2"/>
    <w:rsid w:val="00FC5CB9"/>
    <w:rsid w:val="00FF2F75"/>
    <w:rsid w:val="00FF6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96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2E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13210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3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79"/>
    <w:rPr>
      <w:rFonts w:ascii="Segoe UI" w:eastAsia="Times New Roman" w:hAnsi="Segoe UI" w:cs="Segoe UI"/>
      <w:sz w:val="18"/>
      <w:szCs w:val="18"/>
    </w:rPr>
  </w:style>
  <w:style w:type="character" w:styleId="Hyperlink">
    <w:name w:val="Hyperlink"/>
    <w:basedOn w:val="DefaultParagraphFont"/>
    <w:rsid w:val="00901436"/>
    <w:rPr>
      <w:color w:val="0000FF"/>
      <w:u w:val="single"/>
    </w:rPr>
  </w:style>
  <w:style w:type="paragraph" w:customStyle="1" w:styleId="FR2">
    <w:name w:val="FR2"/>
    <w:rsid w:val="00901436"/>
    <w:pPr>
      <w:widowControl w:val="0"/>
      <w:snapToGrid w:val="0"/>
      <w:spacing w:before="100" w:after="0" w:line="360" w:lineRule="auto"/>
      <w:ind w:left="120"/>
    </w:pPr>
    <w:rPr>
      <w:rFonts w:ascii="Arial" w:eastAsia="Times New Roman" w:hAnsi="Arial" w:cs="Times New Roman"/>
      <w:sz w:val="24"/>
      <w:szCs w:val="20"/>
      <w:lang w:val="ro-RO" w:eastAsia="ru-RU"/>
    </w:rPr>
  </w:style>
  <w:style w:type="paragraph" w:styleId="ListParagraph">
    <w:name w:val="List Paragraph"/>
    <w:basedOn w:val="Normal"/>
    <w:uiPriority w:val="34"/>
    <w:qFormat/>
    <w:rsid w:val="00BA6EAF"/>
    <w:pPr>
      <w:ind w:left="720"/>
      <w:contextualSpacing/>
    </w:pPr>
  </w:style>
  <w:style w:type="character" w:styleId="CommentReference">
    <w:name w:val="annotation reference"/>
    <w:basedOn w:val="DefaultParagraphFont"/>
    <w:uiPriority w:val="99"/>
    <w:semiHidden/>
    <w:unhideWhenUsed/>
    <w:rsid w:val="00994C0F"/>
    <w:rPr>
      <w:sz w:val="16"/>
      <w:szCs w:val="16"/>
    </w:rPr>
  </w:style>
  <w:style w:type="paragraph" w:styleId="CommentText">
    <w:name w:val="annotation text"/>
    <w:basedOn w:val="Normal"/>
    <w:link w:val="CommentTextChar"/>
    <w:uiPriority w:val="99"/>
    <w:semiHidden/>
    <w:unhideWhenUsed/>
    <w:rsid w:val="00994C0F"/>
    <w:pPr>
      <w:spacing w:line="240" w:lineRule="auto"/>
    </w:pPr>
    <w:rPr>
      <w:sz w:val="20"/>
      <w:szCs w:val="20"/>
    </w:rPr>
  </w:style>
  <w:style w:type="character" w:customStyle="1" w:styleId="CommentTextChar">
    <w:name w:val="Comment Text Char"/>
    <w:basedOn w:val="DefaultParagraphFont"/>
    <w:link w:val="CommentText"/>
    <w:uiPriority w:val="99"/>
    <w:semiHidden/>
    <w:rsid w:val="00994C0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4C0F"/>
    <w:rPr>
      <w:b/>
      <w:bCs/>
    </w:rPr>
  </w:style>
  <w:style w:type="character" w:customStyle="1" w:styleId="CommentSubjectChar">
    <w:name w:val="Comment Subject Char"/>
    <w:basedOn w:val="CommentTextChar"/>
    <w:link w:val="CommentSubject"/>
    <w:uiPriority w:val="99"/>
    <w:semiHidden/>
    <w:rsid w:val="00994C0F"/>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96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2E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13210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3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79"/>
    <w:rPr>
      <w:rFonts w:ascii="Segoe UI" w:eastAsia="Times New Roman" w:hAnsi="Segoe UI" w:cs="Segoe UI"/>
      <w:sz w:val="18"/>
      <w:szCs w:val="18"/>
    </w:rPr>
  </w:style>
  <w:style w:type="character" w:styleId="Hyperlink">
    <w:name w:val="Hyperlink"/>
    <w:basedOn w:val="DefaultParagraphFont"/>
    <w:rsid w:val="00901436"/>
    <w:rPr>
      <w:color w:val="0000FF"/>
      <w:u w:val="single"/>
    </w:rPr>
  </w:style>
  <w:style w:type="paragraph" w:customStyle="1" w:styleId="FR2">
    <w:name w:val="FR2"/>
    <w:rsid w:val="00901436"/>
    <w:pPr>
      <w:widowControl w:val="0"/>
      <w:snapToGrid w:val="0"/>
      <w:spacing w:before="100" w:after="0" w:line="360" w:lineRule="auto"/>
      <w:ind w:left="120"/>
    </w:pPr>
    <w:rPr>
      <w:rFonts w:ascii="Arial" w:eastAsia="Times New Roman" w:hAnsi="Arial" w:cs="Times New Roman"/>
      <w:sz w:val="24"/>
      <w:szCs w:val="20"/>
      <w:lang w:val="ro-RO" w:eastAsia="ru-RU"/>
    </w:rPr>
  </w:style>
  <w:style w:type="paragraph" w:styleId="ListParagraph">
    <w:name w:val="List Paragraph"/>
    <w:basedOn w:val="Normal"/>
    <w:uiPriority w:val="34"/>
    <w:qFormat/>
    <w:rsid w:val="00BA6EAF"/>
    <w:pPr>
      <w:ind w:left="720"/>
      <w:contextualSpacing/>
    </w:pPr>
  </w:style>
  <w:style w:type="character" w:styleId="CommentReference">
    <w:name w:val="annotation reference"/>
    <w:basedOn w:val="DefaultParagraphFont"/>
    <w:uiPriority w:val="99"/>
    <w:semiHidden/>
    <w:unhideWhenUsed/>
    <w:rsid w:val="00994C0F"/>
    <w:rPr>
      <w:sz w:val="16"/>
      <w:szCs w:val="16"/>
    </w:rPr>
  </w:style>
  <w:style w:type="paragraph" w:styleId="CommentText">
    <w:name w:val="annotation text"/>
    <w:basedOn w:val="Normal"/>
    <w:link w:val="CommentTextChar"/>
    <w:uiPriority w:val="99"/>
    <w:semiHidden/>
    <w:unhideWhenUsed/>
    <w:rsid w:val="00994C0F"/>
    <w:pPr>
      <w:spacing w:line="240" w:lineRule="auto"/>
    </w:pPr>
    <w:rPr>
      <w:sz w:val="20"/>
      <w:szCs w:val="20"/>
    </w:rPr>
  </w:style>
  <w:style w:type="character" w:customStyle="1" w:styleId="CommentTextChar">
    <w:name w:val="Comment Text Char"/>
    <w:basedOn w:val="DefaultParagraphFont"/>
    <w:link w:val="CommentText"/>
    <w:uiPriority w:val="99"/>
    <w:semiHidden/>
    <w:rsid w:val="00994C0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4C0F"/>
    <w:rPr>
      <w:b/>
      <w:bCs/>
    </w:rPr>
  </w:style>
  <w:style w:type="character" w:customStyle="1" w:styleId="CommentSubjectChar">
    <w:name w:val="Comment Subject Char"/>
    <w:basedOn w:val="CommentTextChar"/>
    <w:link w:val="CommentSubject"/>
    <w:uiPriority w:val="99"/>
    <w:semiHidden/>
    <w:rsid w:val="00994C0F"/>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2185-E60B-4885-8F77-B5228094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dc:creator>
  <cp:lastModifiedBy>admin1</cp:lastModifiedBy>
  <cp:revision>2</cp:revision>
  <cp:lastPrinted>2019-07-04T09:44:00Z</cp:lastPrinted>
  <dcterms:created xsi:type="dcterms:W3CDTF">2019-07-05T10:31:00Z</dcterms:created>
  <dcterms:modified xsi:type="dcterms:W3CDTF">2019-07-05T10:31:00Z</dcterms:modified>
</cp:coreProperties>
</file>