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33F" w:rsidRPr="00ED533F" w:rsidRDefault="00ED533F" w:rsidP="00ED533F">
      <w:pPr>
        <w:suppressAutoHyphens/>
        <w:jc w:val="center"/>
        <w:rPr>
          <w:rFonts w:eastAsiaTheme="minorHAnsi"/>
          <w:b/>
          <w:color w:val="000000" w:themeColor="text1"/>
          <w:sz w:val="28"/>
          <w:szCs w:val="28"/>
          <w:lang w:val="ro-RO" w:eastAsia="en-US"/>
        </w:rPr>
      </w:pPr>
      <w:r w:rsidRPr="00ED533F">
        <w:rPr>
          <w:rFonts w:eastAsiaTheme="minorHAnsi"/>
          <w:b/>
          <w:color w:val="000000" w:themeColor="text1"/>
          <w:sz w:val="28"/>
          <w:szCs w:val="28"/>
          <w:lang w:val="ro-RO" w:eastAsia="en-US"/>
        </w:rPr>
        <w:t xml:space="preserve">Nota informativă </w:t>
      </w:r>
    </w:p>
    <w:p w:rsidR="00ED533F" w:rsidRPr="00ED533F" w:rsidRDefault="00ED533F" w:rsidP="00ED533F">
      <w:pPr>
        <w:suppressAutoHyphens/>
        <w:jc w:val="both"/>
        <w:rPr>
          <w:rFonts w:eastAsia="SimSun"/>
          <w:b/>
          <w:bCs/>
          <w:color w:val="000000" w:themeColor="text1"/>
          <w:sz w:val="27"/>
          <w:szCs w:val="27"/>
          <w:lang w:val="ro-RO" w:eastAsia="ar-SA"/>
        </w:rPr>
      </w:pPr>
      <w:r w:rsidRPr="00ED533F">
        <w:rPr>
          <w:rFonts w:eastAsia="SimSun"/>
          <w:b/>
          <w:bCs/>
          <w:color w:val="000000" w:themeColor="text1"/>
          <w:sz w:val="27"/>
          <w:szCs w:val="27"/>
          <w:lang w:val="en-US" w:eastAsia="ar-SA"/>
        </w:rPr>
        <w:t xml:space="preserve">la proiectul hotărîrii de Guvern </w:t>
      </w:r>
      <w:r w:rsidRPr="00ED533F">
        <w:rPr>
          <w:rFonts w:eastAsia="SimSun"/>
          <w:b/>
          <w:bCs/>
          <w:color w:val="000000" w:themeColor="text1"/>
          <w:sz w:val="27"/>
          <w:szCs w:val="27"/>
          <w:lang w:val="ro-RO" w:eastAsia="ar-SA"/>
        </w:rPr>
        <w:t xml:space="preserve">pentru aprobarea Normei sanitar-veterinare privind stabilirea condițiilor de sănătate animală și publică la comerțul (importul și exportul) cu alte produse de origine animală. </w:t>
      </w:r>
    </w:p>
    <w:p w:rsidR="00ED533F" w:rsidRPr="00ED533F" w:rsidRDefault="00ED533F" w:rsidP="00ED533F">
      <w:pPr>
        <w:suppressAutoHyphens/>
        <w:jc w:val="both"/>
        <w:rPr>
          <w:rFonts w:eastAsia="SimSun"/>
          <w:b/>
          <w:color w:val="000000" w:themeColor="text1"/>
          <w:sz w:val="27"/>
          <w:szCs w:val="27"/>
          <w:lang w:val="ro-RO" w:eastAsia="ar-SA"/>
        </w:rPr>
      </w:pPr>
    </w:p>
    <w:p w:rsidR="00ED533F" w:rsidRPr="00ED533F" w:rsidRDefault="00ED533F" w:rsidP="00ED533F">
      <w:pPr>
        <w:autoSpaceDE w:val="0"/>
        <w:jc w:val="both"/>
        <w:rPr>
          <w:b/>
          <w:i/>
          <w:color w:val="000000" w:themeColor="text1"/>
          <w:sz w:val="27"/>
          <w:szCs w:val="27"/>
          <w:lang w:val="en-US"/>
        </w:rPr>
      </w:pPr>
      <w:r w:rsidRPr="00ED533F">
        <w:rPr>
          <w:b/>
          <w:i/>
          <w:color w:val="000000" w:themeColor="text1"/>
          <w:sz w:val="28"/>
          <w:szCs w:val="28"/>
          <w:lang w:val="en-US"/>
        </w:rPr>
        <w:tab/>
      </w:r>
      <w:r w:rsidRPr="00ED533F">
        <w:rPr>
          <w:b/>
          <w:i/>
          <w:color w:val="000000" w:themeColor="text1"/>
          <w:sz w:val="27"/>
          <w:szCs w:val="27"/>
          <w:lang w:val="en-US"/>
        </w:rPr>
        <w:t xml:space="preserve">1. Denumirea autorului şi, după caz, a participanţilor la elaborarea proiectului </w:t>
      </w:r>
    </w:p>
    <w:p w:rsidR="00ED533F" w:rsidRPr="00ED533F" w:rsidRDefault="00ED533F" w:rsidP="00ED533F">
      <w:pPr>
        <w:jc w:val="both"/>
        <w:rPr>
          <w:rFonts w:eastAsia="Times New Roman"/>
          <w:color w:val="000000" w:themeColor="text1"/>
          <w:sz w:val="27"/>
          <w:szCs w:val="27"/>
          <w:lang w:val="en-US" w:eastAsia="ru-RU"/>
        </w:rPr>
      </w:pPr>
      <w:r w:rsidRPr="00ED533F">
        <w:rPr>
          <w:color w:val="000000" w:themeColor="text1"/>
          <w:sz w:val="27"/>
          <w:szCs w:val="27"/>
          <w:lang w:val="en-US"/>
        </w:rPr>
        <w:tab/>
        <w:t>Proiectul Hotărîrii de Guvern</w:t>
      </w:r>
      <w:r w:rsidRPr="00ED533F">
        <w:rPr>
          <w:rFonts w:eastAsia="SimSun"/>
          <w:bCs/>
          <w:color w:val="000000" w:themeColor="text1"/>
          <w:sz w:val="27"/>
          <w:szCs w:val="27"/>
          <w:lang w:val="en-US" w:eastAsia="ar-SA"/>
        </w:rPr>
        <w:t xml:space="preserve"> pentru aprobarea Normei sanitar veterinare privind stabilirea condițiilor de sănătate animală și publică la comerțul (importul și exportul) cu alte produse de origine animală</w:t>
      </w:r>
      <w:r w:rsidRPr="00ED533F">
        <w:rPr>
          <w:rFonts w:eastAsia="Times New Roman"/>
          <w:color w:val="000000" w:themeColor="text1"/>
          <w:sz w:val="27"/>
          <w:szCs w:val="27"/>
          <w:lang w:val="ro-MO" w:eastAsia="ru-RU"/>
        </w:rPr>
        <w:t xml:space="preserve"> </w:t>
      </w:r>
      <w:r w:rsidRPr="00ED533F">
        <w:rPr>
          <w:color w:val="000000" w:themeColor="text1"/>
          <w:sz w:val="27"/>
          <w:szCs w:val="27"/>
          <w:lang w:val="en-US"/>
        </w:rPr>
        <w:t xml:space="preserve">a fost elaborat de către Ministerul Agriculturii, Dezvoltării Regionale şi Mediului. </w:t>
      </w:r>
    </w:p>
    <w:p w:rsidR="00ED533F" w:rsidRPr="00ED533F" w:rsidRDefault="00ED533F" w:rsidP="00ED533F">
      <w:pPr>
        <w:ind w:firstLine="708"/>
        <w:jc w:val="both"/>
        <w:rPr>
          <w:b/>
          <w:i/>
          <w:color w:val="000000" w:themeColor="text1"/>
          <w:sz w:val="27"/>
          <w:szCs w:val="27"/>
          <w:lang w:val="ro-RO"/>
        </w:rPr>
      </w:pPr>
      <w:r w:rsidRPr="00ED533F">
        <w:rPr>
          <w:b/>
          <w:i/>
          <w:color w:val="000000" w:themeColor="text1"/>
          <w:sz w:val="27"/>
          <w:szCs w:val="27"/>
          <w:lang w:val="ro-RO"/>
        </w:rPr>
        <w:t>2. Condiţii ce au impus elaborarea proiectului</w:t>
      </w:r>
      <w:r w:rsidRPr="00ED533F">
        <w:rPr>
          <w:color w:val="000000" w:themeColor="text1"/>
          <w:lang w:val="en-US"/>
        </w:rPr>
        <w:t xml:space="preserve"> </w:t>
      </w:r>
      <w:r w:rsidRPr="00ED533F">
        <w:rPr>
          <w:b/>
          <w:i/>
          <w:color w:val="000000" w:themeColor="text1"/>
          <w:sz w:val="27"/>
          <w:szCs w:val="27"/>
          <w:lang w:val="ro-RO"/>
        </w:rPr>
        <w:t>de act normativ şi finalităţile urmărite:</w:t>
      </w:r>
    </w:p>
    <w:p w:rsidR="00ED533F" w:rsidRPr="00ED533F" w:rsidRDefault="00ED533F" w:rsidP="00ED533F">
      <w:pPr>
        <w:jc w:val="both"/>
        <w:rPr>
          <w:rFonts w:eastAsia="Calibri"/>
          <w:bCs/>
          <w:noProof/>
          <w:color w:val="000000" w:themeColor="text1"/>
          <w:sz w:val="27"/>
          <w:szCs w:val="27"/>
          <w:lang w:val="ro-RO" w:eastAsia="ru-RU"/>
        </w:rPr>
      </w:pPr>
      <w:r w:rsidRPr="00ED533F">
        <w:rPr>
          <w:color w:val="000000" w:themeColor="text1"/>
          <w:sz w:val="27"/>
          <w:szCs w:val="27"/>
          <w:lang w:val="en-US"/>
        </w:rPr>
        <w:tab/>
        <w:t xml:space="preserve">Proiectul Hotărîrii de Guvern nominalizat este elaborat în conformitate cu prevederile </w:t>
      </w:r>
      <w:r w:rsidRPr="00ED533F">
        <w:rPr>
          <w:rFonts w:eastAsia="EUAlbertina-Bold-Identity-H"/>
          <w:color w:val="000000" w:themeColor="text1"/>
          <w:sz w:val="27"/>
          <w:szCs w:val="27"/>
          <w:lang w:val="ro-RO"/>
        </w:rPr>
        <w:t xml:space="preserve">Legii nr. 221-XVI din 19 octombrie 2007 privind activitatea sanitar-veterinară, Legii nr. 113 din 18 mai 2012 cu privire la stabilirea principiilor şi a cerinţelor generale ale legislaţiei privind siguranţa alimentelor, Legii nr. 50 din 28 martie 2013 cu privire la controalele oficiale pentru verificarea conformităţii cu legislaţia privind hrana pentru animale şi produsele alimentare şi cu normele de sănătate şi de bunăstare a animalelor </w:t>
      </w:r>
      <w:r w:rsidRPr="00ED533F">
        <w:rPr>
          <w:color w:val="000000" w:themeColor="text1"/>
          <w:sz w:val="27"/>
          <w:szCs w:val="27"/>
          <w:lang w:val="en-US"/>
        </w:rPr>
        <w:t>şi vine întru executarea Hotărîrii Guvernului nr.1472 din 30 decembrie 2016 cu privire la aprobarea Planului naţional de acţiuni pentru implementarea Acordului de Asociere Republica Moldova – Uniunea Europeană în perioada 2017-2019, în special a titlului V „Comerţ şi aspecte legate de comerţ”, capitolul 4 „Măsuri sanitare si fitosanitare”, secţiunea 3 „Introducerea pe piaţă a produselor alimentare, a hranei pentru animale şi a subproduselor de origine animală”.</w:t>
      </w:r>
    </w:p>
    <w:p w:rsidR="00ED533F" w:rsidRPr="00ED533F" w:rsidRDefault="00ED533F" w:rsidP="00ED533F">
      <w:pPr>
        <w:jc w:val="both"/>
        <w:rPr>
          <w:rFonts w:eastAsia="Times New Roman"/>
          <w:color w:val="000000" w:themeColor="text1"/>
          <w:sz w:val="27"/>
          <w:szCs w:val="27"/>
          <w:lang w:val="ro-RO" w:eastAsia="ru-RU"/>
        </w:rPr>
      </w:pPr>
      <w:r w:rsidRPr="00ED533F">
        <w:rPr>
          <w:b/>
          <w:i/>
          <w:color w:val="000000" w:themeColor="text1"/>
          <w:sz w:val="28"/>
          <w:szCs w:val="28"/>
          <w:lang w:val="en-US"/>
        </w:rPr>
        <w:tab/>
      </w:r>
      <w:r w:rsidRPr="00ED533F">
        <w:rPr>
          <w:b/>
          <w:i/>
          <w:color w:val="000000" w:themeColor="text1"/>
          <w:sz w:val="27"/>
          <w:szCs w:val="27"/>
          <w:lang w:val="en-US"/>
        </w:rPr>
        <w:t>3. Descrierea gradului de compatibilitate pentru proiectele care au ca scop armonizarea legislaţiei naţionale cu legislaţia Uniunii Europene</w:t>
      </w:r>
    </w:p>
    <w:p w:rsidR="00ED533F" w:rsidRPr="00ED533F" w:rsidRDefault="00ED533F" w:rsidP="00ED533F">
      <w:pPr>
        <w:suppressLineNumbers/>
        <w:snapToGrid w:val="0"/>
        <w:ind w:firstLine="708"/>
        <w:jc w:val="both"/>
        <w:rPr>
          <w:color w:val="000000" w:themeColor="text1"/>
          <w:sz w:val="27"/>
          <w:szCs w:val="27"/>
          <w:lang w:val="ro-RO"/>
        </w:rPr>
      </w:pPr>
      <w:r w:rsidRPr="00ED533F">
        <w:rPr>
          <w:rFonts w:eastAsia="TimesNewRoman"/>
          <w:color w:val="000000" w:themeColor="text1"/>
          <w:sz w:val="27"/>
          <w:szCs w:val="27"/>
          <w:lang w:val="en-US"/>
        </w:rPr>
        <w:t xml:space="preserve">Proiectul dat este compatibil cu </w:t>
      </w:r>
      <w:r w:rsidRPr="00ED533F">
        <w:rPr>
          <w:color w:val="000000" w:themeColor="text1"/>
          <w:sz w:val="27"/>
          <w:szCs w:val="27"/>
          <w:lang w:val="ro-RO"/>
        </w:rPr>
        <w:t>prevederile Directivei 92/118/CEE A Consiliul Comunităților Europene din 17 decembrie 1992 de stabilire a condițiilor de sănătate publică și animală care reglementează schimburile și importurile în Comunitate de produse care nu intră sub incidența condițiilor menționate, stabilite de reglementările comunitare specifice prevăzute de anexa A capitolul I la Directiva 89/662/CEE și, în ceea ce privește agenții patogeni, la Directiva 90/425/CEE, publicată în Jurnalul Oficial al Uniunii Europene, 1993, seria L 62, p. 49,</w:t>
      </w:r>
      <w:r w:rsidRPr="00ED533F">
        <w:rPr>
          <w:color w:val="000000" w:themeColor="text1"/>
          <w:lang w:val="en-US"/>
        </w:rPr>
        <w:t xml:space="preserve"> </w:t>
      </w:r>
      <w:r w:rsidRPr="00ED533F">
        <w:rPr>
          <w:color w:val="000000" w:themeColor="text1"/>
          <w:sz w:val="27"/>
          <w:szCs w:val="27"/>
          <w:lang w:val="ro-RO"/>
        </w:rPr>
        <w:t>în acest sens a fost întocmit tabelul de concordanţă în care se analizează comparativ gradul de transpunere a actului Uniunii Europene în legislaţia naţională..</w:t>
      </w:r>
    </w:p>
    <w:p w:rsidR="00ED533F" w:rsidRPr="00ED533F" w:rsidRDefault="00ED533F" w:rsidP="00ED533F">
      <w:pPr>
        <w:jc w:val="both"/>
        <w:rPr>
          <w:rFonts w:eastAsia="SimSun"/>
          <w:b/>
          <w:i/>
          <w:color w:val="000000" w:themeColor="text1"/>
          <w:kern w:val="1"/>
          <w:sz w:val="27"/>
          <w:szCs w:val="27"/>
          <w:lang w:val="en-US" w:eastAsia="hi-IN" w:bidi="hi-IN"/>
        </w:rPr>
      </w:pPr>
      <w:r w:rsidRPr="00ED533F">
        <w:rPr>
          <w:rFonts w:eastAsia="SimSun"/>
          <w:color w:val="000000" w:themeColor="text1"/>
          <w:kern w:val="1"/>
          <w:sz w:val="27"/>
          <w:szCs w:val="27"/>
          <w:lang w:val="en-US" w:eastAsia="hi-IN" w:bidi="hi-IN"/>
        </w:rPr>
        <w:tab/>
      </w:r>
      <w:r w:rsidRPr="00ED533F">
        <w:rPr>
          <w:rFonts w:eastAsia="SimSun"/>
          <w:b/>
          <w:i/>
          <w:color w:val="000000" w:themeColor="text1"/>
          <w:kern w:val="1"/>
          <w:sz w:val="27"/>
          <w:szCs w:val="27"/>
          <w:lang w:val="en-US" w:eastAsia="hi-IN" w:bidi="hi-IN"/>
        </w:rPr>
        <w:t xml:space="preserve">4. Principalele prevederi ale proiectului şi evidenţierea elementelor noi </w:t>
      </w:r>
    </w:p>
    <w:p w:rsidR="00ED533F" w:rsidRPr="00ED533F" w:rsidRDefault="00ED533F" w:rsidP="00ED533F">
      <w:pPr>
        <w:jc w:val="both"/>
        <w:rPr>
          <w:rFonts w:eastAsia="Arial Unicode MS"/>
          <w:color w:val="000000" w:themeColor="text1"/>
          <w:sz w:val="27"/>
          <w:szCs w:val="27"/>
          <w:lang w:val="ro-RO" w:eastAsia="ru-RU"/>
        </w:rPr>
      </w:pPr>
      <w:r w:rsidRPr="00ED533F">
        <w:rPr>
          <w:rFonts w:eastAsia="SimSun"/>
          <w:color w:val="000000" w:themeColor="text1"/>
          <w:kern w:val="1"/>
          <w:sz w:val="27"/>
          <w:szCs w:val="27"/>
          <w:lang w:val="en-US" w:eastAsia="hi-IN" w:bidi="hi-IN"/>
        </w:rPr>
        <w:tab/>
        <w:t>Elaborarea prezentului act normativ este impusă de necesitatea asigurării pieţii interne cu produse de origine animală inofensive şi de bună calitate şi vine întru executarea prevederilor Capitolul VIII «</w:t>
      </w:r>
      <w:r w:rsidRPr="00ED533F">
        <w:rPr>
          <w:rFonts w:eastAsia="SimSun"/>
          <w:i/>
          <w:color w:val="000000" w:themeColor="text1"/>
          <w:kern w:val="1"/>
          <w:sz w:val="27"/>
          <w:szCs w:val="27"/>
          <w:lang w:val="en-US" w:eastAsia="hi-IN" w:bidi="hi-IN"/>
        </w:rPr>
        <w:t>Importul, tranzitul şi exportul mărfurilor supuse controlului sanitar-veterinar de stat</w:t>
      </w:r>
      <w:r w:rsidRPr="00ED533F">
        <w:rPr>
          <w:rFonts w:eastAsia="SimSun"/>
          <w:color w:val="000000" w:themeColor="text1"/>
          <w:kern w:val="1"/>
          <w:sz w:val="27"/>
          <w:szCs w:val="27"/>
          <w:lang w:val="en-US" w:eastAsia="hi-IN" w:bidi="hi-IN"/>
        </w:rPr>
        <w:t>» din Legea nr. 221-XVI din 19 octombrie 2007 privind activitatea sanitar-veterinară</w:t>
      </w:r>
      <w:r w:rsidRPr="00ED533F">
        <w:rPr>
          <w:rFonts w:eastAsia="SimSun"/>
          <w:color w:val="000000" w:themeColor="text1"/>
          <w:kern w:val="1"/>
          <w:sz w:val="27"/>
          <w:szCs w:val="27"/>
          <w:lang w:val="ro-RO" w:eastAsia="hi-IN" w:bidi="hi-IN"/>
        </w:rPr>
        <w:t xml:space="preserve">, precum și </w:t>
      </w:r>
      <w:r w:rsidRPr="00ED533F">
        <w:rPr>
          <w:rFonts w:eastAsia="SimSun"/>
          <w:color w:val="000000" w:themeColor="text1"/>
          <w:kern w:val="1"/>
          <w:sz w:val="27"/>
          <w:szCs w:val="27"/>
          <w:lang w:val="en-US" w:eastAsia="hi-IN" w:bidi="hi-IN"/>
        </w:rPr>
        <w:t xml:space="preserve">actualizării măsurilor privind </w:t>
      </w:r>
      <w:r w:rsidRPr="00ED533F">
        <w:rPr>
          <w:rFonts w:eastAsia="Arial Unicode MS"/>
          <w:color w:val="000000" w:themeColor="text1"/>
          <w:sz w:val="27"/>
          <w:szCs w:val="27"/>
          <w:lang w:val="en-US" w:eastAsia="ru-RU"/>
        </w:rPr>
        <w:t>condițiil</w:t>
      </w:r>
      <w:r w:rsidRPr="00ED533F">
        <w:rPr>
          <w:rFonts w:eastAsia="Arial Unicode MS"/>
          <w:color w:val="000000" w:themeColor="text1"/>
          <w:sz w:val="27"/>
          <w:szCs w:val="27"/>
          <w:lang w:val="ro-RO" w:eastAsia="ru-RU"/>
        </w:rPr>
        <w:t>e</w:t>
      </w:r>
      <w:r w:rsidRPr="00ED533F">
        <w:rPr>
          <w:rFonts w:eastAsia="Arial Unicode MS"/>
          <w:color w:val="000000" w:themeColor="text1"/>
          <w:sz w:val="27"/>
          <w:szCs w:val="27"/>
          <w:lang w:val="en-US" w:eastAsia="ru-RU"/>
        </w:rPr>
        <w:t xml:space="preserve"> de sănătate animală și publică la comerțul (importul și exportul) cu produse de origine animală</w:t>
      </w:r>
      <w:r w:rsidRPr="00ED533F">
        <w:rPr>
          <w:rFonts w:eastAsia="Arial Unicode MS"/>
          <w:color w:val="000000" w:themeColor="text1"/>
          <w:sz w:val="27"/>
          <w:szCs w:val="27"/>
          <w:lang w:val="ro-RO" w:eastAsia="ru-RU"/>
        </w:rPr>
        <w:t>, ținînd cont de aspirațiile Republicii Moldova de asociere la Uniunea Europeană prin echivalarea cadrului normativ a ambelor părți în domeniul reglementat.</w:t>
      </w:r>
    </w:p>
    <w:p w:rsidR="00ED533F" w:rsidRPr="00ED533F" w:rsidRDefault="00ED533F" w:rsidP="00ED533F">
      <w:pPr>
        <w:jc w:val="both"/>
        <w:rPr>
          <w:rFonts w:eastAsia="Arial Unicode MS"/>
          <w:color w:val="000000" w:themeColor="text1"/>
          <w:sz w:val="27"/>
          <w:szCs w:val="27"/>
          <w:lang w:val="ro-RO" w:eastAsia="ru-RU"/>
        </w:rPr>
      </w:pPr>
      <w:r w:rsidRPr="00ED533F">
        <w:rPr>
          <w:rFonts w:eastAsia="Arial Unicode MS"/>
          <w:color w:val="000000" w:themeColor="text1"/>
          <w:sz w:val="27"/>
          <w:szCs w:val="27"/>
          <w:lang w:val="ro-RO" w:eastAsia="ru-RU"/>
        </w:rPr>
        <w:lastRenderedPageBreak/>
        <w:tab/>
        <w:t>Prin implimentarea prezentului proiect de Hotărâre de Guvern vor fi excluse riscurile reale pentru sănătatea publică și animală de răspândire a bolilor transmisibile grave care ar putea fi provocată de circulația produsului, nu numai în cadrul speciei din care provine produsul, ci și în cadrul altor specii care ar putea fi purtătoare ale bolii și care ar putea deveni un focar al bolii sau un risc pentru sănătatea publică.</w:t>
      </w:r>
    </w:p>
    <w:p w:rsidR="00ED533F" w:rsidRPr="00ED533F" w:rsidRDefault="00ED533F" w:rsidP="00ED533F">
      <w:pPr>
        <w:ind w:firstLine="708"/>
        <w:jc w:val="both"/>
        <w:rPr>
          <w:rFonts w:eastAsia="Arial Unicode MS"/>
          <w:color w:val="000000" w:themeColor="text1"/>
          <w:sz w:val="27"/>
          <w:szCs w:val="27"/>
          <w:lang w:val="ro-RO" w:eastAsia="ru-RU"/>
        </w:rPr>
      </w:pPr>
      <w:r w:rsidRPr="00ED533F">
        <w:rPr>
          <w:rFonts w:eastAsia="Arial Unicode MS"/>
          <w:color w:val="000000" w:themeColor="text1"/>
          <w:sz w:val="27"/>
          <w:szCs w:val="27"/>
          <w:lang w:val="ro-RO" w:eastAsia="ru-RU"/>
        </w:rPr>
        <w:t>De asemenea vor fi înlăturate discrepanțele, pericolele şi punctele critice de control pe parcursul întregului lanț alimentar. Obiectivele urmărite de prezentul proiect au ca scop crearea unui cadru legislativ univoc şi coerent, asigurarea unui înalt nivel de protecție a consumatorului și responsabilizarea operatorilor din domeniul businessului alimentar privind siguranţa produselor alimentare, conform practicilor stabilite în Uniunea Europeană.</w:t>
      </w:r>
    </w:p>
    <w:p w:rsidR="00ED533F" w:rsidRPr="00ED533F" w:rsidRDefault="00ED533F" w:rsidP="00ED533F">
      <w:pPr>
        <w:jc w:val="both"/>
        <w:rPr>
          <w:b/>
          <w:bCs/>
          <w:i/>
          <w:color w:val="000000" w:themeColor="text1"/>
          <w:sz w:val="27"/>
          <w:szCs w:val="27"/>
          <w:lang w:val="ro-RO"/>
        </w:rPr>
      </w:pPr>
      <w:r w:rsidRPr="00ED533F">
        <w:rPr>
          <w:rFonts w:eastAsia="Arial Unicode MS"/>
          <w:color w:val="000000" w:themeColor="text1"/>
          <w:sz w:val="27"/>
          <w:szCs w:val="27"/>
          <w:lang w:val="ro-RO" w:eastAsia="ru-RU"/>
        </w:rPr>
        <w:t xml:space="preserve"> </w:t>
      </w:r>
      <w:r w:rsidRPr="00ED533F">
        <w:rPr>
          <w:rFonts w:eastAsia="Arial Unicode MS"/>
          <w:color w:val="000000" w:themeColor="text1"/>
          <w:sz w:val="27"/>
          <w:szCs w:val="27"/>
          <w:lang w:val="ro-RO" w:eastAsia="ru-RU"/>
        </w:rPr>
        <w:tab/>
      </w:r>
      <w:r w:rsidRPr="00ED533F">
        <w:rPr>
          <w:rFonts w:eastAsia="Arial Unicode MS"/>
          <w:b/>
          <w:i/>
          <w:color w:val="000000" w:themeColor="text1"/>
          <w:sz w:val="27"/>
          <w:szCs w:val="27"/>
          <w:lang w:val="ro-RO" w:eastAsia="ru-RU"/>
        </w:rPr>
        <w:t>5.</w:t>
      </w:r>
      <w:r w:rsidRPr="00ED533F">
        <w:rPr>
          <w:rFonts w:eastAsia="Arial Unicode MS"/>
          <w:color w:val="000000" w:themeColor="text1"/>
          <w:sz w:val="27"/>
          <w:szCs w:val="27"/>
          <w:lang w:val="ro-RO" w:eastAsia="ru-RU"/>
        </w:rPr>
        <w:t xml:space="preserve"> </w:t>
      </w:r>
      <w:r w:rsidRPr="00ED533F">
        <w:rPr>
          <w:b/>
          <w:bCs/>
          <w:i/>
          <w:color w:val="000000" w:themeColor="text1"/>
          <w:sz w:val="27"/>
          <w:szCs w:val="27"/>
          <w:lang w:val="ro-RO"/>
        </w:rPr>
        <w:t>Fundamentarea economico-financiară:</w:t>
      </w:r>
    </w:p>
    <w:p w:rsidR="00ED533F" w:rsidRPr="00ED533F" w:rsidRDefault="00ED533F" w:rsidP="00ED533F">
      <w:pPr>
        <w:jc w:val="both"/>
        <w:rPr>
          <w:color w:val="000000" w:themeColor="text1"/>
          <w:sz w:val="27"/>
          <w:szCs w:val="27"/>
          <w:lang w:val="en-US"/>
        </w:rPr>
      </w:pPr>
      <w:r w:rsidRPr="00ED533F">
        <w:rPr>
          <w:rFonts w:eastAsia="EUAlbertina-Bold-Identity-H"/>
          <w:color w:val="000000" w:themeColor="text1"/>
          <w:sz w:val="27"/>
          <w:szCs w:val="27"/>
          <w:lang w:val="ro-RO"/>
        </w:rPr>
        <w:tab/>
        <w:t>Adoptarea şi implementarea ulterioară a proiectului nu necesită surse financiare suplimentare din bugetul statului</w:t>
      </w:r>
      <w:r w:rsidRPr="00ED533F">
        <w:rPr>
          <w:color w:val="000000" w:themeColor="text1"/>
          <w:sz w:val="27"/>
          <w:szCs w:val="27"/>
          <w:lang w:val="en-US"/>
        </w:rPr>
        <w:t>, va fi adusă legislaţia naţională în concordanţă cu legislaţia comunitară în domeniul respectiv, vor fi lichidate barierile tehnice în comerţul liber dintre state.</w:t>
      </w:r>
    </w:p>
    <w:p w:rsidR="00ED533F" w:rsidRPr="00ED533F" w:rsidRDefault="00ED533F" w:rsidP="00ED533F">
      <w:pPr>
        <w:jc w:val="both"/>
        <w:rPr>
          <w:b/>
          <w:i/>
          <w:color w:val="000000" w:themeColor="text1"/>
          <w:sz w:val="27"/>
          <w:szCs w:val="27"/>
          <w:lang w:val="en-US"/>
        </w:rPr>
      </w:pPr>
      <w:r w:rsidRPr="00ED533F">
        <w:rPr>
          <w:b/>
          <w:i/>
          <w:color w:val="000000" w:themeColor="text1"/>
          <w:sz w:val="27"/>
          <w:szCs w:val="27"/>
          <w:lang w:val="en-US"/>
        </w:rPr>
        <w:t xml:space="preserve">         6. Modul de încorporare a actului în cadrul normativ în vigoare</w:t>
      </w:r>
    </w:p>
    <w:p w:rsidR="00ED533F" w:rsidRPr="00ED533F" w:rsidRDefault="00ED533F" w:rsidP="00ED533F">
      <w:pPr>
        <w:jc w:val="both"/>
        <w:rPr>
          <w:color w:val="000000" w:themeColor="text1"/>
          <w:sz w:val="27"/>
          <w:szCs w:val="27"/>
          <w:lang w:val="en-US"/>
        </w:rPr>
      </w:pPr>
      <w:r w:rsidRPr="00ED533F">
        <w:rPr>
          <w:b/>
          <w:i/>
          <w:color w:val="000000" w:themeColor="text1"/>
          <w:sz w:val="27"/>
          <w:szCs w:val="27"/>
          <w:lang w:val="en-US"/>
        </w:rPr>
        <w:tab/>
      </w:r>
      <w:r w:rsidRPr="00ED533F">
        <w:rPr>
          <w:color w:val="000000" w:themeColor="text1"/>
          <w:sz w:val="27"/>
          <w:szCs w:val="27"/>
          <w:lang w:val="en-US"/>
        </w:rPr>
        <w:t>Ca urmare a aprobării proiectului sus-menționat cadrul normativ național va fi adus în concordanță cu legislaţia privind domeniu sanitar-veterinar şi siguranţei alimentelor și armonizat cu legislația Uniunii Europene.</w:t>
      </w:r>
    </w:p>
    <w:p w:rsidR="00ED533F" w:rsidRPr="00ED533F" w:rsidRDefault="00ED533F" w:rsidP="00ED533F">
      <w:pPr>
        <w:jc w:val="both"/>
        <w:rPr>
          <w:b/>
          <w:i/>
          <w:color w:val="000000" w:themeColor="text1"/>
          <w:sz w:val="27"/>
          <w:szCs w:val="27"/>
          <w:lang w:val="en-US"/>
        </w:rPr>
      </w:pPr>
      <w:r w:rsidRPr="00ED533F">
        <w:rPr>
          <w:color w:val="000000" w:themeColor="text1"/>
          <w:sz w:val="27"/>
          <w:szCs w:val="27"/>
          <w:lang w:val="en-US"/>
        </w:rPr>
        <w:tab/>
      </w:r>
      <w:r w:rsidRPr="00ED533F">
        <w:rPr>
          <w:b/>
          <w:i/>
          <w:color w:val="000000" w:themeColor="text1"/>
          <w:sz w:val="27"/>
          <w:szCs w:val="27"/>
          <w:lang w:val="en-US"/>
        </w:rPr>
        <w:t>7. Avizarea şi consultarea publică a proiectului</w:t>
      </w:r>
    </w:p>
    <w:p w:rsidR="00ED533F" w:rsidRPr="00ED533F" w:rsidRDefault="00ED533F" w:rsidP="00ED533F">
      <w:pPr>
        <w:ind w:firstLine="708"/>
        <w:jc w:val="both"/>
        <w:rPr>
          <w:color w:val="000000" w:themeColor="text1"/>
          <w:sz w:val="27"/>
          <w:szCs w:val="27"/>
          <w:lang w:val="en-US"/>
        </w:rPr>
      </w:pPr>
      <w:r w:rsidRPr="00ED533F">
        <w:rPr>
          <w:i/>
          <w:color w:val="000000" w:themeColor="text1"/>
          <w:sz w:val="27"/>
          <w:szCs w:val="27"/>
          <w:lang w:val="en-US"/>
        </w:rPr>
        <w:t xml:space="preserve"> </w:t>
      </w:r>
      <w:r w:rsidRPr="00ED533F">
        <w:rPr>
          <w:color w:val="000000" w:themeColor="text1"/>
          <w:sz w:val="27"/>
          <w:szCs w:val="27"/>
          <w:lang w:val="en-US"/>
        </w:rPr>
        <w:t xml:space="preserve">În vederea respectării prevederilor legislației în vigoare proiectul urmează a fi supus avizării şi consultării publice, conform prevederilor art. 32 din Legea 100/2017 cu privire la actele normative, fiind plasat pe pagina web a Ministerului Agriculturii, Dezvoltării Regionale și Mediului </w:t>
      </w:r>
      <w:hyperlink r:id="rId8" w:history="1">
        <w:r w:rsidRPr="00ED533F">
          <w:rPr>
            <w:color w:val="000000" w:themeColor="text1"/>
            <w:sz w:val="27"/>
            <w:szCs w:val="27"/>
            <w:u w:val="single"/>
            <w:lang w:val="en-US"/>
          </w:rPr>
          <w:t>www.madrm.gov.md</w:t>
        </w:r>
      </w:hyperlink>
      <w:r w:rsidRPr="00ED533F">
        <w:rPr>
          <w:color w:val="000000" w:themeColor="text1"/>
          <w:sz w:val="27"/>
          <w:szCs w:val="27"/>
          <w:lang w:val="en-US"/>
        </w:rPr>
        <w:t xml:space="preserve"> la compartimentul Transparență decizională / Proiecte de documente.</w:t>
      </w:r>
    </w:p>
    <w:p w:rsidR="00ED533F" w:rsidRPr="00ED533F" w:rsidRDefault="00ED533F" w:rsidP="00ED533F">
      <w:pPr>
        <w:ind w:firstLine="708"/>
        <w:jc w:val="both"/>
        <w:rPr>
          <w:b/>
          <w:i/>
          <w:color w:val="000000" w:themeColor="text1"/>
          <w:sz w:val="27"/>
          <w:szCs w:val="27"/>
          <w:lang w:val="ro-RO"/>
        </w:rPr>
      </w:pPr>
      <w:r w:rsidRPr="00ED533F">
        <w:rPr>
          <w:b/>
          <w:i/>
          <w:color w:val="000000" w:themeColor="text1"/>
          <w:sz w:val="27"/>
          <w:szCs w:val="27"/>
          <w:lang w:val="ro-RO"/>
        </w:rPr>
        <w:t>8. Constatările expertizei anticorupție</w:t>
      </w:r>
    </w:p>
    <w:p w:rsidR="00ED533F" w:rsidRPr="00ED533F" w:rsidRDefault="00ED533F" w:rsidP="00ED533F">
      <w:pPr>
        <w:ind w:firstLine="708"/>
        <w:jc w:val="both"/>
        <w:rPr>
          <w:b/>
          <w:i/>
          <w:color w:val="000000" w:themeColor="text1"/>
          <w:sz w:val="27"/>
          <w:szCs w:val="27"/>
          <w:lang w:val="ro-RO"/>
        </w:rPr>
      </w:pPr>
      <w:r w:rsidRPr="00ED533F">
        <w:rPr>
          <w:color w:val="000000" w:themeColor="text1"/>
          <w:sz w:val="27"/>
          <w:szCs w:val="27"/>
          <w:lang w:val="ro-RO"/>
        </w:rPr>
        <w:t xml:space="preserve">Proiectul urmează a fi supus expertizei anticorupţie conform art. 35 din Legea 100/2017, fiind solicitată efectuarea expertizei de către Centrul Naţional Anticorupţie. </w:t>
      </w:r>
      <w:r w:rsidRPr="00ED533F">
        <w:rPr>
          <w:color w:val="000000" w:themeColor="text1"/>
          <w:sz w:val="27"/>
          <w:szCs w:val="27"/>
          <w:lang w:val="ro-RO"/>
        </w:rPr>
        <w:tab/>
      </w:r>
      <w:r w:rsidRPr="00ED533F">
        <w:rPr>
          <w:b/>
          <w:i/>
          <w:color w:val="000000" w:themeColor="text1"/>
          <w:sz w:val="27"/>
          <w:szCs w:val="27"/>
          <w:lang w:val="ro-RO"/>
        </w:rPr>
        <w:t>9. Constatările expertizei de compatibilitate</w:t>
      </w:r>
    </w:p>
    <w:p w:rsidR="00ED533F" w:rsidRPr="00ED533F" w:rsidRDefault="00ED533F" w:rsidP="00ED533F">
      <w:pPr>
        <w:ind w:firstLine="708"/>
        <w:jc w:val="both"/>
        <w:rPr>
          <w:color w:val="000000" w:themeColor="text1"/>
          <w:sz w:val="27"/>
          <w:szCs w:val="27"/>
          <w:lang w:val="ro-RO"/>
        </w:rPr>
      </w:pPr>
      <w:r w:rsidRPr="00ED533F">
        <w:rPr>
          <w:color w:val="000000" w:themeColor="text1"/>
          <w:sz w:val="27"/>
          <w:szCs w:val="27"/>
          <w:lang w:val="ro-RO"/>
        </w:rPr>
        <w:t>Prezentul proiect conține norme privind armonizarea legislației naționale cu legislația Uniunii Europene fiind solicitată efectuarea expertizei de compatibilitate de Centrul de Armonizare a Legislației.</w:t>
      </w:r>
    </w:p>
    <w:p w:rsidR="00ED533F" w:rsidRPr="00ED533F" w:rsidRDefault="00ED533F" w:rsidP="00ED533F">
      <w:pPr>
        <w:ind w:firstLine="708"/>
        <w:jc w:val="both"/>
        <w:rPr>
          <w:b/>
          <w:i/>
          <w:color w:val="000000" w:themeColor="text1"/>
          <w:sz w:val="27"/>
          <w:szCs w:val="27"/>
          <w:lang w:val="ro-RO"/>
        </w:rPr>
      </w:pPr>
      <w:r w:rsidRPr="00ED533F">
        <w:rPr>
          <w:b/>
          <w:i/>
          <w:color w:val="000000" w:themeColor="text1"/>
          <w:sz w:val="27"/>
          <w:szCs w:val="27"/>
          <w:lang w:val="ro-RO"/>
        </w:rPr>
        <w:t>10. Constatările expertizei juridice</w:t>
      </w:r>
    </w:p>
    <w:p w:rsidR="00ED533F" w:rsidRPr="00ED533F" w:rsidRDefault="00ED533F" w:rsidP="00ED533F">
      <w:pPr>
        <w:ind w:firstLine="708"/>
        <w:jc w:val="both"/>
        <w:rPr>
          <w:color w:val="000000" w:themeColor="text1"/>
          <w:sz w:val="27"/>
          <w:szCs w:val="27"/>
          <w:lang w:val="en-US"/>
        </w:rPr>
      </w:pPr>
      <w:r w:rsidRPr="00ED533F">
        <w:rPr>
          <w:color w:val="000000" w:themeColor="text1"/>
          <w:sz w:val="27"/>
          <w:szCs w:val="27"/>
          <w:lang w:val="en-US"/>
        </w:rPr>
        <w:t xml:space="preserve">Proiectul </w:t>
      </w:r>
      <w:r w:rsidRPr="00ED533F">
        <w:rPr>
          <w:color w:val="000000" w:themeColor="text1"/>
          <w:sz w:val="27"/>
          <w:szCs w:val="27"/>
          <w:lang w:val="ro-RO"/>
        </w:rPr>
        <w:t>urmează a fi supus</w:t>
      </w:r>
      <w:r w:rsidRPr="00ED533F">
        <w:rPr>
          <w:color w:val="000000" w:themeColor="text1"/>
          <w:sz w:val="27"/>
          <w:szCs w:val="27"/>
          <w:lang w:val="en-US"/>
        </w:rPr>
        <w:t xml:space="preserve"> expertizei juridice conform art. 37 din Legea 100/2017, fiind solicitată efectuarea expertizei de către Ministerul Justiţiei.</w:t>
      </w:r>
    </w:p>
    <w:p w:rsidR="00ED533F" w:rsidRPr="00ED533F" w:rsidRDefault="00ED533F" w:rsidP="00ED533F">
      <w:pPr>
        <w:autoSpaceDE w:val="0"/>
        <w:jc w:val="both"/>
        <w:rPr>
          <w:color w:val="000000" w:themeColor="text1"/>
          <w:sz w:val="28"/>
          <w:szCs w:val="28"/>
          <w:lang w:val="ro-RO"/>
        </w:rPr>
      </w:pPr>
      <w:r w:rsidRPr="00ED533F">
        <w:rPr>
          <w:b/>
          <w:i/>
          <w:color w:val="000000" w:themeColor="text1"/>
          <w:sz w:val="28"/>
          <w:szCs w:val="28"/>
          <w:lang w:val="ro-RO"/>
        </w:rPr>
        <w:tab/>
        <w:t>11.</w:t>
      </w:r>
      <w:r w:rsidRPr="00ED533F">
        <w:rPr>
          <w:color w:val="000000" w:themeColor="text1"/>
          <w:sz w:val="28"/>
          <w:szCs w:val="28"/>
          <w:lang w:val="ro-RO"/>
        </w:rPr>
        <w:t xml:space="preserve"> </w:t>
      </w:r>
      <w:r w:rsidRPr="00ED533F">
        <w:rPr>
          <w:b/>
          <w:i/>
          <w:noProof/>
          <w:color w:val="000000" w:themeColor="text1"/>
          <w:sz w:val="28"/>
          <w:szCs w:val="28"/>
          <w:lang w:val="ro-RO"/>
        </w:rPr>
        <w:t>Alte expertize</w:t>
      </w:r>
    </w:p>
    <w:p w:rsidR="00ED533F" w:rsidRPr="00ED533F" w:rsidRDefault="00ED533F" w:rsidP="00ED533F">
      <w:pPr>
        <w:ind w:firstLine="709"/>
        <w:jc w:val="both"/>
        <w:rPr>
          <w:color w:val="000000" w:themeColor="text1"/>
          <w:sz w:val="28"/>
          <w:szCs w:val="28"/>
          <w:lang w:val="en-US"/>
        </w:rPr>
      </w:pPr>
      <w:r w:rsidRPr="00ED533F">
        <w:rPr>
          <w:noProof/>
          <w:color w:val="000000" w:themeColor="text1"/>
          <w:sz w:val="28"/>
          <w:szCs w:val="28"/>
          <w:lang w:val="ro-RO"/>
        </w:rPr>
        <w:t xml:space="preserve"> Proiectul conţine prevederi ce reglementează activitatea de întreprinzător în contextul Legii nr. 235/2006, astfel a fost </w:t>
      </w:r>
      <w:r w:rsidRPr="00ED533F">
        <w:rPr>
          <w:color w:val="000000" w:themeColor="text1"/>
          <w:sz w:val="28"/>
          <w:szCs w:val="28"/>
          <w:lang w:val="ro-RO"/>
        </w:rPr>
        <w:t>elaborată Analiza Impactului de Reglementare</w:t>
      </w:r>
      <w:r w:rsidRPr="00ED533F">
        <w:rPr>
          <w:noProof/>
          <w:color w:val="000000" w:themeColor="text1"/>
          <w:sz w:val="28"/>
          <w:szCs w:val="28"/>
          <w:lang w:val="ro-RO"/>
        </w:rPr>
        <w:t xml:space="preserve"> și solicitată </w:t>
      </w:r>
      <w:r w:rsidRPr="00ED533F">
        <w:rPr>
          <w:color w:val="000000" w:themeColor="text1"/>
          <w:sz w:val="28"/>
          <w:szCs w:val="28"/>
          <w:lang w:val="en-US"/>
        </w:rPr>
        <w:t>expertiză grupului de lucru al Comisiei de stat pentru reglementarea activităţii de întreprinzător.</w:t>
      </w:r>
    </w:p>
    <w:p w:rsidR="005E03A0" w:rsidRPr="003557F7" w:rsidRDefault="00FF041A" w:rsidP="00FF041A">
      <w:pPr>
        <w:rPr>
          <w:i/>
          <w:sz w:val="16"/>
          <w:szCs w:val="16"/>
          <w:lang w:val="en-US"/>
        </w:rPr>
      </w:pPr>
      <w:bookmarkStart w:id="0" w:name="_GoBack"/>
      <w:bookmarkEnd w:id="0"/>
      <w:r>
        <w:rPr>
          <w:b/>
          <w:sz w:val="28"/>
          <w:szCs w:val="28"/>
          <w:lang w:val="en-US"/>
        </w:rPr>
        <w:t xml:space="preserve"> </w:t>
      </w:r>
    </w:p>
    <w:sectPr w:rsidR="005E03A0" w:rsidRPr="003557F7" w:rsidSect="00AF34CD">
      <w:footerReference w:type="even" r:id="rId9"/>
      <w:footerReference w:type="default" r:id="rId10"/>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831" w:rsidRDefault="00A41831">
      <w:r>
        <w:separator/>
      </w:r>
    </w:p>
  </w:endnote>
  <w:endnote w:type="continuationSeparator" w:id="0">
    <w:p w:rsidR="00A41831" w:rsidRDefault="00A41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443" w:rsidRDefault="00770A24" w:rsidP="006B038E">
    <w:pPr>
      <w:pStyle w:val="a3"/>
      <w:framePr w:wrap="around" w:vAnchor="text" w:hAnchor="margin" w:xAlign="right" w:y="1"/>
      <w:rPr>
        <w:rStyle w:val="a5"/>
      </w:rPr>
    </w:pPr>
    <w:r>
      <w:rPr>
        <w:rStyle w:val="a5"/>
      </w:rPr>
      <w:fldChar w:fldCharType="begin"/>
    </w:r>
    <w:r w:rsidR="005F3EF2">
      <w:rPr>
        <w:rStyle w:val="a5"/>
      </w:rPr>
      <w:instrText xml:space="preserve">PAGE  </w:instrText>
    </w:r>
    <w:r>
      <w:rPr>
        <w:rStyle w:val="a5"/>
      </w:rPr>
      <w:fldChar w:fldCharType="end"/>
    </w:r>
  </w:p>
  <w:p w:rsidR="00777443" w:rsidRDefault="00A41831" w:rsidP="004F53D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443" w:rsidRPr="006B4530" w:rsidRDefault="00A41831" w:rsidP="006B038E">
    <w:pPr>
      <w:pStyle w:val="a3"/>
      <w:framePr w:wrap="around" w:vAnchor="text" w:hAnchor="margin" w:xAlign="right" w:y="1"/>
      <w:rPr>
        <w:rStyle w:val="a5"/>
        <w:lang w:val="ro-RO"/>
      </w:rPr>
    </w:pPr>
  </w:p>
  <w:p w:rsidR="00777443" w:rsidRDefault="00A41831" w:rsidP="004F53D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831" w:rsidRDefault="00A41831">
      <w:r>
        <w:separator/>
      </w:r>
    </w:p>
  </w:footnote>
  <w:footnote w:type="continuationSeparator" w:id="0">
    <w:p w:rsidR="00A41831" w:rsidRDefault="00A418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B87498"/>
    <w:rsid w:val="000016FE"/>
    <w:rsid w:val="00022213"/>
    <w:rsid w:val="00044233"/>
    <w:rsid w:val="00076708"/>
    <w:rsid w:val="002315D5"/>
    <w:rsid w:val="00283BDF"/>
    <w:rsid w:val="002B6C71"/>
    <w:rsid w:val="002C7715"/>
    <w:rsid w:val="00303CF4"/>
    <w:rsid w:val="003557F7"/>
    <w:rsid w:val="003875EB"/>
    <w:rsid w:val="00411A43"/>
    <w:rsid w:val="004C63D8"/>
    <w:rsid w:val="004D6925"/>
    <w:rsid w:val="0052170C"/>
    <w:rsid w:val="005336FF"/>
    <w:rsid w:val="005E03A0"/>
    <w:rsid w:val="005E0A37"/>
    <w:rsid w:val="005F3EF2"/>
    <w:rsid w:val="00647104"/>
    <w:rsid w:val="006C667D"/>
    <w:rsid w:val="007102F2"/>
    <w:rsid w:val="0075743A"/>
    <w:rsid w:val="00761302"/>
    <w:rsid w:val="00770A24"/>
    <w:rsid w:val="007A00E1"/>
    <w:rsid w:val="00847DC5"/>
    <w:rsid w:val="00873407"/>
    <w:rsid w:val="00886745"/>
    <w:rsid w:val="00890617"/>
    <w:rsid w:val="008D0127"/>
    <w:rsid w:val="008D24AC"/>
    <w:rsid w:val="008E6A11"/>
    <w:rsid w:val="00910B5A"/>
    <w:rsid w:val="00961AC1"/>
    <w:rsid w:val="00990604"/>
    <w:rsid w:val="009B0057"/>
    <w:rsid w:val="00A41831"/>
    <w:rsid w:val="00AA4A6E"/>
    <w:rsid w:val="00AA717A"/>
    <w:rsid w:val="00AE5877"/>
    <w:rsid w:val="00B066D1"/>
    <w:rsid w:val="00B87498"/>
    <w:rsid w:val="00B93F87"/>
    <w:rsid w:val="00BA21ED"/>
    <w:rsid w:val="00BC0CD5"/>
    <w:rsid w:val="00C704A3"/>
    <w:rsid w:val="00C72192"/>
    <w:rsid w:val="00C736E9"/>
    <w:rsid w:val="00C855D7"/>
    <w:rsid w:val="00D46613"/>
    <w:rsid w:val="00D864D8"/>
    <w:rsid w:val="00DD214F"/>
    <w:rsid w:val="00E00412"/>
    <w:rsid w:val="00E0586E"/>
    <w:rsid w:val="00EA61CE"/>
    <w:rsid w:val="00ED533F"/>
    <w:rsid w:val="00F52CF9"/>
    <w:rsid w:val="00FD409C"/>
    <w:rsid w:val="00FF0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7F7"/>
    <w:pPr>
      <w:spacing w:after="0" w:line="240" w:lineRule="auto"/>
    </w:pPr>
    <w:rPr>
      <w:rFonts w:ascii="Times New Roman" w:eastAsia="MS Mincho" w:hAnsi="Times New Roman" w:cs="Times New Roman"/>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a1">
    <w:name w:val="ca1"/>
    <w:rsid w:val="003557F7"/>
    <w:rPr>
      <w:b/>
      <w:bCs/>
      <w:color w:val="005F00"/>
      <w:sz w:val="24"/>
      <w:szCs w:val="24"/>
    </w:rPr>
  </w:style>
  <w:style w:type="character" w:customStyle="1" w:styleId="tal1">
    <w:name w:val="tal1"/>
    <w:basedOn w:val="a0"/>
    <w:rsid w:val="003557F7"/>
  </w:style>
  <w:style w:type="character" w:customStyle="1" w:styleId="tpa1">
    <w:name w:val="tpa1"/>
    <w:basedOn w:val="a0"/>
    <w:rsid w:val="003557F7"/>
  </w:style>
  <w:style w:type="paragraph" w:styleId="a3">
    <w:name w:val="footer"/>
    <w:basedOn w:val="a"/>
    <w:link w:val="a4"/>
    <w:rsid w:val="003557F7"/>
    <w:pPr>
      <w:tabs>
        <w:tab w:val="center" w:pos="4677"/>
        <w:tab w:val="right" w:pos="9355"/>
      </w:tabs>
    </w:pPr>
  </w:style>
  <w:style w:type="character" w:customStyle="1" w:styleId="a4">
    <w:name w:val="Нижний колонтитул Знак"/>
    <w:basedOn w:val="a0"/>
    <w:link w:val="a3"/>
    <w:rsid w:val="003557F7"/>
    <w:rPr>
      <w:rFonts w:ascii="Times New Roman" w:eastAsia="MS Mincho" w:hAnsi="Times New Roman" w:cs="Times New Roman"/>
      <w:sz w:val="24"/>
      <w:szCs w:val="24"/>
      <w:lang w:eastAsia="ja-JP"/>
    </w:rPr>
  </w:style>
  <w:style w:type="character" w:styleId="a5">
    <w:name w:val="page number"/>
    <w:basedOn w:val="a0"/>
    <w:rsid w:val="003557F7"/>
  </w:style>
  <w:style w:type="character" w:styleId="a6">
    <w:name w:val="Strong"/>
    <w:uiPriority w:val="22"/>
    <w:qFormat/>
    <w:rsid w:val="003557F7"/>
    <w:rPr>
      <w:b/>
      <w:bCs/>
    </w:rPr>
  </w:style>
  <w:style w:type="paragraph" w:styleId="a7">
    <w:name w:val="Balloon Text"/>
    <w:basedOn w:val="a"/>
    <w:link w:val="a8"/>
    <w:uiPriority w:val="99"/>
    <w:semiHidden/>
    <w:unhideWhenUsed/>
    <w:rsid w:val="005E03A0"/>
    <w:rPr>
      <w:rFonts w:ascii="Tahoma" w:hAnsi="Tahoma" w:cs="Tahoma"/>
      <w:sz w:val="16"/>
      <w:szCs w:val="16"/>
    </w:rPr>
  </w:style>
  <w:style w:type="character" w:customStyle="1" w:styleId="a8">
    <w:name w:val="Текст выноски Знак"/>
    <w:basedOn w:val="a0"/>
    <w:link w:val="a7"/>
    <w:uiPriority w:val="99"/>
    <w:semiHidden/>
    <w:rsid w:val="005E03A0"/>
    <w:rPr>
      <w:rFonts w:ascii="Tahoma" w:eastAsia="MS Mincho" w:hAnsi="Tahoma" w:cs="Tahoma"/>
      <w:sz w:val="16"/>
      <w:szCs w:val="16"/>
      <w:lang w:eastAsia="ja-JP"/>
    </w:rPr>
  </w:style>
  <w:style w:type="character" w:styleId="a9">
    <w:name w:val="Hyperlink"/>
    <w:basedOn w:val="a0"/>
    <w:uiPriority w:val="99"/>
    <w:unhideWhenUsed/>
    <w:rsid w:val="007102F2"/>
    <w:rPr>
      <w:color w:val="0000FF" w:themeColor="hyperlink"/>
      <w:u w:val="single"/>
    </w:rPr>
  </w:style>
  <w:style w:type="paragraph" w:styleId="aa">
    <w:name w:val="List Paragraph"/>
    <w:basedOn w:val="a"/>
    <w:uiPriority w:val="34"/>
    <w:qFormat/>
    <w:rsid w:val="002B6C71"/>
    <w:pPr>
      <w:spacing w:line="276" w:lineRule="auto"/>
      <w:ind w:left="720"/>
      <w:contextualSpacing/>
    </w:pPr>
    <w:rPr>
      <w:rFonts w:eastAsiaTheme="minorHAnsi" w:cstheme="minorBidi"/>
      <w:sz w:val="2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rm.gov.m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8F89E-2688-4A51-844E-ED16A7D52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2</Pages>
  <Words>927</Words>
  <Characters>5288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Edu</dc:creator>
  <cp:keywords/>
  <dc:description/>
  <cp:lastModifiedBy>Sitnic-Adam Silvia</cp:lastModifiedBy>
  <cp:revision>16</cp:revision>
  <cp:lastPrinted>2018-03-03T13:06:00Z</cp:lastPrinted>
  <dcterms:created xsi:type="dcterms:W3CDTF">2018-03-03T07:47:00Z</dcterms:created>
  <dcterms:modified xsi:type="dcterms:W3CDTF">2019-06-13T05:05:00Z</dcterms:modified>
</cp:coreProperties>
</file>