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13A" w:rsidRPr="004E6426" w:rsidRDefault="001E613A" w:rsidP="001E613A">
      <w:pPr>
        <w:jc w:val="center"/>
        <w:rPr>
          <w:b/>
          <w:sz w:val="28"/>
          <w:szCs w:val="28"/>
        </w:rPr>
      </w:pPr>
      <w:r w:rsidRPr="004E6426">
        <w:rPr>
          <w:b/>
          <w:sz w:val="28"/>
          <w:szCs w:val="28"/>
        </w:rPr>
        <w:t>NOTĂ INFORMATIVĂ</w:t>
      </w:r>
    </w:p>
    <w:p w:rsidR="001E613A" w:rsidRPr="005617CC" w:rsidRDefault="001E613A" w:rsidP="001E613A">
      <w:pPr>
        <w:jc w:val="center"/>
        <w:rPr>
          <w:b/>
          <w:bCs/>
          <w:sz w:val="28"/>
          <w:szCs w:val="28"/>
        </w:rPr>
      </w:pPr>
      <w:r w:rsidRPr="00FD2EE3">
        <w:rPr>
          <w:b/>
          <w:sz w:val="28"/>
          <w:szCs w:val="28"/>
        </w:rPr>
        <w:t xml:space="preserve">pentru modificarea anexei nr. 1 și nr. 3 la </w:t>
      </w:r>
      <w:proofErr w:type="spellStart"/>
      <w:r w:rsidRPr="00FD2EE3">
        <w:rPr>
          <w:b/>
          <w:sz w:val="28"/>
          <w:szCs w:val="28"/>
        </w:rPr>
        <w:t>Hotărîrea</w:t>
      </w:r>
      <w:proofErr w:type="spellEnd"/>
      <w:r w:rsidRPr="00FD2EE3">
        <w:rPr>
          <w:b/>
          <w:sz w:val="28"/>
          <w:szCs w:val="28"/>
        </w:rPr>
        <w:t xml:space="preserve"> Guvernului nr. 284/2013 privind aprobarea uniformei, însemnelor şi normelor de echipare cu uniformă ale poliţiştilor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5"/>
      </w:tblGrid>
      <w:tr w:rsidR="001E613A" w:rsidRPr="004E6426" w:rsidTr="00715140">
        <w:tc>
          <w:tcPr>
            <w:tcW w:w="5000" w:type="pct"/>
            <w:shd w:val="clear" w:color="auto" w:fill="D9D9D9"/>
          </w:tcPr>
          <w:p w:rsidR="001E613A" w:rsidRPr="004E6426" w:rsidRDefault="001E613A" w:rsidP="001E613A">
            <w:pPr>
              <w:numPr>
                <w:ilvl w:val="3"/>
                <w:numId w:val="1"/>
              </w:numPr>
              <w:tabs>
                <w:tab w:val="clear" w:pos="2880"/>
                <w:tab w:val="left" w:pos="284"/>
                <w:tab w:val="left" w:pos="1196"/>
              </w:tabs>
              <w:ind w:left="0" w:firstLine="0"/>
              <w:jc w:val="both"/>
              <w:rPr>
                <w:b/>
                <w:i/>
                <w:sz w:val="28"/>
                <w:szCs w:val="28"/>
              </w:rPr>
            </w:pPr>
            <w:r w:rsidRPr="004E6426">
              <w:rPr>
                <w:b/>
                <w:i/>
                <w:sz w:val="28"/>
                <w:szCs w:val="28"/>
              </w:rPr>
              <w:t xml:space="preserve"> Denumirea autorului şi, după caz, a participanţilor la elaborarea proiectului</w:t>
            </w:r>
          </w:p>
        </w:tc>
      </w:tr>
      <w:tr w:rsidR="001E613A" w:rsidRPr="004E6426" w:rsidTr="00715140">
        <w:tc>
          <w:tcPr>
            <w:tcW w:w="5000" w:type="pct"/>
          </w:tcPr>
          <w:p w:rsidR="001E613A" w:rsidRPr="004E6426" w:rsidRDefault="001E613A" w:rsidP="00715140">
            <w:pPr>
              <w:tabs>
                <w:tab w:val="left" w:pos="884"/>
                <w:tab w:val="left" w:pos="1196"/>
              </w:tabs>
              <w:ind w:firstLine="567"/>
              <w:jc w:val="both"/>
              <w:rPr>
                <w:sz w:val="28"/>
                <w:szCs w:val="28"/>
                <w:lang w:val="en-US"/>
              </w:rPr>
            </w:pPr>
            <w:r w:rsidRPr="004E6426">
              <w:rPr>
                <w:sz w:val="28"/>
                <w:szCs w:val="28"/>
              </w:rPr>
              <w:t>Autorul proiectului este Ministerul Afacerilor Interne.</w:t>
            </w:r>
          </w:p>
        </w:tc>
      </w:tr>
      <w:tr w:rsidR="001E613A" w:rsidRPr="004E6426" w:rsidTr="00715140">
        <w:tc>
          <w:tcPr>
            <w:tcW w:w="5000" w:type="pct"/>
            <w:shd w:val="clear" w:color="auto" w:fill="D9D9D9"/>
          </w:tcPr>
          <w:p w:rsidR="001E613A" w:rsidRPr="004E6426" w:rsidRDefault="001E613A" w:rsidP="00715140">
            <w:pPr>
              <w:tabs>
                <w:tab w:val="left" w:pos="884"/>
                <w:tab w:val="left" w:pos="1196"/>
              </w:tabs>
              <w:jc w:val="both"/>
              <w:rPr>
                <w:b/>
                <w:i/>
                <w:sz w:val="28"/>
                <w:szCs w:val="28"/>
              </w:rPr>
            </w:pPr>
            <w:r w:rsidRPr="004E6426">
              <w:rPr>
                <w:b/>
                <w:i/>
                <w:sz w:val="28"/>
                <w:szCs w:val="28"/>
              </w:rPr>
              <w:t>2. Condiţiile ce au impus elaborarea proiectului de act normativ şi finalităţile urmărite</w:t>
            </w:r>
          </w:p>
        </w:tc>
      </w:tr>
      <w:tr w:rsidR="001E613A" w:rsidRPr="004E6426" w:rsidTr="00715140">
        <w:tc>
          <w:tcPr>
            <w:tcW w:w="5000" w:type="pct"/>
          </w:tcPr>
          <w:p w:rsidR="001E613A" w:rsidRPr="005A1020" w:rsidRDefault="001E613A" w:rsidP="00715140">
            <w:pPr>
              <w:ind w:right="-28" w:firstLine="567"/>
              <w:jc w:val="both"/>
              <w:rPr>
                <w:sz w:val="28"/>
                <w:szCs w:val="28"/>
              </w:rPr>
            </w:pPr>
            <w:r w:rsidRPr="005A1020">
              <w:rPr>
                <w:sz w:val="28"/>
                <w:szCs w:val="28"/>
              </w:rPr>
              <w:t>Unul din obiectivele principale ale procesului de reformă al Ministerului Afacerilor Interne şi a structurilor subordonate şi desconcentrate acestuia, demarat în contextul aspiraţiilor europene ale Republicii Moldova, urmăreşte scopul constituirii unui sistem de ordine şi securitate publică integrat, interoperabil şi compatibil, capabil să asigure servicii publice de calitate pentru protecţia persoanei, siguranţa societăţii şi statului, precum şi creşterea nivelului de încredere a populaţiei în organele de drept.</w:t>
            </w:r>
          </w:p>
          <w:p w:rsidR="001E613A" w:rsidRPr="005A1020" w:rsidRDefault="001E613A" w:rsidP="00715140">
            <w:pPr>
              <w:ind w:right="-28" w:firstLine="567"/>
              <w:jc w:val="both"/>
              <w:rPr>
                <w:sz w:val="28"/>
                <w:szCs w:val="28"/>
              </w:rPr>
            </w:pPr>
            <w:r w:rsidRPr="005A1020">
              <w:rPr>
                <w:sz w:val="28"/>
                <w:szCs w:val="28"/>
              </w:rPr>
              <w:t xml:space="preserve">În contextul implementării Programului de Reformare al Poliției „Suport bugetar pentru Reforma Poliției CRIS: ENI/2015/038-144, finanțat în cadrul Instrumentului european de vecinătate, unul dintre obiectivele Strategiei de dezvoltare a Poliției pentru perioada 2016 – 2020, aprobată prin </w:t>
            </w:r>
            <w:proofErr w:type="spellStart"/>
            <w:r w:rsidRPr="005A1020">
              <w:rPr>
                <w:sz w:val="28"/>
                <w:szCs w:val="28"/>
              </w:rPr>
              <w:t>Hotărîrea</w:t>
            </w:r>
            <w:proofErr w:type="spellEnd"/>
            <w:r w:rsidRPr="005A1020">
              <w:rPr>
                <w:sz w:val="28"/>
                <w:szCs w:val="28"/>
              </w:rPr>
              <w:t xml:space="preserve"> Guvernului nr. 587/2016, îl constituie crearea Centrului integrat de pregătire pentru aplicarea legii al MAI (CIPAL al MAI), în conformitate cu standardele UE.</w:t>
            </w:r>
          </w:p>
          <w:p w:rsidR="001E613A" w:rsidRPr="005A1020" w:rsidRDefault="001E613A" w:rsidP="00715140">
            <w:pPr>
              <w:ind w:right="-28" w:firstLine="567"/>
              <w:jc w:val="both"/>
              <w:rPr>
                <w:sz w:val="28"/>
                <w:szCs w:val="28"/>
              </w:rPr>
            </w:pPr>
            <w:r w:rsidRPr="005A1020">
              <w:rPr>
                <w:sz w:val="28"/>
                <w:szCs w:val="28"/>
              </w:rPr>
              <w:t xml:space="preserve">În acest sens, la 17 ianuarie 2018, prin </w:t>
            </w:r>
            <w:proofErr w:type="spellStart"/>
            <w:r w:rsidRPr="005A1020">
              <w:rPr>
                <w:sz w:val="28"/>
                <w:szCs w:val="28"/>
              </w:rPr>
              <w:t>Hotărîrea</w:t>
            </w:r>
            <w:proofErr w:type="spellEnd"/>
            <w:r w:rsidRPr="005A1020">
              <w:rPr>
                <w:sz w:val="28"/>
                <w:szCs w:val="28"/>
              </w:rPr>
              <w:t xml:space="preserve"> Guvernului nr. 53 a fost creat CIPAL, instituție responsabilă de formarea inițială și continuă a personalului MAI, pregătirea continuă a personalului din instituții de aplicarea a legii și a altor beneficiari.</w:t>
            </w:r>
          </w:p>
          <w:p w:rsidR="001E613A" w:rsidRPr="005A1020" w:rsidRDefault="001E613A" w:rsidP="00715140">
            <w:pPr>
              <w:ind w:right="-28" w:firstLine="567"/>
              <w:jc w:val="both"/>
              <w:rPr>
                <w:sz w:val="28"/>
                <w:szCs w:val="28"/>
              </w:rPr>
            </w:pPr>
            <w:r w:rsidRPr="005A1020">
              <w:rPr>
                <w:sz w:val="28"/>
                <w:szCs w:val="28"/>
              </w:rPr>
              <w:t>Având în vedere faptul că cursurile de formare inițială cuprind activități de instruire, care sunt desfășurate  în scopul obţinerii de către personal a competențelor necesare calificării pentru activitatea profesională pe care urmează să o exercite angajatul, necesitatea dotării acestuia cu echipament</w:t>
            </w:r>
            <w:r>
              <w:rPr>
                <w:sz w:val="28"/>
                <w:szCs w:val="28"/>
              </w:rPr>
              <w:t xml:space="preserve"> și </w:t>
            </w:r>
            <w:proofErr w:type="spellStart"/>
            <w:r>
              <w:rPr>
                <w:sz w:val="28"/>
                <w:szCs w:val="28"/>
              </w:rPr>
              <w:t>acesorii</w:t>
            </w:r>
            <w:proofErr w:type="spellEnd"/>
            <w:r w:rsidRPr="005A1020">
              <w:rPr>
                <w:sz w:val="28"/>
                <w:szCs w:val="28"/>
              </w:rPr>
              <w:t xml:space="preserve"> corespunzător activităților ce urmează a fi desfășurate, devine un imperativ.  </w:t>
            </w:r>
          </w:p>
          <w:p w:rsidR="001E613A" w:rsidRDefault="001E613A" w:rsidP="00715140">
            <w:pPr>
              <w:tabs>
                <w:tab w:val="left" w:pos="884"/>
                <w:tab w:val="left" w:pos="1196"/>
              </w:tabs>
              <w:ind w:firstLine="567"/>
              <w:jc w:val="both"/>
              <w:rPr>
                <w:sz w:val="28"/>
                <w:szCs w:val="28"/>
              </w:rPr>
            </w:pPr>
            <w:r>
              <w:rPr>
                <w:sz w:val="28"/>
                <w:szCs w:val="28"/>
              </w:rPr>
              <w:t>Astfel, modificările propuse vor stabili</w:t>
            </w:r>
            <w:r w:rsidRPr="005A1020">
              <w:rPr>
                <w:sz w:val="28"/>
                <w:szCs w:val="28"/>
              </w:rPr>
              <w:t xml:space="preserve"> prevederi privind normele de echipare a </w:t>
            </w:r>
            <w:r>
              <w:rPr>
                <w:sz w:val="28"/>
                <w:szCs w:val="28"/>
              </w:rPr>
              <w:t>polițiștilor</w:t>
            </w:r>
            <w:r w:rsidRPr="005A1020">
              <w:rPr>
                <w:sz w:val="28"/>
                <w:szCs w:val="28"/>
              </w:rPr>
              <w:t xml:space="preserve"> care desfășoară cursuri de formare inițială, </w:t>
            </w:r>
            <w:r>
              <w:rPr>
                <w:sz w:val="28"/>
                <w:szCs w:val="28"/>
              </w:rPr>
              <w:t xml:space="preserve">care </w:t>
            </w:r>
            <w:r w:rsidRPr="005A1020">
              <w:rPr>
                <w:sz w:val="28"/>
                <w:szCs w:val="28"/>
              </w:rPr>
              <w:t>să corespundă activităților de instruire teoretice și practice</w:t>
            </w:r>
            <w:r>
              <w:rPr>
                <w:sz w:val="28"/>
                <w:szCs w:val="28"/>
              </w:rPr>
              <w:t xml:space="preserve"> desfășurate în cadrul CIPAL și alte instituții de formare inițială ale MAI.</w:t>
            </w:r>
          </w:p>
          <w:p w:rsidR="001E613A" w:rsidRPr="005A1020" w:rsidRDefault="001E613A" w:rsidP="00715140">
            <w:pPr>
              <w:tabs>
                <w:tab w:val="left" w:pos="884"/>
                <w:tab w:val="left" w:pos="1196"/>
              </w:tabs>
              <w:ind w:firstLine="567"/>
              <w:jc w:val="both"/>
              <w:rPr>
                <w:bCs/>
                <w:sz w:val="28"/>
                <w:szCs w:val="28"/>
              </w:rPr>
            </w:pPr>
            <w:r>
              <w:rPr>
                <w:bCs/>
                <w:sz w:val="28"/>
                <w:szCs w:val="28"/>
              </w:rPr>
              <w:t>Totodată, prezentul proiect intervine în scopul completării listei de accesorii privind dotarea cu rucsac a angajaților delegați la cursuri de formare inițială necesitatea căreia reiese din faptul că, procesul de instruire a polițiștilor implică activități dinamice, ce impune deplasarea acestora în diverse locații și totodată trebuie să posede în permanență obiecte de primă utilitate (echipament sportiv, materiale didactice, lucruri personale, etc.).</w:t>
            </w:r>
          </w:p>
        </w:tc>
      </w:tr>
      <w:tr w:rsidR="001E613A" w:rsidRPr="004E6426" w:rsidTr="00715140">
        <w:tc>
          <w:tcPr>
            <w:tcW w:w="5000" w:type="pct"/>
            <w:shd w:val="clear" w:color="auto" w:fill="D9D9D9"/>
          </w:tcPr>
          <w:p w:rsidR="001E613A" w:rsidRPr="004E6426" w:rsidRDefault="001E613A" w:rsidP="00715140">
            <w:pPr>
              <w:tabs>
                <w:tab w:val="left" w:pos="884"/>
                <w:tab w:val="left" w:pos="1196"/>
              </w:tabs>
              <w:jc w:val="both"/>
              <w:rPr>
                <w:b/>
                <w:i/>
                <w:sz w:val="28"/>
                <w:szCs w:val="28"/>
              </w:rPr>
            </w:pPr>
            <w:r w:rsidRPr="004E6426">
              <w:rPr>
                <w:b/>
                <w:i/>
                <w:sz w:val="28"/>
                <w:szCs w:val="28"/>
              </w:rPr>
              <w:t>3. Descrierea gradului de compatibilitate pentru proiectele care au ca scop armonizarea legislaţiei naţionale cu legislaţia Uniunii Europene</w:t>
            </w:r>
          </w:p>
        </w:tc>
      </w:tr>
      <w:tr w:rsidR="001E613A" w:rsidRPr="004E6426" w:rsidTr="00715140">
        <w:tc>
          <w:tcPr>
            <w:tcW w:w="5000" w:type="pct"/>
          </w:tcPr>
          <w:p w:rsidR="001E613A" w:rsidRPr="004E6426" w:rsidRDefault="001E613A" w:rsidP="00715140">
            <w:pPr>
              <w:tabs>
                <w:tab w:val="left" w:pos="884"/>
                <w:tab w:val="left" w:pos="1196"/>
              </w:tabs>
              <w:ind w:firstLine="567"/>
              <w:jc w:val="both"/>
              <w:rPr>
                <w:sz w:val="28"/>
                <w:szCs w:val="28"/>
              </w:rPr>
            </w:pPr>
            <w:r>
              <w:rPr>
                <w:sz w:val="28"/>
                <w:szCs w:val="28"/>
              </w:rPr>
              <w:t>Prezentul proiect, nu are ca scop armonizarea legislației naționale cu legislația Uniunii Europene.</w:t>
            </w:r>
          </w:p>
        </w:tc>
      </w:tr>
      <w:tr w:rsidR="001E613A" w:rsidRPr="004E6426" w:rsidTr="00715140">
        <w:tc>
          <w:tcPr>
            <w:tcW w:w="5000" w:type="pct"/>
            <w:shd w:val="clear" w:color="auto" w:fill="D9D9D9"/>
          </w:tcPr>
          <w:p w:rsidR="001E613A" w:rsidRPr="004E6426" w:rsidRDefault="001E613A" w:rsidP="00715140">
            <w:pPr>
              <w:tabs>
                <w:tab w:val="left" w:pos="884"/>
                <w:tab w:val="left" w:pos="1196"/>
              </w:tabs>
              <w:jc w:val="both"/>
              <w:rPr>
                <w:b/>
                <w:i/>
                <w:sz w:val="28"/>
                <w:szCs w:val="28"/>
              </w:rPr>
            </w:pPr>
            <w:r w:rsidRPr="004E6426">
              <w:rPr>
                <w:b/>
                <w:i/>
                <w:sz w:val="28"/>
                <w:szCs w:val="28"/>
              </w:rPr>
              <w:t>4. Principalele prevederi ale proiectului şi evidenţierea elementelor noi</w:t>
            </w:r>
          </w:p>
        </w:tc>
      </w:tr>
      <w:tr w:rsidR="001E613A" w:rsidRPr="004E6426" w:rsidTr="00715140">
        <w:tc>
          <w:tcPr>
            <w:tcW w:w="5000" w:type="pct"/>
          </w:tcPr>
          <w:p w:rsidR="001E613A" w:rsidRPr="00E92F23" w:rsidRDefault="001E613A" w:rsidP="00715140">
            <w:pPr>
              <w:tabs>
                <w:tab w:val="left" w:pos="360"/>
                <w:tab w:val="left" w:pos="426"/>
                <w:tab w:val="left" w:pos="540"/>
                <w:tab w:val="left" w:pos="851"/>
                <w:tab w:val="left" w:pos="3969"/>
                <w:tab w:val="left" w:pos="10065"/>
              </w:tabs>
              <w:ind w:right="-28" w:firstLine="567"/>
              <w:jc w:val="both"/>
              <w:rPr>
                <w:sz w:val="28"/>
                <w:szCs w:val="28"/>
              </w:rPr>
            </w:pPr>
            <w:r w:rsidRPr="00C4170B">
              <w:rPr>
                <w:bCs/>
                <w:sz w:val="28"/>
                <w:szCs w:val="28"/>
              </w:rPr>
              <w:t xml:space="preserve">Scopul proiectului </w:t>
            </w:r>
            <w:proofErr w:type="spellStart"/>
            <w:r w:rsidRPr="00C4170B">
              <w:rPr>
                <w:bCs/>
                <w:sz w:val="28"/>
                <w:szCs w:val="28"/>
              </w:rPr>
              <w:t>hotărîrii</w:t>
            </w:r>
            <w:proofErr w:type="spellEnd"/>
            <w:r w:rsidRPr="00C4170B">
              <w:rPr>
                <w:bCs/>
                <w:sz w:val="28"/>
                <w:szCs w:val="28"/>
              </w:rPr>
              <w:t xml:space="preserve"> Guvernului cu privire la completarea anexe</w:t>
            </w:r>
            <w:r>
              <w:rPr>
                <w:bCs/>
                <w:sz w:val="28"/>
                <w:szCs w:val="28"/>
              </w:rPr>
              <w:t>lor nr.1 și nr. 3</w:t>
            </w:r>
            <w:r w:rsidRPr="00C4170B">
              <w:rPr>
                <w:bCs/>
                <w:sz w:val="28"/>
                <w:szCs w:val="28"/>
              </w:rPr>
              <w:t xml:space="preserve"> la </w:t>
            </w:r>
            <w:proofErr w:type="spellStart"/>
            <w:r w:rsidRPr="00C4170B">
              <w:rPr>
                <w:bCs/>
                <w:sz w:val="28"/>
                <w:szCs w:val="28"/>
              </w:rPr>
              <w:t>Hotărîrea</w:t>
            </w:r>
            <w:proofErr w:type="spellEnd"/>
            <w:r w:rsidRPr="00C4170B">
              <w:rPr>
                <w:bCs/>
                <w:sz w:val="28"/>
                <w:szCs w:val="28"/>
              </w:rPr>
              <w:t xml:space="preserve"> Guvernului nr. 284</w:t>
            </w:r>
            <w:r>
              <w:rPr>
                <w:bCs/>
                <w:sz w:val="28"/>
                <w:szCs w:val="28"/>
              </w:rPr>
              <w:t>/</w:t>
            </w:r>
            <w:r w:rsidRPr="00C4170B">
              <w:rPr>
                <w:bCs/>
                <w:sz w:val="28"/>
                <w:szCs w:val="28"/>
              </w:rPr>
              <w:t xml:space="preserve">2013 constă în </w:t>
            </w:r>
            <w:r>
              <w:rPr>
                <w:bCs/>
                <w:sz w:val="28"/>
                <w:szCs w:val="28"/>
              </w:rPr>
              <w:t>stabilirea</w:t>
            </w:r>
            <w:r w:rsidRPr="00C4170B">
              <w:rPr>
                <w:bCs/>
                <w:sz w:val="28"/>
                <w:szCs w:val="28"/>
              </w:rPr>
              <w:t xml:space="preserve"> prevederi</w:t>
            </w:r>
            <w:r>
              <w:rPr>
                <w:bCs/>
                <w:sz w:val="28"/>
                <w:szCs w:val="28"/>
              </w:rPr>
              <w:t>lor</w:t>
            </w:r>
            <w:r w:rsidRPr="00C4170B">
              <w:rPr>
                <w:bCs/>
                <w:sz w:val="28"/>
                <w:szCs w:val="28"/>
              </w:rPr>
              <w:t xml:space="preserve"> referitoare </w:t>
            </w:r>
            <w:r w:rsidRPr="00C4170B">
              <w:rPr>
                <w:bCs/>
                <w:sz w:val="28"/>
                <w:szCs w:val="28"/>
              </w:rPr>
              <w:lastRenderedPageBreak/>
              <w:t xml:space="preserve">la echiparea cu uniformă a </w:t>
            </w:r>
            <w:r>
              <w:rPr>
                <w:bCs/>
                <w:sz w:val="28"/>
                <w:szCs w:val="28"/>
              </w:rPr>
              <w:t>polițiștilor delegați la cursuri de formare inițială</w:t>
            </w:r>
            <w:r w:rsidRPr="00C4170B">
              <w:rPr>
                <w:bCs/>
                <w:sz w:val="28"/>
                <w:szCs w:val="28"/>
              </w:rPr>
              <w:t>.</w:t>
            </w:r>
          </w:p>
        </w:tc>
      </w:tr>
      <w:tr w:rsidR="001E613A" w:rsidRPr="004E6426" w:rsidTr="00715140">
        <w:tc>
          <w:tcPr>
            <w:tcW w:w="5000" w:type="pct"/>
            <w:shd w:val="clear" w:color="auto" w:fill="D9D9D9"/>
          </w:tcPr>
          <w:p w:rsidR="001E613A" w:rsidRPr="004E6426" w:rsidRDefault="001E613A" w:rsidP="00715140">
            <w:pPr>
              <w:tabs>
                <w:tab w:val="left" w:pos="884"/>
                <w:tab w:val="left" w:pos="1196"/>
              </w:tabs>
              <w:jc w:val="both"/>
              <w:rPr>
                <w:b/>
                <w:i/>
                <w:sz w:val="28"/>
                <w:szCs w:val="28"/>
              </w:rPr>
            </w:pPr>
            <w:r w:rsidRPr="004E6426">
              <w:rPr>
                <w:b/>
                <w:i/>
                <w:sz w:val="28"/>
                <w:szCs w:val="28"/>
              </w:rPr>
              <w:lastRenderedPageBreak/>
              <w:t>5. Fundamentarea economico-financiară</w:t>
            </w:r>
          </w:p>
        </w:tc>
      </w:tr>
      <w:tr w:rsidR="001E613A" w:rsidRPr="004E6426" w:rsidTr="00715140">
        <w:tc>
          <w:tcPr>
            <w:tcW w:w="5000" w:type="pct"/>
          </w:tcPr>
          <w:p w:rsidR="001E613A" w:rsidRPr="004E6426" w:rsidRDefault="001E613A" w:rsidP="00715140">
            <w:pPr>
              <w:tabs>
                <w:tab w:val="left" w:pos="884"/>
                <w:tab w:val="left" w:pos="1196"/>
              </w:tabs>
              <w:ind w:firstLine="709"/>
              <w:jc w:val="both"/>
              <w:rPr>
                <w:sz w:val="28"/>
                <w:szCs w:val="28"/>
              </w:rPr>
            </w:pPr>
            <w:r w:rsidRPr="00C4170B">
              <w:rPr>
                <w:bCs/>
                <w:sz w:val="28"/>
                <w:szCs w:val="28"/>
              </w:rPr>
              <w:t>Implementarea amendamentelor propuse nu necesită alocarea mijloacelor financiare suplimentare, deoarece acestea se vor realiza în limitele mijloacelor financiare prevăzute pentru confecţionarea uniformelor în bugetul de stat pentru anul respectiv pentru Ministerul Afacerilor Interne, însă în anii următori acestea urmează a fi planificate în limitele bugetului.</w:t>
            </w:r>
            <w:r>
              <w:rPr>
                <w:bCs/>
                <w:sz w:val="28"/>
                <w:szCs w:val="28"/>
              </w:rPr>
              <w:t xml:space="preserve"> </w:t>
            </w:r>
          </w:p>
        </w:tc>
      </w:tr>
      <w:tr w:rsidR="001E613A" w:rsidRPr="004E6426" w:rsidTr="00715140">
        <w:tc>
          <w:tcPr>
            <w:tcW w:w="5000" w:type="pct"/>
            <w:shd w:val="clear" w:color="auto" w:fill="D9D9D9"/>
          </w:tcPr>
          <w:p w:rsidR="001E613A" w:rsidRPr="004E6426" w:rsidRDefault="001E613A" w:rsidP="00715140">
            <w:pPr>
              <w:tabs>
                <w:tab w:val="left" w:pos="884"/>
                <w:tab w:val="left" w:pos="1196"/>
              </w:tabs>
              <w:jc w:val="both"/>
              <w:rPr>
                <w:b/>
                <w:i/>
                <w:sz w:val="28"/>
                <w:szCs w:val="28"/>
              </w:rPr>
            </w:pPr>
            <w:r w:rsidRPr="004E6426">
              <w:rPr>
                <w:b/>
                <w:i/>
                <w:sz w:val="28"/>
                <w:szCs w:val="28"/>
              </w:rPr>
              <w:t xml:space="preserve">6. Modul de încorporare a actului în cadrul normativ în vigoare </w:t>
            </w:r>
          </w:p>
        </w:tc>
      </w:tr>
      <w:tr w:rsidR="001E613A" w:rsidRPr="004E6426" w:rsidTr="00715140">
        <w:tc>
          <w:tcPr>
            <w:tcW w:w="5000" w:type="pct"/>
          </w:tcPr>
          <w:p w:rsidR="001E613A" w:rsidRPr="00A96301" w:rsidRDefault="001E613A" w:rsidP="00715140">
            <w:pPr>
              <w:tabs>
                <w:tab w:val="left" w:pos="884"/>
                <w:tab w:val="left" w:pos="1196"/>
              </w:tabs>
              <w:ind w:firstLine="709"/>
              <w:jc w:val="both"/>
              <w:rPr>
                <w:sz w:val="28"/>
                <w:szCs w:val="28"/>
                <w:lang w:val="en-US"/>
              </w:rPr>
            </w:pPr>
            <w:r>
              <w:rPr>
                <w:sz w:val="28"/>
                <w:szCs w:val="28"/>
              </w:rPr>
              <w:t xml:space="preserve">Prezentul proiect, se încadrează perfect în cadrul normativ în vigoare, </w:t>
            </w:r>
            <w:proofErr w:type="spellStart"/>
            <w:r>
              <w:rPr>
                <w:sz w:val="28"/>
                <w:szCs w:val="28"/>
              </w:rPr>
              <w:t>întrucît</w:t>
            </w:r>
            <w:proofErr w:type="spellEnd"/>
            <w:r>
              <w:rPr>
                <w:sz w:val="28"/>
                <w:szCs w:val="28"/>
              </w:rPr>
              <w:t xml:space="preserve"> are drept scop completarea unui act normativ în vigoare </w:t>
            </w:r>
            <w:r w:rsidRPr="00A96301">
              <w:rPr>
                <w:sz w:val="28"/>
                <w:szCs w:val="28"/>
              </w:rPr>
              <w:t>și nu necesită modificarea cadrului legal conex.</w:t>
            </w:r>
          </w:p>
        </w:tc>
      </w:tr>
      <w:tr w:rsidR="001E613A" w:rsidRPr="004E6426" w:rsidTr="00715140">
        <w:tc>
          <w:tcPr>
            <w:tcW w:w="5000" w:type="pct"/>
            <w:shd w:val="clear" w:color="auto" w:fill="D9D9D9"/>
          </w:tcPr>
          <w:p w:rsidR="001E613A" w:rsidRPr="004E6426" w:rsidRDefault="001E613A" w:rsidP="00715140">
            <w:pPr>
              <w:tabs>
                <w:tab w:val="left" w:pos="884"/>
                <w:tab w:val="left" w:pos="1196"/>
              </w:tabs>
              <w:jc w:val="both"/>
              <w:rPr>
                <w:b/>
                <w:i/>
                <w:sz w:val="28"/>
                <w:szCs w:val="28"/>
              </w:rPr>
            </w:pPr>
            <w:r w:rsidRPr="004E6426">
              <w:rPr>
                <w:b/>
                <w:i/>
                <w:sz w:val="28"/>
                <w:szCs w:val="28"/>
              </w:rPr>
              <w:t>7. Avizarea şi consultarea publică a proiectului</w:t>
            </w:r>
          </w:p>
        </w:tc>
      </w:tr>
      <w:tr w:rsidR="001E613A" w:rsidRPr="005617CC" w:rsidTr="00715140">
        <w:tc>
          <w:tcPr>
            <w:tcW w:w="5000" w:type="pct"/>
          </w:tcPr>
          <w:p w:rsidR="001E613A" w:rsidRPr="004E6426" w:rsidRDefault="001E613A" w:rsidP="00715140">
            <w:pPr>
              <w:tabs>
                <w:tab w:val="left" w:pos="884"/>
                <w:tab w:val="left" w:pos="1196"/>
              </w:tabs>
              <w:ind w:firstLine="709"/>
              <w:jc w:val="both"/>
              <w:rPr>
                <w:sz w:val="28"/>
                <w:szCs w:val="28"/>
              </w:rPr>
            </w:pPr>
            <w:r w:rsidRPr="004E6426">
              <w:rPr>
                <w:sz w:val="28"/>
                <w:szCs w:val="28"/>
                <w:lang w:eastAsia="en-US"/>
              </w:rPr>
              <w:t xml:space="preserve">În vederea respectării prevederilor Legii nr. 239-XVI din 13 noiembrie 2008 privind transparența în procesul decizional, proiectul a fost publicat pentru consultare publică pe pagina web oficială a Ministerului Afacerilor Interne </w:t>
            </w:r>
            <w:hyperlink r:id="rId6" w:history="1">
              <w:r w:rsidRPr="004E6426">
                <w:rPr>
                  <w:rStyle w:val="a3"/>
                  <w:sz w:val="28"/>
                  <w:szCs w:val="28"/>
                  <w:lang w:eastAsia="en-US"/>
                </w:rPr>
                <w:t>www.mai.gov.md</w:t>
              </w:r>
            </w:hyperlink>
            <w:r w:rsidRPr="004E6426">
              <w:rPr>
                <w:sz w:val="28"/>
                <w:szCs w:val="28"/>
                <w:u w:val="single"/>
                <w:lang w:eastAsia="en-US"/>
              </w:rPr>
              <w:t>,</w:t>
            </w:r>
            <w:r w:rsidRPr="004E6426">
              <w:rPr>
                <w:sz w:val="28"/>
                <w:szCs w:val="28"/>
                <w:lang w:eastAsia="en-US"/>
              </w:rPr>
              <w:t xml:space="preserve"> la directoriul </w:t>
            </w:r>
            <w:r w:rsidRPr="004E6426">
              <w:rPr>
                <w:i/>
                <w:sz w:val="28"/>
                <w:szCs w:val="28"/>
                <w:lang w:eastAsia="en-US"/>
              </w:rPr>
              <w:t>Transparența</w:t>
            </w:r>
            <w:r w:rsidRPr="004E6426">
              <w:rPr>
                <w:sz w:val="28"/>
                <w:szCs w:val="28"/>
                <w:lang w:eastAsia="en-US"/>
              </w:rPr>
              <w:t xml:space="preserve">, secțiunea </w:t>
            </w:r>
            <w:r w:rsidRPr="004E6426">
              <w:rPr>
                <w:i/>
                <w:sz w:val="28"/>
                <w:szCs w:val="28"/>
                <w:lang w:eastAsia="en-US"/>
              </w:rPr>
              <w:t>Consultări publice</w:t>
            </w:r>
            <w:r w:rsidRPr="004E6426">
              <w:rPr>
                <w:sz w:val="28"/>
                <w:szCs w:val="28"/>
                <w:lang w:eastAsia="en-US"/>
              </w:rPr>
              <w:t>.</w:t>
            </w:r>
          </w:p>
        </w:tc>
      </w:tr>
      <w:tr w:rsidR="001E613A" w:rsidRPr="004E6426" w:rsidTr="00715140">
        <w:tc>
          <w:tcPr>
            <w:tcW w:w="5000" w:type="pct"/>
            <w:shd w:val="clear" w:color="auto" w:fill="D9D9D9"/>
          </w:tcPr>
          <w:p w:rsidR="001E613A" w:rsidRPr="004E6426" w:rsidRDefault="001E613A" w:rsidP="00715140">
            <w:pPr>
              <w:tabs>
                <w:tab w:val="left" w:pos="884"/>
                <w:tab w:val="left" w:pos="1196"/>
              </w:tabs>
              <w:jc w:val="both"/>
              <w:rPr>
                <w:b/>
                <w:i/>
                <w:sz w:val="28"/>
                <w:szCs w:val="28"/>
              </w:rPr>
            </w:pPr>
            <w:r w:rsidRPr="004E6426">
              <w:rPr>
                <w:b/>
                <w:i/>
                <w:sz w:val="28"/>
                <w:szCs w:val="28"/>
              </w:rPr>
              <w:t>8. Constatările expertizei anticorupție</w:t>
            </w:r>
          </w:p>
        </w:tc>
      </w:tr>
      <w:tr w:rsidR="001E613A" w:rsidRPr="004E6426" w:rsidTr="00715140">
        <w:tc>
          <w:tcPr>
            <w:tcW w:w="5000" w:type="pct"/>
          </w:tcPr>
          <w:p w:rsidR="001E613A" w:rsidRPr="004E6426" w:rsidRDefault="001E613A" w:rsidP="00715140">
            <w:pPr>
              <w:tabs>
                <w:tab w:val="left" w:pos="884"/>
                <w:tab w:val="left" w:pos="1196"/>
              </w:tabs>
              <w:jc w:val="both"/>
              <w:rPr>
                <w:sz w:val="28"/>
                <w:szCs w:val="28"/>
              </w:rPr>
            </w:pPr>
          </w:p>
        </w:tc>
      </w:tr>
      <w:tr w:rsidR="001E613A" w:rsidRPr="004E6426" w:rsidTr="00715140">
        <w:tc>
          <w:tcPr>
            <w:tcW w:w="5000" w:type="pct"/>
            <w:shd w:val="clear" w:color="auto" w:fill="D9D9D9"/>
          </w:tcPr>
          <w:p w:rsidR="001E613A" w:rsidRPr="004E6426" w:rsidRDefault="001E613A" w:rsidP="00715140">
            <w:pPr>
              <w:tabs>
                <w:tab w:val="left" w:pos="884"/>
                <w:tab w:val="left" w:pos="1196"/>
              </w:tabs>
              <w:jc w:val="both"/>
              <w:rPr>
                <w:b/>
                <w:i/>
                <w:sz w:val="28"/>
                <w:szCs w:val="28"/>
              </w:rPr>
            </w:pPr>
            <w:r>
              <w:rPr>
                <w:b/>
                <w:i/>
                <w:sz w:val="28"/>
                <w:szCs w:val="28"/>
              </w:rPr>
              <w:t>9</w:t>
            </w:r>
            <w:r w:rsidRPr="004E6426">
              <w:rPr>
                <w:b/>
                <w:i/>
                <w:sz w:val="28"/>
                <w:szCs w:val="28"/>
              </w:rPr>
              <w:t>. Constatările expertizei juridice</w:t>
            </w:r>
          </w:p>
        </w:tc>
      </w:tr>
      <w:tr w:rsidR="001E613A" w:rsidRPr="004E6426" w:rsidTr="00715140">
        <w:tc>
          <w:tcPr>
            <w:tcW w:w="5000" w:type="pct"/>
          </w:tcPr>
          <w:p w:rsidR="001E613A" w:rsidRPr="004E6426" w:rsidRDefault="001E613A" w:rsidP="00715140">
            <w:pPr>
              <w:tabs>
                <w:tab w:val="left" w:pos="884"/>
                <w:tab w:val="left" w:pos="1196"/>
              </w:tabs>
              <w:jc w:val="both"/>
              <w:rPr>
                <w:sz w:val="28"/>
                <w:szCs w:val="28"/>
              </w:rPr>
            </w:pPr>
          </w:p>
        </w:tc>
      </w:tr>
    </w:tbl>
    <w:p w:rsidR="001E613A" w:rsidRDefault="001E613A" w:rsidP="001E613A">
      <w:pPr>
        <w:rPr>
          <w:b/>
          <w:bCs/>
          <w:sz w:val="28"/>
          <w:szCs w:val="26"/>
        </w:rPr>
      </w:pPr>
    </w:p>
    <w:p w:rsidR="001E613A" w:rsidRDefault="001E613A" w:rsidP="001E613A">
      <w:pPr>
        <w:rPr>
          <w:b/>
          <w:bCs/>
          <w:sz w:val="28"/>
          <w:szCs w:val="26"/>
        </w:rPr>
      </w:pPr>
    </w:p>
    <w:p w:rsidR="001E613A" w:rsidRDefault="001E613A" w:rsidP="001E613A"/>
    <w:p w:rsidR="001E613A" w:rsidRDefault="001E613A" w:rsidP="001E613A"/>
    <w:p w:rsidR="001E613A" w:rsidRDefault="001E613A" w:rsidP="001E613A"/>
    <w:p w:rsidR="001E613A" w:rsidRDefault="001E613A" w:rsidP="001E613A"/>
    <w:p w:rsidR="00626062" w:rsidRDefault="001E613A">
      <w:bookmarkStart w:id="0" w:name="_GoBack"/>
      <w:bookmarkEnd w:id="0"/>
    </w:p>
    <w:sectPr w:rsidR="00626062" w:rsidSect="007F2672">
      <w:pgSz w:w="12240" w:h="15840"/>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13A"/>
    <w:rsid w:val="001E613A"/>
    <w:rsid w:val="00632324"/>
    <w:rsid w:val="009F5FED"/>
    <w:rsid w:val="00C1579C"/>
    <w:rsid w:val="00DF2B00"/>
    <w:rsid w:val="00F66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13A"/>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E61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13A"/>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E61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 Pascari</dc:creator>
  <cp:lastModifiedBy>Dorin Pascari</cp:lastModifiedBy>
  <cp:revision>1</cp:revision>
  <dcterms:created xsi:type="dcterms:W3CDTF">2019-05-20T06:19:00Z</dcterms:created>
  <dcterms:modified xsi:type="dcterms:W3CDTF">2019-05-20T06:19:00Z</dcterms:modified>
</cp:coreProperties>
</file>