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FEF5F" w14:textId="77777777" w:rsidR="00EB0F0C" w:rsidRPr="00606C2B" w:rsidRDefault="00EB0F0C" w:rsidP="00EB0F0C">
      <w:pPr>
        <w:pStyle w:val="1"/>
        <w:jc w:val="right"/>
        <w:rPr>
          <w:b w:val="0"/>
          <w:i/>
          <w:sz w:val="24"/>
          <w:szCs w:val="28"/>
          <w:lang w:val="ro-RO"/>
        </w:rPr>
      </w:pPr>
      <w:r w:rsidRPr="00606C2B">
        <w:rPr>
          <w:b w:val="0"/>
          <w:i/>
          <w:sz w:val="24"/>
          <w:szCs w:val="28"/>
          <w:lang w:val="ro-RO"/>
        </w:rPr>
        <w:t>Proiect</w:t>
      </w:r>
    </w:p>
    <w:p w14:paraId="3A4EC503" w14:textId="77777777" w:rsidR="00EB0F0C" w:rsidRPr="00606C2B" w:rsidRDefault="00EB0F0C" w:rsidP="00EB0F0C">
      <w:pPr>
        <w:jc w:val="center"/>
      </w:pPr>
      <w:r w:rsidRPr="00606C2B">
        <w:rPr>
          <w:sz w:val="26"/>
          <w:szCs w:val="26"/>
        </w:rPr>
        <w:object w:dxaOrig="1934" w:dyaOrig="2467" w14:anchorId="48E8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6.95pt" o:ole="" fillcolor="window">
            <v:imagedata r:id="rId6" o:title=""/>
          </v:shape>
          <o:OLEObject Type="Embed" ProgID="Word.Picture.8" ShapeID="_x0000_i1025" DrawAspect="Content" ObjectID="_1619849146" r:id="rId7"/>
        </w:object>
      </w:r>
    </w:p>
    <w:p w14:paraId="7AE8D216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GUVERNUL REPUBLICII MOLDOVA</w:t>
      </w:r>
    </w:p>
    <w:p w14:paraId="50D09991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DA02804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HOTĂRÎRE</w:t>
      </w:r>
    </w:p>
    <w:p w14:paraId="342C0136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73753DB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nr.______ </w:t>
      </w:r>
    </w:p>
    <w:p w14:paraId="4098A6DD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din ”____”__________ 2019</w:t>
      </w:r>
    </w:p>
    <w:p w14:paraId="3B464FDE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lang w:val="ro-RO"/>
        </w:rPr>
      </w:pPr>
      <w:r w:rsidRPr="00606C2B">
        <w:rPr>
          <w:rFonts w:ascii="Times New Roman" w:hAnsi="Times New Roman" w:cs="Times New Roman"/>
          <w:lang w:val="ro-RO"/>
        </w:rPr>
        <w:t>Chișinău</w:t>
      </w:r>
    </w:p>
    <w:p w14:paraId="1372BA7D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lang w:val="ro-RO"/>
        </w:rPr>
      </w:pPr>
      <w:r w:rsidRPr="00606C2B">
        <w:rPr>
          <w:rFonts w:ascii="Times New Roman" w:hAnsi="Times New Roman" w:cs="Times New Roman"/>
          <w:lang w:val="ro-RO"/>
        </w:rPr>
        <w:t xml:space="preserve"> </w:t>
      </w:r>
    </w:p>
    <w:p w14:paraId="336901C9" w14:textId="77777777" w:rsidR="00EB0F0C" w:rsidRPr="00606C2B" w:rsidRDefault="00EB0F0C" w:rsidP="00EB0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306650">
        <w:rPr>
          <w:rFonts w:ascii="Times New Roman" w:hAnsi="Times New Roman" w:cs="Times New Roman"/>
          <w:sz w:val="28"/>
          <w:szCs w:val="28"/>
          <w:lang w:val="ro-RO"/>
        </w:rPr>
        <w:t xml:space="preserve"> modificarea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anexei nr. 1 și nr. 3 la</w:t>
      </w:r>
      <w:r w:rsidRPr="003066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>Hotărîr</w:t>
      </w:r>
      <w:r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 Guvernului nr. 284/2013 privind aprobarea uniformei, însemnelor şi normelor de echipare cu uniformă ale poliţiştilor</w:t>
      </w:r>
    </w:p>
    <w:p w14:paraId="5E765495" w14:textId="77777777" w:rsidR="00EB0F0C" w:rsidRPr="00606C2B" w:rsidRDefault="00EB0F0C" w:rsidP="00EB0F0C">
      <w:pPr>
        <w:ind w:firstLine="720"/>
        <w:rPr>
          <w:sz w:val="28"/>
          <w:szCs w:val="28"/>
        </w:rPr>
      </w:pPr>
    </w:p>
    <w:p w14:paraId="7C97CCCA" w14:textId="77777777" w:rsidR="00EB0F0C" w:rsidRPr="00606C2B" w:rsidRDefault="00EB0F0C" w:rsidP="00EB0F0C">
      <w:pPr>
        <w:ind w:firstLine="720"/>
        <w:rPr>
          <w:b/>
          <w:sz w:val="28"/>
          <w:szCs w:val="28"/>
        </w:rPr>
      </w:pPr>
      <w:r w:rsidRPr="00606C2B">
        <w:rPr>
          <w:sz w:val="28"/>
          <w:szCs w:val="28"/>
        </w:rPr>
        <w:t xml:space="preserve">Guvernul </w:t>
      </w:r>
      <w:r w:rsidRPr="00606C2B">
        <w:rPr>
          <w:b/>
          <w:sz w:val="28"/>
          <w:szCs w:val="28"/>
        </w:rPr>
        <w:t>HOTĂRĂȘTE:</w:t>
      </w:r>
      <w:r>
        <w:rPr>
          <w:b/>
          <w:sz w:val="28"/>
          <w:szCs w:val="28"/>
        </w:rPr>
        <w:t xml:space="preserve"> </w:t>
      </w:r>
    </w:p>
    <w:p w14:paraId="66985A77" w14:textId="77777777" w:rsidR="00EB0F0C" w:rsidRPr="00606C2B" w:rsidRDefault="00EB0F0C" w:rsidP="00EB0F0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D37572" w14:textId="77777777" w:rsidR="00EB0F0C" w:rsidRPr="0083444D" w:rsidRDefault="00EB0F0C" w:rsidP="00EB0F0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Anexa nr.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 la Hotărîrea Guvernului nr. 284/2013 privind aprobarea uniformei, însemnelor şi normelor de echipare cu uniformă ale poliţiştilor (Monitorul Oficial al Republicii Moldova, 2013, nr. 109, art. 359), se completează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punctul </w:t>
      </w:r>
      <w:r w:rsidRPr="007749FA">
        <w:rPr>
          <w:rFonts w:ascii="Times New Roman" w:hAnsi="Times New Roman" w:cs="Times New Roman"/>
          <w:sz w:val="28"/>
          <w:lang w:val="pt-BR"/>
        </w:rPr>
        <w:t>64</w:t>
      </w:r>
      <w:r w:rsidRPr="007749FA">
        <w:rPr>
          <w:rFonts w:ascii="Times New Roman" w:hAnsi="Times New Roman" w:cs="Times New Roman"/>
          <w:sz w:val="28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8"/>
          <w:vertAlign w:val="superscript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avînd 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următorul </w:t>
      </w:r>
      <w:r>
        <w:rPr>
          <w:rFonts w:ascii="Times New Roman" w:hAnsi="Times New Roman" w:cs="Times New Roman"/>
          <w:sz w:val="28"/>
          <w:szCs w:val="28"/>
          <w:lang w:val="ro-RO"/>
        </w:rPr>
        <w:t>cuprins:</w:t>
      </w:r>
    </w:p>
    <w:p w14:paraId="344D9E09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Pr="006537BD">
        <w:rPr>
          <w:rFonts w:ascii="Times New Roman" w:hAnsi="Times New Roman" w:cs="Times New Roman"/>
          <w:b/>
          <w:sz w:val="28"/>
          <w:lang w:val="pt-BR"/>
        </w:rPr>
        <w:t>6</w:t>
      </w:r>
      <w:r>
        <w:rPr>
          <w:rFonts w:ascii="Times New Roman" w:hAnsi="Times New Roman" w:cs="Times New Roman"/>
          <w:b/>
          <w:sz w:val="28"/>
          <w:lang w:val="pt-BR"/>
        </w:rPr>
        <w:t>4</w:t>
      </w:r>
      <w:r w:rsidRPr="006537BD">
        <w:rPr>
          <w:rFonts w:ascii="Times New Roman" w:hAnsi="Times New Roman" w:cs="Times New Roman"/>
          <w:b/>
          <w:sz w:val="28"/>
          <w:vertAlign w:val="superscript"/>
          <w:lang w:val="pt-BR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Pr="006537BD">
        <w:rPr>
          <w:rFonts w:ascii="Times New Roman" w:hAnsi="Times New Roman" w:cs="Times New Roman"/>
          <w:color w:val="000000"/>
          <w:sz w:val="28"/>
          <w:szCs w:val="28"/>
          <w:lang w:val="ro-RO"/>
        </w:rPr>
        <w:t>Rucsac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culoare</w:t>
      </w:r>
      <w:r w:rsidRPr="006537B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albastru-închis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construit modular,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astfel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nc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t permite ata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area accesoriilor direct pe rucsac. Cus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turi trainice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nt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rite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n p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ț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ile care pot fi tensionate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prev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zut cu curele pentru compresie, astfel ca lucrurile din interior s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stea fix, pentru contrabalansare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n timpul mersului sau alerg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rii.</w:t>
      </w:r>
    </w:p>
    <w:p w14:paraId="20B4906B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Descriere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rucsac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14:paraId="4A1527D8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Capacitate: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30-40 litri;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28A6748B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Material: 100% poliester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1000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D cu strat protector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(PVC) r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ezistent la apă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14D1C1A1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Bretele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de umăr c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ptu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ite si reglabile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curea talie și suport spate confortabile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4DFDFBC1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ăț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ime bretele: 5 cm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23AFF2C8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2 buzunare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laterale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exterioare cu fermoar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3001AA10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Un compartiment principal mare cu sistem de închidere prin șiret și cataramă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50045">
        <w:rPr>
          <w:rFonts w:ascii="Times New Roman" w:hAnsi="Times New Roman" w:cs="Times New Roman"/>
          <w:color w:val="000000"/>
          <w:sz w:val="28"/>
          <w:szCs w:val="28"/>
          <w:lang w:val="ro-RO"/>
        </w:rPr>
        <w:t>PP cu eliberare rapidă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2 compartimente de capacit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ăț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i diferite cu fermoar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4AE6059F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Curele laterale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din </w:t>
      </w:r>
      <w:r w:rsidRPr="00E50045">
        <w:rPr>
          <w:rFonts w:ascii="Times New Roman" w:hAnsi="Times New Roman" w:cs="Times New Roman"/>
          <w:color w:val="000000"/>
          <w:sz w:val="28"/>
          <w:szCs w:val="28"/>
          <w:lang w:val="ro-RO"/>
        </w:rPr>
        <w:t>fibre de polipropilenă de înaltă densitate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cleme pentru compresie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</w:t>
      </w:r>
    </w:p>
    <w:p w14:paraId="75728E7C" w14:textId="77777777" w:rsidR="00EB0F0C" w:rsidRPr="00E5512B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î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ner pentru transport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46D11033" w14:textId="77777777" w:rsidR="00EB0F0C" w:rsidRPr="00E50045" w:rsidRDefault="00EB0F0C" w:rsidP="00EB0F0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Posibilitate ata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E5512B">
        <w:rPr>
          <w:rFonts w:ascii="Times New Roman" w:hAnsi="Times New Roman" w:cs="Times New Roman"/>
          <w:color w:val="000000"/>
          <w:sz w:val="28"/>
          <w:szCs w:val="28"/>
          <w:lang w:val="ro-RO"/>
        </w:rPr>
        <w:t>are accesorii</w:t>
      </w:r>
      <w:r w:rsidRPr="006537BD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</w:p>
    <w:p w14:paraId="5D6756C2" w14:textId="77777777" w:rsidR="00EB0F0C" w:rsidRPr="00606C2B" w:rsidRDefault="00EB0F0C" w:rsidP="00EB0F0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Anexa nr.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3 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>se completează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norma nr. 10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, cu următorul </w:t>
      </w:r>
      <w:r>
        <w:rPr>
          <w:rFonts w:ascii="Times New Roman" w:hAnsi="Times New Roman" w:cs="Times New Roman"/>
          <w:sz w:val="28"/>
          <w:szCs w:val="28"/>
          <w:lang w:val="ro-RO"/>
        </w:rPr>
        <w:t>cuprins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0782F56" w14:textId="77777777" w:rsidR="00EB0F0C" w:rsidRDefault="00EB0F0C" w:rsidP="00EB0F0C"/>
    <w:p w14:paraId="7DBCCE6E" w14:textId="77777777" w:rsidR="00EB0F0C" w:rsidRDefault="00EB0F0C" w:rsidP="00EB0F0C"/>
    <w:p w14:paraId="328020BA" w14:textId="77777777" w:rsidR="00EB0F0C" w:rsidRPr="00606C2B" w:rsidRDefault="00EB0F0C" w:rsidP="00EB0F0C">
      <w:pPr>
        <w:pStyle w:val="cb"/>
        <w:rPr>
          <w:sz w:val="20"/>
          <w:szCs w:val="20"/>
          <w:lang w:val="ro-RO"/>
        </w:rPr>
      </w:pPr>
      <w:r w:rsidRPr="00606C2B">
        <w:rPr>
          <w:sz w:val="20"/>
          <w:szCs w:val="20"/>
          <w:lang w:val="ro-RO"/>
        </w:rPr>
        <w:t>Norma nr.10</w:t>
      </w:r>
    </w:p>
    <w:p w14:paraId="78744481" w14:textId="77777777" w:rsidR="00EB0F0C" w:rsidRPr="00606C2B" w:rsidRDefault="00EB0F0C" w:rsidP="00EB0F0C">
      <w:pPr>
        <w:pStyle w:val="cb"/>
        <w:rPr>
          <w:sz w:val="20"/>
          <w:szCs w:val="20"/>
          <w:lang w:val="ro-RO"/>
        </w:rPr>
      </w:pPr>
      <w:r w:rsidRPr="00606C2B">
        <w:rPr>
          <w:sz w:val="20"/>
          <w:szCs w:val="20"/>
          <w:lang w:val="ro-RO"/>
        </w:rPr>
        <w:t>de echipare a angajaților care desfășoară cursuri de formare inițială</w:t>
      </w:r>
    </w:p>
    <w:p w14:paraId="1F74FDE7" w14:textId="77777777" w:rsidR="00EB0F0C" w:rsidRPr="00606C2B" w:rsidRDefault="00EB0F0C" w:rsidP="00EB0F0C">
      <w:pPr>
        <w:pStyle w:val="a6"/>
        <w:rPr>
          <w:lang w:val="ro-RO"/>
        </w:rPr>
      </w:pPr>
    </w:p>
    <w:tbl>
      <w:tblPr>
        <w:tblW w:w="5000" w:type="pct"/>
        <w:jc w:val="center"/>
        <w:tblCellSpacing w:w="0" w:type="dxa"/>
        <w:tblLook w:val="04A0" w:firstRow="1" w:lastRow="0" w:firstColumn="1" w:lastColumn="0" w:noHBand="0" w:noVBand="1"/>
      </w:tblPr>
      <w:tblGrid>
        <w:gridCol w:w="404"/>
        <w:gridCol w:w="5198"/>
        <w:gridCol w:w="986"/>
        <w:gridCol w:w="1748"/>
        <w:gridCol w:w="1473"/>
      </w:tblGrid>
      <w:tr w:rsidR="00EB0F0C" w:rsidRPr="00606C2B" w14:paraId="052C69B5" w14:textId="77777777" w:rsidTr="00C474AF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D5644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Nr.</w:t>
            </w:r>
            <w:r w:rsidRPr="00606C2B">
              <w:rPr>
                <w:b/>
                <w:bCs/>
                <w:sz w:val="20"/>
                <w:szCs w:val="20"/>
              </w:rPr>
              <w:br/>
              <w:t>d/o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235641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Denumirea bunurilor materiale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0D681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Unitate</w:t>
            </w:r>
            <w:r w:rsidRPr="00606C2B">
              <w:rPr>
                <w:b/>
                <w:bCs/>
                <w:sz w:val="20"/>
                <w:szCs w:val="20"/>
              </w:rPr>
              <w:br/>
              <w:t>de măsură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1D300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 xml:space="preserve">Numărul de obiecte </w:t>
            </w:r>
            <w:r w:rsidRPr="00606C2B">
              <w:rPr>
                <w:b/>
                <w:bCs/>
                <w:sz w:val="20"/>
                <w:szCs w:val="20"/>
              </w:rPr>
              <w:br/>
              <w:t>pentru o persoană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8936C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 xml:space="preserve">Termenul de </w:t>
            </w:r>
            <w:r w:rsidRPr="00606C2B">
              <w:rPr>
                <w:b/>
                <w:bCs/>
                <w:sz w:val="20"/>
                <w:szCs w:val="20"/>
              </w:rPr>
              <w:br/>
              <w:t>utilizare (uzură)</w:t>
            </w:r>
          </w:p>
        </w:tc>
      </w:tr>
      <w:tr w:rsidR="00EB0F0C" w:rsidRPr="00606C2B" w14:paraId="48349CF9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00592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26A17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CA2BC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2BF0D8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3738C" w14:textId="77777777" w:rsidR="00EB0F0C" w:rsidRPr="00606C2B" w:rsidRDefault="00EB0F0C" w:rsidP="00C474AF">
            <w:pPr>
              <w:jc w:val="center"/>
              <w:rPr>
                <w:b/>
                <w:bCs/>
                <w:sz w:val="20"/>
                <w:szCs w:val="20"/>
              </w:rPr>
            </w:pPr>
            <w:r w:rsidRPr="00606C2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B0F0C" w:rsidRPr="00606C2B" w14:paraId="5A4FFB8F" w14:textId="77777777" w:rsidTr="00C474AF">
        <w:trPr>
          <w:trHeight w:val="258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6D181" w14:textId="77777777" w:rsidR="00EB0F0C" w:rsidRPr="00606C2B" w:rsidRDefault="00EB0F0C" w:rsidP="00C474AF">
            <w:pPr>
              <w:pStyle w:val="cb"/>
              <w:rPr>
                <w:sz w:val="20"/>
                <w:szCs w:val="20"/>
                <w:lang w:val="ro-RO"/>
              </w:rPr>
            </w:pPr>
            <w:r w:rsidRPr="00606C2B">
              <w:rPr>
                <w:sz w:val="20"/>
                <w:szCs w:val="20"/>
                <w:lang w:val="ro-RO"/>
              </w:rPr>
              <w:lastRenderedPageBreak/>
              <w:t>I. Îmbrăcăminte</w:t>
            </w:r>
          </w:p>
        </w:tc>
      </w:tr>
      <w:tr w:rsidR="00EB0F0C" w:rsidRPr="00606C2B" w14:paraId="26EBBA4E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72718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ABE1B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Căciulă neagră din blană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DBFF2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D76F5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7ABF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 ani</w:t>
            </w:r>
          </w:p>
        </w:tc>
      </w:tr>
      <w:tr w:rsidR="00EB0F0C" w:rsidRPr="00606C2B" w14:paraId="09D71440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70AF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4BB0C4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Chipiu  de patrulare albastru-închis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C93AA6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DBDE6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0D98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5 ani</w:t>
            </w:r>
          </w:p>
        </w:tc>
      </w:tr>
      <w:tr w:rsidR="00EB0F0C" w:rsidRPr="00606C2B" w14:paraId="06ED665E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091C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5621F1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Chipiu albastru-închis din ţesătură de bumbac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0E46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82D8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6828A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ani</w:t>
            </w:r>
          </w:p>
        </w:tc>
      </w:tr>
      <w:tr w:rsidR="00EB0F0C" w:rsidRPr="00606C2B" w14:paraId="37FBE83E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7CDEB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4.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9FA83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Fes negru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C451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434F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1A46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7785CA9D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9658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5.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9693A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Scurtă de iarnă albastră-închis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6A6D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8B7EF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2A30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 ani</w:t>
            </w:r>
          </w:p>
        </w:tc>
      </w:tr>
      <w:tr w:rsidR="00EB0F0C" w:rsidRPr="00606C2B" w14:paraId="7C459AA8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ADF4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6.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44C2F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Scurtă de serviciu albastră-închis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BB730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99A9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D00D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787190A1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B107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7.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C3E305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Pantaloni de serviciu albaştri-închis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E93AB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7D662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4B57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47B24D6A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675D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8.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45F0C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Pulover albastru-închis din semilînă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DF3F4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C550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A792A9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4B455AD3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0A43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9.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7A69F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Mănuşi negre din semilînă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7FEBC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58FE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EE83D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4EF4168F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A2A9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10.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FD552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Tricou cu guler (tip polo) albastru-închis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759B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28D043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CA88F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5B5C02E1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24EB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12.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238AB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Cravată albastră-închis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4B37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05B0A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7AB86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22AF2495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E74B5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13.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29ED4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Costum de vară mozaic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3EA7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D744C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5724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030B546C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B207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14.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B9B294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Tricou din bumbac mozaic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048B7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673AC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7E43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5544B5A0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2746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15.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92E20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Pantaloni de patrulare de vară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B58C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E93A8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8543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75FCE4AA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F8929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16.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B9D8B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Scurtă de patrulare de primăvară-toamnă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7A14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415E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A618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7744E9C6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D3F6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17.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70135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Pantaloni de patrulare de primăvară-toamnă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6021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9BAAF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A817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5E3BA1B9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C9386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18.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5C1C7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Tricou albastru-închis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67BA8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6B683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8AE9E4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4CC0F992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8248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19.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D2ABA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Fular din semilînă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3CEE7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94733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13E83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2AE540B3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34396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20.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49A66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Izmene călduroase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40AC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E585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3F2E6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2AEEAEF6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FEDE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21.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871083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Ciorapi din semilînă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137A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0AEC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DC94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3587F5BA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BADFD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22.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2B32F3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Ciorapi din bumbac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4E4BF3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C4818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A8A4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0B11B08A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EAA6E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23.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2C171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Trening din semilînă (tunică, pantaloni)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93E2B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6E72EF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C017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 ani</w:t>
            </w:r>
          </w:p>
        </w:tc>
      </w:tr>
      <w:tr w:rsidR="00EB0F0C" w:rsidRPr="00606C2B" w14:paraId="78DAB2CB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AE645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24.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C3F02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Trening din ţesătură combinată (tricou, şorturi)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A350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1066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FE54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14A809A1" w14:textId="77777777" w:rsidTr="00C474AF">
        <w:trPr>
          <w:trHeight w:val="246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0A212F" w14:textId="77777777" w:rsidR="00EB0F0C" w:rsidRPr="00606C2B" w:rsidRDefault="00EB0F0C" w:rsidP="00C474AF">
            <w:pPr>
              <w:pStyle w:val="cb"/>
              <w:rPr>
                <w:sz w:val="20"/>
                <w:szCs w:val="20"/>
                <w:lang w:val="ro-RO"/>
              </w:rPr>
            </w:pPr>
            <w:r w:rsidRPr="00606C2B">
              <w:rPr>
                <w:sz w:val="20"/>
                <w:szCs w:val="20"/>
                <w:lang w:val="ro-RO"/>
              </w:rPr>
              <w:t>II. Încălţăminte</w:t>
            </w:r>
          </w:p>
        </w:tc>
      </w:tr>
      <w:tr w:rsidR="00EB0F0C" w:rsidRPr="00606C2B" w14:paraId="75FAB6C1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861B3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25.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EC985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Bocanci cu carîmbi înalţi de iarnă din iuft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15EA87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31695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62E4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4639415E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41FD34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26.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9B8DBB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Bocanci cu carîmbi înalţi de vară din iuft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99109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1EE3B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121840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1,5 ani</w:t>
            </w:r>
          </w:p>
        </w:tc>
      </w:tr>
      <w:tr w:rsidR="00EB0F0C" w:rsidRPr="00606C2B" w14:paraId="34673071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D7F34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27.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55AF60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Pantofi din iuft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35ECA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C3FF3C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23685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0440B88B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BA4088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28.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A8750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Pantofi de patrulare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35BCB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966CB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D64C7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18DF9EAB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46644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29.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041A44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Ghete sportive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07B3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per.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2F47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A82FA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 an</w:t>
            </w:r>
          </w:p>
        </w:tc>
      </w:tr>
      <w:tr w:rsidR="00EB0F0C" w:rsidRPr="00606C2B" w14:paraId="2B3EA160" w14:textId="77777777" w:rsidTr="00C474AF">
        <w:trPr>
          <w:trHeight w:val="246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6C489" w14:textId="77777777" w:rsidR="00EB0F0C" w:rsidRPr="00606C2B" w:rsidRDefault="00EB0F0C" w:rsidP="00C474AF">
            <w:pPr>
              <w:pStyle w:val="cb"/>
              <w:rPr>
                <w:sz w:val="20"/>
                <w:szCs w:val="20"/>
                <w:lang w:val="ro-RO"/>
              </w:rPr>
            </w:pPr>
            <w:r w:rsidRPr="00606C2B">
              <w:rPr>
                <w:sz w:val="20"/>
                <w:szCs w:val="20"/>
                <w:lang w:val="ro-RO"/>
              </w:rPr>
              <w:t>III. Accesorii</w:t>
            </w:r>
          </w:p>
        </w:tc>
      </w:tr>
      <w:tr w:rsidR="00EB0F0C" w:rsidRPr="00606C2B" w14:paraId="44443CBB" w14:textId="77777777" w:rsidTr="00C474AF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19F0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30.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F2131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Centură lată din piele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A9377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C24BF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EA0EBE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5 ani</w:t>
            </w:r>
          </w:p>
        </w:tc>
      </w:tr>
      <w:tr w:rsidR="00EB0F0C" w:rsidRPr="00606C2B" w14:paraId="53C7BADA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DAA422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31.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769CB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Curea pentru pantaloni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2687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F51C9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165B6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3 ani</w:t>
            </w:r>
          </w:p>
        </w:tc>
      </w:tr>
      <w:tr w:rsidR="00EB0F0C" w:rsidRPr="00606C2B" w14:paraId="2A7D129C" w14:textId="77777777" w:rsidTr="00C474AF">
        <w:trPr>
          <w:trHeight w:val="25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81ED4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A3787E" w14:textId="77777777" w:rsidR="00EB0F0C" w:rsidRPr="00606C2B" w:rsidRDefault="00EB0F0C" w:rsidP="00C47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Rucsac </w:t>
            </w:r>
            <w:r w:rsidRPr="00606C2B">
              <w:rPr>
                <w:sz w:val="20"/>
                <w:szCs w:val="20"/>
              </w:rPr>
              <w:t>albastru-închis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24C91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buc.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504BDD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 w:rsidRPr="00606C2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7B3A6B" w14:textId="77777777" w:rsidR="00EB0F0C" w:rsidRPr="00606C2B" w:rsidRDefault="00EB0F0C" w:rsidP="00C47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06C2B">
              <w:rPr>
                <w:sz w:val="20"/>
                <w:szCs w:val="20"/>
              </w:rPr>
              <w:t xml:space="preserve"> ani</w:t>
            </w:r>
          </w:p>
        </w:tc>
      </w:tr>
    </w:tbl>
    <w:p w14:paraId="1B3FA857" w14:textId="77777777" w:rsidR="00EB0F0C" w:rsidRDefault="00EB0F0C" w:rsidP="00EB0F0C"/>
    <w:p w14:paraId="7429D7E3" w14:textId="77777777" w:rsidR="00EB0F0C" w:rsidRDefault="00EB0F0C" w:rsidP="00EB0F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23389A">
        <w:rPr>
          <w:rFonts w:ascii="Times New Roman" w:hAnsi="Times New Roman" w:cs="Times New Roman"/>
          <w:sz w:val="28"/>
          <w:szCs w:val="28"/>
          <w:lang w:val="ro-RO"/>
        </w:rPr>
        <w:t>Prezenta hotărîre intră în vigoare la data publicării.</w:t>
      </w:r>
    </w:p>
    <w:p w14:paraId="044C07D8" w14:textId="77777777" w:rsidR="00EB0F0C" w:rsidRPr="00E21002" w:rsidRDefault="00EB0F0C" w:rsidP="00EB0F0C">
      <w:pPr>
        <w:tabs>
          <w:tab w:val="left" w:pos="993"/>
        </w:tabs>
        <w:rPr>
          <w:sz w:val="28"/>
          <w:szCs w:val="28"/>
        </w:rPr>
      </w:pPr>
    </w:p>
    <w:p w14:paraId="73D59DFE" w14:textId="77777777" w:rsidR="00EB0F0C" w:rsidRPr="00E21002" w:rsidRDefault="00EB0F0C" w:rsidP="00EB0F0C">
      <w:pPr>
        <w:ind w:firstLine="720"/>
        <w:jc w:val="both"/>
        <w:rPr>
          <w:sz w:val="28"/>
          <w:szCs w:val="28"/>
        </w:rPr>
      </w:pPr>
      <w:r w:rsidRPr="00E21002">
        <w:rPr>
          <w:sz w:val="28"/>
          <w:szCs w:val="28"/>
        </w:rPr>
        <w:t>Prim-ministru</w:t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</w:r>
      <w:r w:rsidRPr="00E21002">
        <w:rPr>
          <w:sz w:val="28"/>
          <w:szCs w:val="28"/>
        </w:rPr>
        <w:tab/>
        <w:t>Pavel FILIP</w:t>
      </w:r>
    </w:p>
    <w:p w14:paraId="651AFFC6" w14:textId="77777777" w:rsidR="00EB0F0C" w:rsidRPr="00606C2B" w:rsidRDefault="00EB0F0C" w:rsidP="00EB0F0C">
      <w:pPr>
        <w:ind w:firstLine="720"/>
        <w:jc w:val="both"/>
        <w:rPr>
          <w:sz w:val="28"/>
          <w:szCs w:val="28"/>
        </w:rPr>
      </w:pPr>
    </w:p>
    <w:p w14:paraId="57D33B5A" w14:textId="77777777" w:rsidR="00EB0F0C" w:rsidRPr="00606C2B" w:rsidRDefault="00EB0F0C" w:rsidP="00EB0F0C">
      <w:pPr>
        <w:ind w:firstLine="720"/>
        <w:rPr>
          <w:sz w:val="28"/>
          <w:szCs w:val="28"/>
        </w:rPr>
      </w:pPr>
      <w:r w:rsidRPr="00606C2B">
        <w:rPr>
          <w:sz w:val="28"/>
          <w:szCs w:val="28"/>
        </w:rPr>
        <w:t>Contrasemnează:</w:t>
      </w:r>
    </w:p>
    <w:p w14:paraId="5D98BF2A" w14:textId="77777777" w:rsidR="00EB0F0C" w:rsidRPr="00606C2B" w:rsidRDefault="00EB0F0C" w:rsidP="00EB0F0C">
      <w:pPr>
        <w:ind w:firstLine="720"/>
        <w:rPr>
          <w:sz w:val="28"/>
          <w:szCs w:val="28"/>
        </w:rPr>
      </w:pPr>
    </w:p>
    <w:p w14:paraId="47EA956F" w14:textId="77777777" w:rsidR="00EB0F0C" w:rsidRPr="00606C2B" w:rsidRDefault="00EB0F0C" w:rsidP="00EB0F0C">
      <w:pPr>
        <w:ind w:firstLine="720"/>
        <w:rPr>
          <w:b/>
          <w:sz w:val="28"/>
          <w:szCs w:val="28"/>
        </w:rPr>
      </w:pPr>
      <w:r w:rsidRPr="00606C2B">
        <w:rPr>
          <w:sz w:val="28"/>
          <w:szCs w:val="28"/>
        </w:rPr>
        <w:t>Ministrul afacerilor interne</w:t>
      </w:r>
      <w:r w:rsidRPr="00606C2B">
        <w:rPr>
          <w:sz w:val="28"/>
          <w:szCs w:val="28"/>
        </w:rPr>
        <w:tab/>
      </w:r>
      <w:r w:rsidRPr="00606C2B">
        <w:rPr>
          <w:sz w:val="28"/>
          <w:szCs w:val="28"/>
        </w:rPr>
        <w:tab/>
      </w:r>
      <w:r w:rsidRPr="00606C2B">
        <w:rPr>
          <w:sz w:val="28"/>
          <w:szCs w:val="28"/>
        </w:rPr>
        <w:tab/>
      </w:r>
      <w:r w:rsidRPr="00606C2B">
        <w:rPr>
          <w:sz w:val="28"/>
          <w:szCs w:val="28"/>
        </w:rPr>
        <w:tab/>
      </w:r>
      <w:r w:rsidRPr="00606C2B">
        <w:rPr>
          <w:sz w:val="28"/>
          <w:szCs w:val="28"/>
        </w:rPr>
        <w:tab/>
        <w:t>Alexandru JIZDAN</w:t>
      </w:r>
    </w:p>
    <w:p w14:paraId="1E241E61" w14:textId="77777777" w:rsidR="007F2672" w:rsidRDefault="007F2672" w:rsidP="00EB0F0C">
      <w:pPr>
        <w:jc w:val="center"/>
        <w:rPr>
          <w:b/>
          <w:sz w:val="28"/>
          <w:szCs w:val="28"/>
        </w:rPr>
      </w:pPr>
    </w:p>
    <w:p w14:paraId="6AAE22F0" w14:textId="77777777" w:rsidR="007F2672" w:rsidRDefault="007F2672" w:rsidP="00EB0F0C">
      <w:pPr>
        <w:jc w:val="center"/>
        <w:rPr>
          <w:b/>
          <w:sz w:val="28"/>
          <w:szCs w:val="28"/>
        </w:rPr>
      </w:pPr>
    </w:p>
    <w:p w14:paraId="357F37C4" w14:textId="77777777" w:rsidR="007F2672" w:rsidRDefault="007F2672" w:rsidP="00EB0F0C">
      <w:pPr>
        <w:jc w:val="center"/>
        <w:rPr>
          <w:b/>
          <w:sz w:val="28"/>
          <w:szCs w:val="28"/>
        </w:rPr>
      </w:pPr>
    </w:p>
    <w:p w14:paraId="6C8B273A" w14:textId="77777777" w:rsidR="007F2672" w:rsidRDefault="007F2672" w:rsidP="00EB0F0C">
      <w:pPr>
        <w:jc w:val="center"/>
        <w:rPr>
          <w:b/>
          <w:sz w:val="28"/>
          <w:szCs w:val="28"/>
        </w:rPr>
      </w:pPr>
    </w:p>
    <w:p w14:paraId="316CD1C9" w14:textId="77777777" w:rsidR="007F2672" w:rsidRDefault="007F2672" w:rsidP="00EB0F0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F2672" w:rsidSect="007F2672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6221"/>
    <w:multiLevelType w:val="hybridMultilevel"/>
    <w:tmpl w:val="EF8ED2D8"/>
    <w:lvl w:ilvl="0" w:tplc="0418000F">
      <w:start w:val="1"/>
      <w:numFmt w:val="decimal"/>
      <w:lvlText w:val="%1."/>
      <w:lvlJc w:val="left"/>
      <w:pPr>
        <w:ind w:left="1211" w:hanging="360"/>
      </w:pPr>
    </w:lvl>
    <w:lvl w:ilvl="1" w:tplc="2EE44E7E">
      <w:start w:val="1"/>
      <w:numFmt w:val="decimal"/>
      <w:lvlText w:val="%2)"/>
      <w:lvlJc w:val="left"/>
      <w:pPr>
        <w:ind w:left="2160" w:hanging="360"/>
      </w:pPr>
      <w:rPr>
        <w:rFonts w:hint="default"/>
        <w:lang w:val="en-US"/>
      </w:rPr>
    </w:lvl>
    <w:lvl w:ilvl="2" w:tplc="40E64780">
      <w:start w:val="2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BC"/>
    <w:rsid w:val="004450C9"/>
    <w:rsid w:val="006E43BC"/>
    <w:rsid w:val="007F2672"/>
    <w:rsid w:val="00A96153"/>
    <w:rsid w:val="00DE3458"/>
    <w:rsid w:val="00E21099"/>
    <w:rsid w:val="00E4359C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2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EB0F0C"/>
    <w:pPr>
      <w:keepNext/>
      <w:jc w:val="center"/>
      <w:outlineLvl w:val="0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0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B0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EB0F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0F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Normal (Web)"/>
    <w:basedOn w:val="a"/>
    <w:semiHidden/>
    <w:unhideWhenUsed/>
    <w:rsid w:val="00EB0F0C"/>
    <w:pPr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EB0F0C"/>
    <w:pPr>
      <w:jc w:val="center"/>
    </w:pPr>
    <w:rPr>
      <w:b/>
      <w:bCs/>
      <w:lang w:val="ru-RU"/>
    </w:rPr>
  </w:style>
  <w:style w:type="paragraph" w:styleId="a7">
    <w:name w:val="Body Text Indent"/>
    <w:basedOn w:val="a"/>
    <w:link w:val="a8"/>
    <w:rsid w:val="00EB0F0C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EB0F0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0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EB0F0C"/>
    <w:pPr>
      <w:keepNext/>
      <w:jc w:val="center"/>
      <w:outlineLvl w:val="0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0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B0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EB0F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0F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Normal (Web)"/>
    <w:basedOn w:val="a"/>
    <w:semiHidden/>
    <w:unhideWhenUsed/>
    <w:rsid w:val="00EB0F0C"/>
    <w:pPr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EB0F0C"/>
    <w:pPr>
      <w:jc w:val="center"/>
    </w:pPr>
    <w:rPr>
      <w:b/>
      <w:bCs/>
      <w:lang w:val="ru-RU"/>
    </w:rPr>
  </w:style>
  <w:style w:type="paragraph" w:styleId="a7">
    <w:name w:val="Body Text Indent"/>
    <w:basedOn w:val="a"/>
    <w:link w:val="a8"/>
    <w:rsid w:val="00EB0F0C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EB0F0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Op51</dc:creator>
  <cp:lastModifiedBy>Dorin Pascari</cp:lastModifiedBy>
  <cp:revision>2</cp:revision>
  <dcterms:created xsi:type="dcterms:W3CDTF">2019-05-20T06:19:00Z</dcterms:created>
  <dcterms:modified xsi:type="dcterms:W3CDTF">2019-05-20T06:19:00Z</dcterms:modified>
</cp:coreProperties>
</file>