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1978"/>
        <w:tblW w:w="10535" w:type="dxa"/>
        <w:tblCellMar>
          <w:top w:w="15" w:type="dxa"/>
          <w:left w:w="15" w:type="dxa"/>
          <w:bottom w:w="15" w:type="dxa"/>
          <w:right w:w="15" w:type="dxa"/>
        </w:tblCellMar>
        <w:tblLook w:val="04A0" w:firstRow="1" w:lastRow="0" w:firstColumn="1" w:lastColumn="0" w:noHBand="0" w:noVBand="1"/>
      </w:tblPr>
      <w:tblGrid>
        <w:gridCol w:w="10535"/>
      </w:tblGrid>
      <w:tr w:rsidR="00A82602" w:rsidRPr="00A82602" w:rsidTr="00A82602">
        <w:tc>
          <w:tcPr>
            <w:tcW w:w="10535" w:type="dxa"/>
            <w:tcBorders>
              <w:top w:val="nil"/>
              <w:left w:val="nil"/>
              <w:bottom w:val="nil"/>
              <w:right w:val="nil"/>
            </w:tcBorders>
            <w:tcMar>
              <w:top w:w="15" w:type="dxa"/>
              <w:left w:w="45" w:type="dxa"/>
              <w:bottom w:w="15" w:type="dxa"/>
              <w:right w:w="45" w:type="dxa"/>
            </w:tcMar>
            <w:hideMark/>
          </w:tcPr>
          <w:p w:rsidR="00A82602" w:rsidRPr="00A82602" w:rsidRDefault="00A82602" w:rsidP="00A82602">
            <w:pPr>
              <w:tabs>
                <w:tab w:val="left" w:pos="1276"/>
              </w:tabs>
              <w:spacing w:after="0" w:line="240" w:lineRule="auto"/>
              <w:ind w:firstLine="851"/>
              <w:jc w:val="center"/>
              <w:rPr>
                <w:rFonts w:ascii="Times New Roman" w:eastAsia="Times New Roman" w:hAnsi="Times New Roman" w:cs="Times New Roman"/>
                <w:b/>
                <w:sz w:val="25"/>
                <w:szCs w:val="25"/>
                <w:lang w:val="ro-MO" w:eastAsia="ru-RU"/>
              </w:rPr>
            </w:pPr>
          </w:p>
          <w:p w:rsidR="00A82602" w:rsidRPr="00A82602" w:rsidRDefault="00A82602" w:rsidP="00A82602">
            <w:pPr>
              <w:tabs>
                <w:tab w:val="left" w:pos="1276"/>
              </w:tabs>
              <w:spacing w:after="0" w:line="240" w:lineRule="auto"/>
              <w:ind w:firstLine="851"/>
              <w:jc w:val="center"/>
              <w:rPr>
                <w:rFonts w:ascii="Times New Roman" w:eastAsia="Times New Roman" w:hAnsi="Times New Roman" w:cs="Times New Roman"/>
                <w:b/>
                <w:sz w:val="25"/>
                <w:szCs w:val="25"/>
                <w:lang w:val="ro-MO" w:eastAsia="ru-RU"/>
              </w:rPr>
            </w:pPr>
          </w:p>
          <w:p w:rsidR="00A82602" w:rsidRPr="00A82602" w:rsidRDefault="00A82602" w:rsidP="00A82602">
            <w:pPr>
              <w:tabs>
                <w:tab w:val="left" w:pos="1276"/>
              </w:tabs>
              <w:spacing w:after="0" w:line="240" w:lineRule="auto"/>
              <w:jc w:val="center"/>
              <w:rPr>
                <w:rFonts w:ascii="Times New Roman" w:eastAsia="Times New Roman" w:hAnsi="Times New Roman" w:cs="Times New Roman"/>
                <w:b/>
                <w:sz w:val="25"/>
                <w:szCs w:val="25"/>
                <w:lang w:val="ro-MO" w:eastAsia="ru-RU"/>
              </w:rPr>
            </w:pPr>
            <w:bookmarkStart w:id="0" w:name="_GoBack"/>
            <w:r w:rsidRPr="00A82602">
              <w:rPr>
                <w:rFonts w:ascii="Times New Roman" w:eastAsia="Times New Roman" w:hAnsi="Times New Roman" w:cs="Times New Roman"/>
                <w:b/>
                <w:sz w:val="25"/>
                <w:szCs w:val="25"/>
                <w:lang w:val="ro-MO" w:eastAsia="ru-RU"/>
              </w:rPr>
              <w:t>NOTĂ INFORMATIVĂ</w:t>
            </w:r>
          </w:p>
          <w:bookmarkEnd w:id="0"/>
          <w:p w:rsidR="00A82602" w:rsidRPr="00A82602" w:rsidRDefault="00A82602" w:rsidP="00A82602">
            <w:pPr>
              <w:spacing w:after="0" w:line="240" w:lineRule="auto"/>
              <w:jc w:val="center"/>
              <w:rPr>
                <w:rFonts w:ascii="Times New Roman" w:eastAsia="Times New Roman" w:hAnsi="Times New Roman" w:cs="Times New Roman"/>
                <w:b/>
                <w:bCs/>
                <w:sz w:val="25"/>
                <w:szCs w:val="25"/>
                <w:lang w:val="ro-MO" w:eastAsia="ru-RU"/>
              </w:rPr>
            </w:pPr>
            <w:r w:rsidRPr="00A82602">
              <w:rPr>
                <w:rFonts w:ascii="Times New Roman" w:eastAsia="Times New Roman" w:hAnsi="Times New Roman" w:cs="Times New Roman"/>
                <w:b/>
                <w:bCs/>
                <w:sz w:val="25"/>
                <w:szCs w:val="25"/>
                <w:lang w:val="ro-MO" w:eastAsia="ru-RU"/>
              </w:rPr>
              <w:t xml:space="preserve">pentru aprobarea Hotărârii Guvernului cu privire la modificarea anexei nr.2 la </w:t>
            </w:r>
          </w:p>
          <w:p w:rsidR="00A82602" w:rsidRPr="00A82602" w:rsidRDefault="00A82602" w:rsidP="00A82602">
            <w:pPr>
              <w:spacing w:after="0" w:line="240" w:lineRule="auto"/>
              <w:jc w:val="center"/>
              <w:rPr>
                <w:rFonts w:ascii="Times New Roman" w:eastAsia="Times New Roman" w:hAnsi="Times New Roman" w:cs="Times New Roman"/>
                <w:b/>
                <w:bCs/>
                <w:sz w:val="25"/>
                <w:szCs w:val="25"/>
                <w:lang w:val="ro-MO" w:eastAsia="ru-RU"/>
              </w:rPr>
            </w:pPr>
            <w:r w:rsidRPr="00A82602">
              <w:rPr>
                <w:rFonts w:ascii="Times New Roman" w:eastAsia="Times New Roman" w:hAnsi="Times New Roman" w:cs="Times New Roman"/>
                <w:b/>
                <w:bCs/>
                <w:sz w:val="25"/>
                <w:szCs w:val="25"/>
                <w:lang w:val="ro-MO" w:eastAsia="ru-RU"/>
              </w:rPr>
              <w:t>Hotărârea Guvernului nr.454/2008 cu privire la optimizarea participării organelor centrale </w:t>
            </w:r>
          </w:p>
          <w:p w:rsidR="00A82602" w:rsidRPr="00A82602" w:rsidRDefault="00A82602" w:rsidP="00A82602">
            <w:pPr>
              <w:spacing w:after="0" w:line="240" w:lineRule="auto"/>
              <w:jc w:val="center"/>
              <w:rPr>
                <w:rFonts w:ascii="Times New Roman" w:eastAsia="Times New Roman" w:hAnsi="Times New Roman" w:cs="Times New Roman"/>
                <w:b/>
                <w:bCs/>
                <w:sz w:val="25"/>
                <w:szCs w:val="25"/>
                <w:lang w:val="ro-MO" w:eastAsia="ru-RU"/>
              </w:rPr>
            </w:pPr>
            <w:r w:rsidRPr="00A82602">
              <w:rPr>
                <w:rFonts w:ascii="Times New Roman" w:eastAsia="Times New Roman" w:hAnsi="Times New Roman" w:cs="Times New Roman"/>
                <w:b/>
                <w:bCs/>
                <w:sz w:val="25"/>
                <w:szCs w:val="25"/>
                <w:lang w:val="ro-MO" w:eastAsia="ru-RU"/>
              </w:rPr>
              <w:t>de specialitate ale administraţiei publice, precum şi a altor autorităţi administrative</w:t>
            </w:r>
          </w:p>
          <w:p w:rsidR="00A82602" w:rsidRPr="00A82602" w:rsidRDefault="00A82602" w:rsidP="00A82602">
            <w:pPr>
              <w:spacing w:after="0" w:line="240" w:lineRule="auto"/>
              <w:jc w:val="center"/>
              <w:rPr>
                <w:rFonts w:ascii="Times New Roman" w:eastAsia="Times New Roman" w:hAnsi="Times New Roman" w:cs="Times New Roman"/>
                <w:b/>
                <w:bCs/>
                <w:sz w:val="25"/>
                <w:szCs w:val="25"/>
                <w:lang w:val="ro-MO" w:eastAsia="ru-RU"/>
              </w:rPr>
            </w:pPr>
            <w:r w:rsidRPr="00A82602">
              <w:rPr>
                <w:rFonts w:ascii="Times New Roman" w:eastAsia="Times New Roman" w:hAnsi="Times New Roman" w:cs="Times New Roman"/>
                <w:b/>
                <w:bCs/>
                <w:sz w:val="25"/>
                <w:szCs w:val="25"/>
                <w:lang w:val="ro-MO" w:eastAsia="ru-RU"/>
              </w:rPr>
              <w:t>centrale la executarea angajamentelor asumate faţă de organizaţiile internaţionale</w:t>
            </w:r>
          </w:p>
          <w:p w:rsidR="00A82602" w:rsidRPr="00A82602" w:rsidRDefault="00A82602" w:rsidP="00A82602">
            <w:pPr>
              <w:spacing w:after="0" w:line="240" w:lineRule="auto"/>
              <w:ind w:firstLine="720"/>
              <w:jc w:val="center"/>
              <w:rPr>
                <w:rFonts w:ascii="Times New Roman" w:eastAsia="Times New Roman" w:hAnsi="Times New Roman" w:cs="Times New Roman"/>
                <w:b/>
                <w:bCs/>
                <w:sz w:val="25"/>
                <w:szCs w:val="25"/>
                <w:lang w:val="ro-MO" w:eastAsia="ru-RU"/>
              </w:rPr>
            </w:pPr>
            <w:r w:rsidRPr="00A82602">
              <w:rPr>
                <w:rFonts w:ascii="Times New Roman" w:eastAsia="Times New Roman" w:hAnsi="Times New Roman" w:cs="Times New Roman"/>
                <w:b/>
                <w:bCs/>
                <w:sz w:val="25"/>
                <w:szCs w:val="25"/>
                <w:lang w:val="ro-MO" w:eastAsia="ru-RU"/>
              </w:rPr>
              <w:t> </w:t>
            </w:r>
          </w:p>
        </w:tc>
      </w:tr>
      <w:tr w:rsidR="00A82602" w:rsidRPr="00A82602" w:rsidTr="00A82602">
        <w:tc>
          <w:tcPr>
            <w:tcW w:w="105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82602" w:rsidRPr="00A82602" w:rsidRDefault="00A82602" w:rsidP="00A82602">
            <w:pPr>
              <w:spacing w:after="0" w:line="240" w:lineRule="auto"/>
              <w:jc w:val="both"/>
              <w:rPr>
                <w:rFonts w:ascii="Times New Roman" w:eastAsia="Times New Roman" w:hAnsi="Times New Roman" w:cs="Times New Roman"/>
                <w:color w:val="000000"/>
                <w:sz w:val="25"/>
                <w:szCs w:val="25"/>
                <w:lang w:val="ro-MO" w:eastAsia="ru-RU"/>
              </w:rPr>
            </w:pPr>
            <w:r w:rsidRPr="00A82602">
              <w:rPr>
                <w:rFonts w:ascii="Times New Roman" w:eastAsia="Times New Roman" w:hAnsi="Times New Roman" w:cs="Times New Roman"/>
                <w:b/>
                <w:bCs/>
                <w:color w:val="000000"/>
                <w:sz w:val="25"/>
                <w:szCs w:val="25"/>
                <w:highlight w:val="yellow"/>
                <w:lang w:val="ro-MO" w:eastAsia="ru-RU"/>
              </w:rPr>
              <w:t>1.</w:t>
            </w:r>
            <w:r w:rsidRPr="00A82602">
              <w:rPr>
                <w:rFonts w:ascii="Times New Roman" w:eastAsia="Times New Roman" w:hAnsi="Times New Roman" w:cs="Times New Roman"/>
                <w:color w:val="000000"/>
                <w:sz w:val="25"/>
                <w:szCs w:val="25"/>
                <w:highlight w:val="yellow"/>
                <w:lang w:val="ro-MO" w:eastAsia="ru-RU"/>
              </w:rPr>
              <w:t xml:space="preserve"> </w:t>
            </w:r>
            <w:r w:rsidRPr="00A82602">
              <w:rPr>
                <w:rFonts w:ascii="Times New Roman" w:eastAsia="Times New Roman" w:hAnsi="Times New Roman" w:cs="Times New Roman"/>
                <w:b/>
                <w:color w:val="000000"/>
                <w:sz w:val="25"/>
                <w:szCs w:val="25"/>
                <w:highlight w:val="yellow"/>
                <w:lang w:val="ro-MO" w:eastAsia="ru-RU"/>
              </w:rPr>
              <w:t>Denumirea autorului şi, după caz, a participanţilor la elaborarea proiectului</w:t>
            </w:r>
            <w:r w:rsidRPr="00A82602">
              <w:rPr>
                <w:rFonts w:ascii="Times New Roman" w:eastAsia="Times New Roman" w:hAnsi="Times New Roman" w:cs="Times New Roman"/>
                <w:color w:val="000000"/>
                <w:sz w:val="25"/>
                <w:szCs w:val="25"/>
                <w:lang w:val="ro-MO" w:eastAsia="ru-RU"/>
              </w:rPr>
              <w:t xml:space="preserve"> </w:t>
            </w:r>
          </w:p>
        </w:tc>
      </w:tr>
      <w:tr w:rsidR="00A82602" w:rsidRPr="00A82602" w:rsidTr="00A82602">
        <w:tc>
          <w:tcPr>
            <w:tcW w:w="105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82602" w:rsidRPr="00A82602" w:rsidRDefault="00A82602" w:rsidP="00A82602">
            <w:pPr>
              <w:spacing w:after="0" w:line="240" w:lineRule="auto"/>
              <w:jc w:val="both"/>
              <w:rPr>
                <w:rFonts w:ascii="Times New Roman" w:eastAsia="Times New Roman" w:hAnsi="Times New Roman" w:cs="Times New Roman"/>
                <w:color w:val="9BBB59"/>
                <w:sz w:val="25"/>
                <w:szCs w:val="25"/>
                <w:lang w:val="ro-MO" w:eastAsia="ru-RU"/>
              </w:rPr>
            </w:pPr>
            <w:r w:rsidRPr="00A82602">
              <w:rPr>
                <w:rFonts w:ascii="Times New Roman" w:eastAsia="Times New Roman" w:hAnsi="Times New Roman" w:cs="Times New Roman"/>
                <w:sz w:val="25"/>
                <w:szCs w:val="25"/>
                <w:lang w:val="ro-MO" w:eastAsia="ru-RU"/>
              </w:rPr>
              <w:t>Proiectul hotărârii Guvernului privind modificarea și completarea anexei nr.2 a Hotărârii de Guvern nr.454/2008 cu privire la optimizarea participării organelor centrale de specialitate ale administrației publice, precum și a altor autorități administrative centrale la executarea angajamentelor asumate față de organizațiile internaționale este elaborat de către Ministerul Afacerilor Interne.</w:t>
            </w:r>
          </w:p>
        </w:tc>
      </w:tr>
      <w:tr w:rsidR="00A82602" w:rsidRPr="00A82602" w:rsidTr="00A82602">
        <w:tc>
          <w:tcPr>
            <w:tcW w:w="105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82602" w:rsidRPr="00A82602" w:rsidRDefault="00A82602" w:rsidP="00A82602">
            <w:pPr>
              <w:spacing w:after="0" w:line="240" w:lineRule="auto"/>
              <w:jc w:val="both"/>
              <w:rPr>
                <w:rFonts w:ascii="Times New Roman" w:eastAsia="Times New Roman" w:hAnsi="Times New Roman" w:cs="Times New Roman"/>
                <w:sz w:val="25"/>
                <w:szCs w:val="25"/>
                <w:lang w:val="ro-MO" w:eastAsia="ru-RU"/>
              </w:rPr>
            </w:pPr>
            <w:r w:rsidRPr="00A82602">
              <w:rPr>
                <w:rFonts w:ascii="Times New Roman" w:eastAsia="Times New Roman" w:hAnsi="Times New Roman" w:cs="Times New Roman"/>
                <w:b/>
                <w:bCs/>
                <w:sz w:val="25"/>
                <w:szCs w:val="25"/>
                <w:highlight w:val="yellow"/>
                <w:lang w:val="ro-MO" w:eastAsia="ru-RU"/>
              </w:rPr>
              <w:t>2.</w:t>
            </w:r>
            <w:r w:rsidRPr="00A82602">
              <w:rPr>
                <w:rFonts w:ascii="Times New Roman" w:eastAsia="Times New Roman" w:hAnsi="Times New Roman" w:cs="Times New Roman"/>
                <w:sz w:val="25"/>
                <w:szCs w:val="25"/>
                <w:highlight w:val="yellow"/>
                <w:lang w:val="ro-MO" w:eastAsia="ru-RU"/>
              </w:rPr>
              <w:t xml:space="preserve"> </w:t>
            </w:r>
            <w:r w:rsidRPr="00A82602">
              <w:rPr>
                <w:rFonts w:ascii="Times New Roman" w:eastAsia="Times New Roman" w:hAnsi="Times New Roman" w:cs="Times New Roman"/>
                <w:b/>
                <w:sz w:val="25"/>
                <w:szCs w:val="25"/>
                <w:highlight w:val="yellow"/>
                <w:lang w:val="ro-MO" w:eastAsia="ru-RU"/>
              </w:rPr>
              <w:t>Condiţiile ce au impus elaborarea proiectului de act normativ şi finalităţile urmărite</w:t>
            </w:r>
            <w:r w:rsidRPr="00A82602">
              <w:rPr>
                <w:rFonts w:ascii="Times New Roman" w:eastAsia="Times New Roman" w:hAnsi="Times New Roman" w:cs="Times New Roman"/>
                <w:sz w:val="25"/>
                <w:szCs w:val="25"/>
                <w:lang w:val="ro-MO" w:eastAsia="ru-RU"/>
              </w:rPr>
              <w:t xml:space="preserve"> </w:t>
            </w:r>
          </w:p>
        </w:tc>
      </w:tr>
      <w:tr w:rsidR="00A82602" w:rsidRPr="00A82602" w:rsidTr="00A82602">
        <w:tc>
          <w:tcPr>
            <w:tcW w:w="105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82602" w:rsidRPr="00A82602" w:rsidRDefault="00A82602" w:rsidP="00A82602">
            <w:pPr>
              <w:spacing w:after="0" w:line="240" w:lineRule="auto"/>
              <w:jc w:val="both"/>
              <w:rPr>
                <w:rFonts w:ascii="Times New Roman" w:eastAsia="Times New Roman" w:hAnsi="Times New Roman" w:cs="Times New Roman"/>
                <w:sz w:val="25"/>
                <w:szCs w:val="25"/>
                <w:lang w:val="ro-MO" w:eastAsia="ru-RU"/>
              </w:rPr>
            </w:pPr>
            <w:r w:rsidRPr="00A82602">
              <w:rPr>
                <w:rFonts w:ascii="Times New Roman" w:eastAsia="Times New Roman" w:hAnsi="Times New Roman" w:cs="Times New Roman"/>
                <w:sz w:val="25"/>
                <w:szCs w:val="25"/>
                <w:lang w:val="ro-MO" w:eastAsia="ru-RU"/>
              </w:rPr>
              <w:t>Proiectul este elaborat în contextul adoptării Legii nr.116/2015 pentru ratificarea Acordului privind cooperarea operaţională şi strategică dintre Republica Moldova şi Oficiul European de Poliţie. Potrivit art.2 din legea citată Guvernul este obligat să întreprinde măsurile necesare pentru realizarea prevederilor acordului menţionat.</w:t>
            </w:r>
          </w:p>
          <w:p w:rsidR="00A82602" w:rsidRPr="00A82602" w:rsidRDefault="00A82602" w:rsidP="00A82602">
            <w:pPr>
              <w:spacing w:after="0" w:line="240" w:lineRule="auto"/>
              <w:jc w:val="both"/>
              <w:rPr>
                <w:rFonts w:ascii="Times New Roman" w:eastAsia="Times New Roman" w:hAnsi="Times New Roman" w:cs="Times New Roman"/>
                <w:sz w:val="25"/>
                <w:szCs w:val="25"/>
                <w:lang w:val="ro-MO" w:eastAsia="ru-RU"/>
              </w:rPr>
            </w:pPr>
            <w:r w:rsidRPr="00A82602">
              <w:rPr>
                <w:rFonts w:ascii="Times New Roman" w:eastAsia="Times New Roman" w:hAnsi="Times New Roman" w:cs="Times New Roman"/>
                <w:sz w:val="25"/>
                <w:szCs w:val="25"/>
                <w:lang w:val="ro-MO" w:eastAsia="ru-RU"/>
              </w:rPr>
              <w:t xml:space="preserve">În conformitate cu prevederile art.6 pct.1 din Acord Republica Moldova desemnează un punct naţional de contact pentru a acţiona ca punct central de contact între Europol şi alte autorităţi competente din Republica Moldova. Potrivit pct.2 schimbul de informaţii între Republica Moldova şi Europol, în conformitate cu acest Acord va avea loc între Europol şi punctul naţional de contact.  </w:t>
            </w:r>
          </w:p>
          <w:p w:rsidR="00A82602" w:rsidRPr="00A82602" w:rsidRDefault="00A82602" w:rsidP="00A82602">
            <w:pPr>
              <w:spacing w:after="0" w:line="240" w:lineRule="auto"/>
              <w:jc w:val="both"/>
              <w:rPr>
                <w:rFonts w:ascii="Times New Roman" w:eastAsia="Times New Roman" w:hAnsi="Times New Roman" w:cs="Times New Roman"/>
                <w:sz w:val="25"/>
                <w:szCs w:val="25"/>
                <w:lang w:val="ro-MO" w:eastAsia="ru-RU"/>
              </w:rPr>
            </w:pPr>
            <w:r w:rsidRPr="00A82602">
              <w:rPr>
                <w:rFonts w:ascii="Times New Roman" w:eastAsia="Times New Roman" w:hAnsi="Times New Roman" w:cs="Times New Roman"/>
                <w:sz w:val="25"/>
                <w:szCs w:val="25"/>
                <w:lang w:val="ro-MO" w:eastAsia="ru-RU"/>
              </w:rPr>
              <w:t>Potrivit anexei nr.2 la acest acord Punctul naţional de contact pentru Republica Moldova, ce acţionează în calitate de punct central de contact între Europol şi alte autorităţi competente ale Republicii Moldova este desemnat Centrul de Cooperare Poliţienească Internaţională din cadrul Inspectoratului General de Poliţie al Ministerului Afacerilor Interne. Iar autorităţile competente din Republica Moldova, responsabile în temeiul legislaţiei naţionale pentru prevenirea şi combaterea infracţiunilor menţionate în Articolul 3(1) din prezentul Acord sunt: Ministerul Afacerilor Interne, Serviciul de Informaţii şi Securitate, Ministerul Finanţelor (Serviciul Vamal), Centrul Naţional Anticorupţie, Procuratura Generală.</w:t>
            </w:r>
          </w:p>
          <w:p w:rsidR="00A82602" w:rsidRPr="00A82602" w:rsidRDefault="00A82602" w:rsidP="00A82602">
            <w:pPr>
              <w:spacing w:after="0" w:line="240" w:lineRule="auto"/>
              <w:jc w:val="both"/>
              <w:rPr>
                <w:rFonts w:ascii="Times New Roman" w:eastAsia="Times New Roman" w:hAnsi="Times New Roman" w:cs="Times New Roman"/>
                <w:sz w:val="25"/>
                <w:szCs w:val="25"/>
                <w:lang w:val="ro-MO" w:eastAsia="ru-RU"/>
              </w:rPr>
            </w:pPr>
            <w:r w:rsidRPr="00A82602">
              <w:rPr>
                <w:rFonts w:ascii="Times New Roman" w:eastAsia="Times New Roman" w:hAnsi="Times New Roman" w:cs="Times New Roman"/>
                <w:sz w:val="25"/>
                <w:szCs w:val="25"/>
                <w:lang w:val="ro-MO" w:eastAsia="ru-RU"/>
              </w:rPr>
              <w:t xml:space="preserve">Totodată, Republica Moldova a semnat </w:t>
            </w:r>
            <w:r w:rsidRPr="00A82602">
              <w:rPr>
                <w:rFonts w:ascii="Times New Roman" w:eastAsia="Times New Roman" w:hAnsi="Times New Roman" w:cs="Times New Roman"/>
                <w:sz w:val="25"/>
                <w:szCs w:val="25"/>
                <w:lang w:val="ro-MO"/>
              </w:rPr>
              <w:t xml:space="preserve">Memorandumul de Înţelegere între Republica Moldova şi Oficiul European de Poliţie privind linia securizată de comunicare din 16.01.2014, prin care a </w:t>
            </w:r>
            <w:r w:rsidRPr="00A82602">
              <w:rPr>
                <w:rFonts w:ascii="Times New Roman" w:eastAsia="Times New Roman" w:hAnsi="Times New Roman" w:cs="Times New Roman"/>
                <w:sz w:val="25"/>
                <w:szCs w:val="25"/>
                <w:lang w:val="ro-MO" w:eastAsia="ru-RU"/>
              </w:rPr>
              <w:t xml:space="preserve">obţinut accesul la canalul securizat SIENA, care permite schimbul direct de date și informații de uz polițienesc dintre Republica Moldova și cele 28 de state-membre ale Uniunii Europene prin intermediul EUROPOL. </w:t>
            </w:r>
          </w:p>
          <w:p w:rsidR="00A82602" w:rsidRPr="00A82602" w:rsidRDefault="00A82602" w:rsidP="00A82602">
            <w:pPr>
              <w:spacing w:after="0" w:line="240" w:lineRule="auto"/>
              <w:jc w:val="both"/>
              <w:rPr>
                <w:rFonts w:ascii="Times New Roman" w:eastAsia="Times New Roman" w:hAnsi="Times New Roman" w:cs="Times New Roman"/>
                <w:sz w:val="25"/>
                <w:szCs w:val="25"/>
                <w:lang w:val="ro-MO" w:eastAsia="ru-RU"/>
              </w:rPr>
            </w:pPr>
            <w:r w:rsidRPr="00A82602">
              <w:rPr>
                <w:rFonts w:ascii="Times New Roman" w:eastAsia="Times New Roman" w:hAnsi="Times New Roman" w:cs="Times New Roman"/>
                <w:sz w:val="25"/>
                <w:szCs w:val="25"/>
                <w:lang w:val="ro-MO" w:eastAsia="ru-RU"/>
              </w:rPr>
              <w:t>Se va preciza că, accesul la canalul securizat SIENA presupune anumite costuri care urmează să fie suportate de către Republica Moldova și, prin urmare, acest fapt este posibil doar prin includerea în Schema repartizării  între organele centrale de specialitate ale administraţiei publice, precum şi alte autorităţi administrative centrale a responsabilităţii pentru gestionarea activităţilor ce ţin de executarea angajamentelor, inclusiv financiare, asumate de Republica Moldova sau de autoritatea respectivă faţă de organizaţiile internaţionale (anexa nr.2 la Hotărârea Guvernului nr.454/2008) a Oficiului European de Poliție (EUROPOL).</w:t>
            </w:r>
          </w:p>
        </w:tc>
      </w:tr>
      <w:tr w:rsidR="00A82602" w:rsidRPr="00A82602" w:rsidTr="00A82602">
        <w:tc>
          <w:tcPr>
            <w:tcW w:w="105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82602" w:rsidRPr="00A82602" w:rsidRDefault="00A82602" w:rsidP="00A82602">
            <w:pPr>
              <w:spacing w:after="0" w:line="240" w:lineRule="auto"/>
              <w:jc w:val="both"/>
              <w:rPr>
                <w:rFonts w:ascii="Times New Roman" w:eastAsia="Times New Roman" w:hAnsi="Times New Roman" w:cs="Times New Roman"/>
                <w:b/>
                <w:sz w:val="25"/>
                <w:szCs w:val="25"/>
                <w:lang w:val="ro-MO" w:eastAsia="ru-RU"/>
              </w:rPr>
            </w:pPr>
            <w:r w:rsidRPr="00A82602">
              <w:rPr>
                <w:rFonts w:ascii="Times New Roman" w:eastAsia="Times New Roman" w:hAnsi="Times New Roman" w:cs="Times New Roman"/>
                <w:b/>
                <w:sz w:val="25"/>
                <w:szCs w:val="25"/>
                <w:highlight w:val="yellow"/>
                <w:lang w:val="ro-MO" w:eastAsia="ru-RU"/>
              </w:rPr>
              <w:t>3. Descrierea gradului de compatibilitate pentru proiectele care au ca scop armonizarea legislaţiei naţionale cu legislaţia Uniunii Europene</w:t>
            </w:r>
          </w:p>
        </w:tc>
      </w:tr>
      <w:tr w:rsidR="00A82602" w:rsidRPr="00A82602" w:rsidTr="00A82602">
        <w:tc>
          <w:tcPr>
            <w:tcW w:w="105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82602" w:rsidRPr="00A82602" w:rsidRDefault="00A82602" w:rsidP="00A82602">
            <w:pPr>
              <w:spacing w:after="0" w:line="240" w:lineRule="auto"/>
              <w:jc w:val="both"/>
              <w:rPr>
                <w:rFonts w:ascii="Times New Roman" w:eastAsia="Times New Roman" w:hAnsi="Times New Roman" w:cs="Times New Roman"/>
                <w:sz w:val="25"/>
                <w:szCs w:val="25"/>
                <w:lang w:val="ro-MO" w:eastAsia="ru-RU"/>
              </w:rPr>
            </w:pPr>
            <w:r w:rsidRPr="00A82602">
              <w:rPr>
                <w:rFonts w:ascii="Times New Roman" w:eastAsia="Times New Roman" w:hAnsi="Times New Roman" w:cs="Times New Roman"/>
                <w:sz w:val="25"/>
                <w:szCs w:val="25"/>
                <w:lang w:val="ro-MO" w:eastAsia="ru-RU"/>
              </w:rPr>
              <w:t>Prezentul proiect nu are ca scop armonizarea legislaţiei naţionale cu legislaţia Uniunii Europene.</w:t>
            </w:r>
          </w:p>
        </w:tc>
      </w:tr>
      <w:tr w:rsidR="00A82602" w:rsidRPr="00A82602" w:rsidTr="00A82602">
        <w:tc>
          <w:tcPr>
            <w:tcW w:w="105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82602" w:rsidRPr="00A82602" w:rsidRDefault="00A82602" w:rsidP="00A82602">
            <w:pPr>
              <w:spacing w:after="0" w:line="240" w:lineRule="auto"/>
              <w:jc w:val="both"/>
              <w:rPr>
                <w:rFonts w:ascii="Times New Roman" w:eastAsia="Times New Roman" w:hAnsi="Times New Roman" w:cs="Times New Roman"/>
                <w:b/>
                <w:sz w:val="25"/>
                <w:szCs w:val="25"/>
                <w:lang w:val="ro-MO" w:eastAsia="ru-RU"/>
              </w:rPr>
            </w:pPr>
            <w:r w:rsidRPr="00A82602">
              <w:rPr>
                <w:rFonts w:ascii="Times New Roman" w:eastAsia="Times New Roman" w:hAnsi="Times New Roman" w:cs="Times New Roman"/>
                <w:b/>
                <w:bCs/>
                <w:sz w:val="25"/>
                <w:szCs w:val="25"/>
                <w:highlight w:val="yellow"/>
                <w:lang w:val="ro-MO" w:eastAsia="ru-RU"/>
              </w:rPr>
              <w:t>4.</w:t>
            </w:r>
            <w:r w:rsidRPr="00A82602">
              <w:rPr>
                <w:rFonts w:ascii="Times New Roman" w:eastAsia="Times New Roman" w:hAnsi="Times New Roman" w:cs="Times New Roman"/>
                <w:b/>
                <w:sz w:val="25"/>
                <w:szCs w:val="25"/>
                <w:highlight w:val="yellow"/>
                <w:lang w:val="ro-MO" w:eastAsia="ru-RU"/>
              </w:rPr>
              <w:t xml:space="preserve"> Principalele prevederi ale proiectului şi evidenţierea elementelor noi</w:t>
            </w:r>
            <w:r w:rsidRPr="00A82602">
              <w:rPr>
                <w:rFonts w:ascii="Times New Roman" w:eastAsia="Times New Roman" w:hAnsi="Times New Roman" w:cs="Times New Roman"/>
                <w:b/>
                <w:sz w:val="25"/>
                <w:szCs w:val="25"/>
                <w:lang w:val="ro-MO" w:eastAsia="ru-RU"/>
              </w:rPr>
              <w:t xml:space="preserve"> </w:t>
            </w:r>
          </w:p>
        </w:tc>
      </w:tr>
      <w:tr w:rsidR="00A82602" w:rsidRPr="00A82602" w:rsidTr="00A82602">
        <w:tc>
          <w:tcPr>
            <w:tcW w:w="105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82602" w:rsidRPr="00A82602" w:rsidRDefault="00A82602" w:rsidP="00A82602">
            <w:pPr>
              <w:spacing w:after="0" w:line="240" w:lineRule="auto"/>
              <w:jc w:val="both"/>
              <w:rPr>
                <w:rFonts w:ascii="Times New Roman" w:eastAsia="Times New Roman" w:hAnsi="Times New Roman" w:cs="Times New Roman"/>
                <w:sz w:val="25"/>
                <w:szCs w:val="25"/>
                <w:lang w:val="ro-MO" w:eastAsia="ru-RU"/>
              </w:rPr>
            </w:pPr>
            <w:r w:rsidRPr="00A82602">
              <w:rPr>
                <w:rFonts w:ascii="Times New Roman" w:eastAsia="Times New Roman" w:hAnsi="Times New Roman" w:cs="Times New Roman"/>
                <w:sz w:val="25"/>
                <w:szCs w:val="25"/>
                <w:lang w:val="ro-MO" w:eastAsia="ru-RU"/>
              </w:rPr>
              <w:t xml:space="preserve">În contextul celor expuse supra, prin prisma proiectului hotărârii Guvernului privind modificarea și </w:t>
            </w:r>
            <w:r w:rsidRPr="00A82602">
              <w:rPr>
                <w:rFonts w:ascii="Times New Roman" w:eastAsia="Times New Roman" w:hAnsi="Times New Roman" w:cs="Times New Roman"/>
                <w:sz w:val="25"/>
                <w:szCs w:val="25"/>
                <w:lang w:val="ro-MO" w:eastAsia="ru-RU"/>
              </w:rPr>
              <w:lastRenderedPageBreak/>
              <w:t xml:space="preserve">completarea anexei nr.2 al Hotărârii de Guvern nr.454/2008 cu privire la optimizarea participării organelor centrale de specialitate ale administrației publice, precum și a altor autorități administrative centrale la executarea angajamentelor asumate față de organizațiile internaționale, se completează anexa nr.2 </w:t>
            </w:r>
            <w:proofErr w:type="spellStart"/>
            <w:r w:rsidRPr="00A82602">
              <w:rPr>
                <w:rFonts w:ascii="Times New Roman" w:eastAsia="Times New Roman" w:hAnsi="Times New Roman" w:cs="Times New Roman"/>
                <w:sz w:val="25"/>
                <w:szCs w:val="25"/>
                <w:lang w:val="ro-MO" w:eastAsia="ru-RU"/>
              </w:rPr>
              <w:t>lit.b</w:t>
            </w:r>
            <w:proofErr w:type="spellEnd"/>
            <w:r w:rsidRPr="00A82602">
              <w:rPr>
                <w:rFonts w:ascii="Times New Roman" w:eastAsia="Times New Roman" w:hAnsi="Times New Roman" w:cs="Times New Roman"/>
                <w:sz w:val="25"/>
                <w:szCs w:val="25"/>
                <w:lang w:val="ro-MO" w:eastAsia="ru-RU"/>
              </w:rPr>
              <w:t>) cu poziția 87</w:t>
            </w:r>
            <w:r w:rsidRPr="00A82602">
              <w:rPr>
                <w:rFonts w:ascii="Times New Roman" w:eastAsia="Times New Roman" w:hAnsi="Times New Roman" w:cs="Times New Roman"/>
                <w:sz w:val="25"/>
                <w:szCs w:val="25"/>
                <w:vertAlign w:val="superscript"/>
                <w:lang w:val="ro-MO" w:eastAsia="ru-RU"/>
              </w:rPr>
              <w:t xml:space="preserve"> </w:t>
            </w:r>
            <w:r w:rsidRPr="00A82602">
              <w:rPr>
                <w:rFonts w:ascii="Times New Roman" w:eastAsia="Times New Roman" w:hAnsi="Times New Roman" w:cs="Times New Roman"/>
                <w:sz w:val="25"/>
                <w:szCs w:val="25"/>
                <w:lang w:val="ro-MO" w:eastAsia="ru-RU"/>
              </w:rPr>
              <w:t xml:space="preserve">în care se include Oficiul European de Poliție (EUROPOL) ca organizație internațională a cărei partener </w:t>
            </w:r>
            <w:r w:rsidRPr="00A82602">
              <w:rPr>
                <w:rFonts w:ascii="Times New Roman" w:eastAsia="Times New Roman" w:hAnsi="Times New Roman" w:cs="Times New Roman"/>
                <w:iCs/>
                <w:sz w:val="24"/>
                <w:szCs w:val="24"/>
                <w:lang w:val="ro-MO"/>
              </w:rPr>
              <w:t>în baza Acordului privind cooperarea operaţională şi strategică dintre Republica Moldova şi Oficiul European de Poliţie</w:t>
            </w:r>
            <w:r w:rsidRPr="00A82602">
              <w:rPr>
                <w:rFonts w:ascii="Times New Roman" w:eastAsia="Times New Roman" w:hAnsi="Times New Roman" w:cs="Times New Roman"/>
                <w:sz w:val="25"/>
                <w:szCs w:val="25"/>
                <w:lang w:val="ro-MO" w:eastAsia="ru-RU"/>
              </w:rPr>
              <w:t xml:space="preserve"> este Republica Moldova, la achitarea cotizațiilor și datoriilor, și a fost inclus Ministerul Afacerilor Interne ca autoritate administrativă centrală responsabilă.</w:t>
            </w:r>
          </w:p>
        </w:tc>
      </w:tr>
      <w:tr w:rsidR="00A82602" w:rsidRPr="00A82602" w:rsidTr="00A82602">
        <w:tc>
          <w:tcPr>
            <w:tcW w:w="105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82602" w:rsidRPr="00A82602" w:rsidRDefault="00A82602" w:rsidP="00A82602">
            <w:pPr>
              <w:spacing w:after="0" w:line="240" w:lineRule="auto"/>
              <w:jc w:val="both"/>
              <w:rPr>
                <w:rFonts w:ascii="Times New Roman" w:eastAsia="Times New Roman" w:hAnsi="Times New Roman" w:cs="Times New Roman"/>
                <w:sz w:val="25"/>
                <w:szCs w:val="25"/>
                <w:lang w:val="ro-MO" w:eastAsia="ru-RU"/>
              </w:rPr>
            </w:pPr>
            <w:r w:rsidRPr="00A82602">
              <w:rPr>
                <w:rFonts w:ascii="Times New Roman" w:eastAsia="Times New Roman" w:hAnsi="Times New Roman" w:cs="Times New Roman"/>
                <w:b/>
                <w:bCs/>
                <w:sz w:val="25"/>
                <w:szCs w:val="25"/>
                <w:highlight w:val="yellow"/>
                <w:lang w:val="ro-MO" w:eastAsia="ru-RU"/>
              </w:rPr>
              <w:lastRenderedPageBreak/>
              <w:t>5.</w:t>
            </w:r>
            <w:r w:rsidRPr="00A82602">
              <w:rPr>
                <w:rFonts w:ascii="Times New Roman" w:eastAsia="Times New Roman" w:hAnsi="Times New Roman" w:cs="Times New Roman"/>
                <w:sz w:val="25"/>
                <w:szCs w:val="25"/>
                <w:highlight w:val="yellow"/>
                <w:lang w:val="ro-MO" w:eastAsia="ru-RU"/>
              </w:rPr>
              <w:t xml:space="preserve"> </w:t>
            </w:r>
            <w:r w:rsidRPr="00A82602">
              <w:rPr>
                <w:rFonts w:ascii="Times New Roman" w:eastAsia="Times New Roman" w:hAnsi="Times New Roman" w:cs="Times New Roman"/>
                <w:b/>
                <w:sz w:val="25"/>
                <w:szCs w:val="25"/>
                <w:highlight w:val="yellow"/>
                <w:lang w:val="ro-MO" w:eastAsia="ru-RU"/>
              </w:rPr>
              <w:t>Fundamentarea economico-financiară</w:t>
            </w:r>
            <w:r w:rsidRPr="00A82602">
              <w:rPr>
                <w:rFonts w:ascii="Times New Roman" w:eastAsia="Times New Roman" w:hAnsi="Times New Roman" w:cs="Times New Roman"/>
                <w:sz w:val="25"/>
                <w:szCs w:val="25"/>
                <w:lang w:val="ro-MO" w:eastAsia="ru-RU"/>
              </w:rPr>
              <w:t xml:space="preserve"> </w:t>
            </w:r>
          </w:p>
        </w:tc>
      </w:tr>
      <w:tr w:rsidR="00A82602" w:rsidRPr="00A82602" w:rsidTr="00A82602">
        <w:tc>
          <w:tcPr>
            <w:tcW w:w="105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82602" w:rsidRPr="00A82602" w:rsidRDefault="00A82602" w:rsidP="00A82602">
            <w:pPr>
              <w:spacing w:after="0" w:line="240" w:lineRule="auto"/>
              <w:jc w:val="both"/>
              <w:rPr>
                <w:rFonts w:ascii="Times New Roman" w:eastAsia="Times New Roman" w:hAnsi="Times New Roman" w:cs="Times New Roman"/>
                <w:sz w:val="25"/>
                <w:szCs w:val="25"/>
                <w:lang w:val="ro-MO" w:eastAsia="ru-RU"/>
              </w:rPr>
            </w:pPr>
            <w:r w:rsidRPr="00A82602">
              <w:rPr>
                <w:rFonts w:ascii="Times New Roman" w:eastAsia="Times New Roman" w:hAnsi="Times New Roman" w:cs="Times New Roman"/>
                <w:sz w:val="25"/>
                <w:szCs w:val="25"/>
                <w:lang w:val="ro-MO" w:eastAsia="ru-RU"/>
              </w:rPr>
              <w:t>În cursul procesului sistematic de folosință de către Republica Moldova a canalului securizat SIENA, este imposibilă stabilirea și estimarea cu exactitate a cheltuielilor pentru accesul la platforma în cauză.</w:t>
            </w:r>
          </w:p>
          <w:p w:rsidR="00A82602" w:rsidRPr="00A82602" w:rsidRDefault="00A82602" w:rsidP="00A82602">
            <w:pPr>
              <w:spacing w:after="0" w:line="240" w:lineRule="auto"/>
              <w:jc w:val="both"/>
              <w:rPr>
                <w:rFonts w:ascii="Times New Roman" w:eastAsia="Times New Roman" w:hAnsi="Times New Roman" w:cs="Times New Roman"/>
                <w:sz w:val="26"/>
                <w:szCs w:val="26"/>
                <w:lang w:val="ro-MO" w:eastAsia="ru-RU"/>
              </w:rPr>
            </w:pPr>
            <w:r w:rsidRPr="00A82602">
              <w:rPr>
                <w:rFonts w:ascii="Times New Roman" w:eastAsia="Times New Roman" w:hAnsi="Times New Roman" w:cs="Times New Roman"/>
                <w:sz w:val="25"/>
                <w:szCs w:val="25"/>
                <w:shd w:val="clear" w:color="auto" w:fill="FDFDFD"/>
                <w:lang w:val="ro-MO"/>
              </w:rPr>
              <w:t xml:space="preserve">Totodată, costul lunar total pe care Europol îl plătește actualmente pentru canalul securizat pentru Republica Moldova este de 2.124,58 mii euro. Trimestrial Europol achită 6.373,74 mii euro, iar 50% din această sumă, adică 3.186,87 euro, urmează a fi achitată de Republica Moldova în conformitate cu art.6 pct. </w:t>
            </w:r>
            <w:r w:rsidRPr="00A82602">
              <w:rPr>
                <w:rFonts w:ascii="Times New Roman" w:eastAsia="Times New Roman" w:hAnsi="Times New Roman" w:cs="Times New Roman"/>
                <w:sz w:val="25"/>
                <w:szCs w:val="25"/>
                <w:lang w:val="ro-MO"/>
              </w:rPr>
              <w:t xml:space="preserve">3. </w:t>
            </w:r>
            <w:r w:rsidRPr="00A82602">
              <w:rPr>
                <w:rFonts w:ascii="Times New Roman" w:eastAsia="Times New Roman" w:hAnsi="Times New Roman" w:cs="Times New Roman"/>
                <w:i/>
                <w:sz w:val="25"/>
                <w:szCs w:val="25"/>
                <w:lang w:val="ro-MO"/>
              </w:rPr>
              <w:t>„Cheltuielile lunare pentru exploatarea liniei securizate de comunicare vor fi partajate între Părţi, fiecare acoperind 50% din cost. Europol va achita în avans toate cheltuielile lunare necesare pentru exploatare. Moldova va rambursa 50% din costurile lunare de exploatare după emiterea de către Europol a unui ordin de recuperare a cheltuielilor în conformitate cu Regulamentul Financiar al Europol”</w:t>
            </w:r>
            <w:r w:rsidRPr="00A82602">
              <w:rPr>
                <w:rFonts w:ascii="Times New Roman" w:eastAsia="Times New Roman" w:hAnsi="Times New Roman" w:cs="Times New Roman"/>
                <w:sz w:val="25"/>
                <w:szCs w:val="25"/>
                <w:shd w:val="clear" w:color="auto" w:fill="FDFDFD"/>
                <w:lang w:val="ro-MO"/>
              </w:rPr>
              <w:t>. Pentru anul 2019 estimarea costului pentru Republica Moldova reprezintă 12.747,48 mii euro.</w:t>
            </w:r>
            <w:r w:rsidRPr="00A82602">
              <w:rPr>
                <w:rFonts w:ascii="Times New Roman" w:eastAsia="Times New Roman" w:hAnsi="Times New Roman" w:cs="Times New Roman"/>
                <w:color w:val="FF0000"/>
                <w:sz w:val="25"/>
                <w:szCs w:val="25"/>
                <w:shd w:val="clear" w:color="auto" w:fill="FDFDFD"/>
                <w:lang w:val="ro-MO"/>
              </w:rPr>
              <w:t xml:space="preserve"> </w:t>
            </w:r>
          </w:p>
        </w:tc>
      </w:tr>
      <w:tr w:rsidR="00A82602" w:rsidRPr="00A82602" w:rsidTr="00A82602">
        <w:tc>
          <w:tcPr>
            <w:tcW w:w="105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82602" w:rsidRPr="00A82602" w:rsidRDefault="00A82602" w:rsidP="00A82602">
            <w:pPr>
              <w:spacing w:after="0" w:line="240" w:lineRule="auto"/>
              <w:jc w:val="both"/>
              <w:rPr>
                <w:rFonts w:ascii="Times New Roman" w:eastAsia="Times New Roman" w:hAnsi="Times New Roman" w:cs="Times New Roman"/>
                <w:sz w:val="25"/>
                <w:szCs w:val="25"/>
                <w:lang w:val="ro-MO" w:eastAsia="ru-RU"/>
              </w:rPr>
            </w:pPr>
            <w:r w:rsidRPr="00A82602">
              <w:rPr>
                <w:rFonts w:ascii="Times New Roman" w:eastAsia="Times New Roman" w:hAnsi="Times New Roman" w:cs="Times New Roman"/>
                <w:b/>
                <w:bCs/>
                <w:sz w:val="25"/>
                <w:szCs w:val="25"/>
                <w:highlight w:val="yellow"/>
                <w:lang w:val="ro-MO" w:eastAsia="ru-RU"/>
              </w:rPr>
              <w:t>6.</w:t>
            </w:r>
            <w:r w:rsidRPr="00A82602">
              <w:rPr>
                <w:rFonts w:ascii="Times New Roman" w:eastAsia="Times New Roman" w:hAnsi="Times New Roman" w:cs="Times New Roman"/>
                <w:sz w:val="25"/>
                <w:szCs w:val="25"/>
                <w:highlight w:val="yellow"/>
                <w:lang w:val="ro-MO" w:eastAsia="ru-RU"/>
              </w:rPr>
              <w:t xml:space="preserve"> </w:t>
            </w:r>
            <w:r w:rsidRPr="00A82602">
              <w:rPr>
                <w:rFonts w:ascii="Times New Roman" w:eastAsia="Times New Roman" w:hAnsi="Times New Roman" w:cs="Times New Roman"/>
                <w:b/>
                <w:sz w:val="25"/>
                <w:szCs w:val="25"/>
                <w:highlight w:val="yellow"/>
                <w:lang w:val="ro-MO" w:eastAsia="ru-RU"/>
              </w:rPr>
              <w:t>Modul de încorporare a actului în cadrul normativ în vigoare</w:t>
            </w:r>
            <w:r w:rsidRPr="00A82602">
              <w:rPr>
                <w:rFonts w:ascii="Times New Roman" w:eastAsia="Times New Roman" w:hAnsi="Times New Roman" w:cs="Times New Roman"/>
                <w:sz w:val="25"/>
                <w:szCs w:val="25"/>
                <w:lang w:val="ro-MO" w:eastAsia="ru-RU"/>
              </w:rPr>
              <w:t xml:space="preserve"> </w:t>
            </w:r>
          </w:p>
        </w:tc>
      </w:tr>
      <w:tr w:rsidR="00A82602" w:rsidRPr="00A82602" w:rsidTr="00A82602">
        <w:tc>
          <w:tcPr>
            <w:tcW w:w="105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82602" w:rsidRPr="00A82602" w:rsidRDefault="00A82602" w:rsidP="00A82602">
            <w:pPr>
              <w:spacing w:after="0" w:line="240" w:lineRule="auto"/>
              <w:jc w:val="both"/>
              <w:rPr>
                <w:rFonts w:ascii="Times New Roman" w:eastAsia="Times New Roman" w:hAnsi="Times New Roman" w:cs="Times New Roman"/>
                <w:color w:val="FF0000"/>
                <w:sz w:val="25"/>
                <w:szCs w:val="25"/>
                <w:lang w:val="ro-MO" w:eastAsia="ru-RU"/>
              </w:rPr>
            </w:pPr>
            <w:r w:rsidRPr="00A82602">
              <w:rPr>
                <w:rFonts w:ascii="Times New Roman" w:eastAsia="Times New Roman" w:hAnsi="Times New Roman" w:cs="Times New Roman"/>
                <w:sz w:val="25"/>
                <w:szCs w:val="25"/>
                <w:lang w:val="ro-MO" w:eastAsia="ru-RU"/>
              </w:rPr>
              <w:t>Proiectul elaborat se încadrează în cadrul normativ în vigoare, iar promovarea acestuia și eventuala sa aprobare nu va genera ca consecință necesitatea amendării altor acte normative.</w:t>
            </w:r>
          </w:p>
        </w:tc>
      </w:tr>
      <w:tr w:rsidR="00A82602" w:rsidRPr="00A82602" w:rsidTr="00A82602">
        <w:tc>
          <w:tcPr>
            <w:tcW w:w="105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82602" w:rsidRPr="00A82602" w:rsidRDefault="00A82602" w:rsidP="00A82602">
            <w:pPr>
              <w:spacing w:after="0" w:line="240" w:lineRule="auto"/>
              <w:jc w:val="both"/>
              <w:rPr>
                <w:rFonts w:ascii="Times New Roman" w:eastAsia="Times New Roman" w:hAnsi="Times New Roman" w:cs="Times New Roman"/>
                <w:b/>
                <w:sz w:val="25"/>
                <w:szCs w:val="25"/>
                <w:lang w:val="ro-MO" w:eastAsia="ru-RU"/>
              </w:rPr>
            </w:pPr>
            <w:r w:rsidRPr="00A82602">
              <w:rPr>
                <w:rFonts w:ascii="Times New Roman" w:eastAsia="Times New Roman" w:hAnsi="Times New Roman" w:cs="Times New Roman"/>
                <w:b/>
                <w:bCs/>
                <w:sz w:val="25"/>
                <w:szCs w:val="25"/>
                <w:highlight w:val="yellow"/>
                <w:lang w:val="ro-MO" w:eastAsia="ru-RU"/>
              </w:rPr>
              <w:t>7.</w:t>
            </w:r>
            <w:r w:rsidRPr="00A82602">
              <w:rPr>
                <w:rFonts w:ascii="Times New Roman" w:eastAsia="Times New Roman" w:hAnsi="Times New Roman" w:cs="Times New Roman"/>
                <w:b/>
                <w:sz w:val="25"/>
                <w:szCs w:val="25"/>
                <w:highlight w:val="yellow"/>
                <w:lang w:val="ro-MO" w:eastAsia="ru-RU"/>
              </w:rPr>
              <w:t xml:space="preserve"> Avizarea şi consultarea publică a proiectului</w:t>
            </w:r>
            <w:r w:rsidRPr="00A82602">
              <w:rPr>
                <w:rFonts w:ascii="Times New Roman" w:eastAsia="Times New Roman" w:hAnsi="Times New Roman" w:cs="Times New Roman"/>
                <w:b/>
                <w:sz w:val="25"/>
                <w:szCs w:val="25"/>
                <w:lang w:val="ro-MO" w:eastAsia="ru-RU"/>
              </w:rPr>
              <w:t xml:space="preserve"> </w:t>
            </w:r>
          </w:p>
        </w:tc>
      </w:tr>
      <w:tr w:rsidR="00A82602" w:rsidRPr="00A82602" w:rsidTr="00A82602">
        <w:tc>
          <w:tcPr>
            <w:tcW w:w="105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82602" w:rsidRPr="00A82602" w:rsidRDefault="00A82602" w:rsidP="00A82602">
            <w:pPr>
              <w:spacing w:after="0" w:line="240" w:lineRule="auto"/>
              <w:jc w:val="both"/>
              <w:rPr>
                <w:rFonts w:ascii="Times New Roman" w:eastAsia="Times New Roman" w:hAnsi="Times New Roman" w:cs="Times New Roman"/>
                <w:sz w:val="25"/>
                <w:szCs w:val="25"/>
                <w:lang w:val="ro-MO" w:eastAsia="ru-RU"/>
              </w:rPr>
            </w:pPr>
            <w:r w:rsidRPr="00A82602">
              <w:rPr>
                <w:rFonts w:ascii="Times New Roman" w:eastAsia="Times New Roman" w:hAnsi="Times New Roman" w:cs="Times New Roman"/>
                <w:sz w:val="25"/>
                <w:szCs w:val="25"/>
                <w:lang w:val="ro-MO" w:eastAsia="ru-RU"/>
              </w:rPr>
              <w:t xml:space="preserve">În scopul respectării prevederilor Legii nr.239 din 13 noiembrie 2008 privind transparența în procesul decizional, proiectului hotărârii Guvernului privind modificarea și completarea anexei nr.2 al Hotărârii de Guvern nr.454/2008 cu privire la optimizarea participării organelor centrale de specialitate ale administrației publice, precum și a altor autorități administrative centrale la executarea angajamentelor asumate față de organizațiile internaționale a fost plasat pe pagina web oficială a Ministerului Afacerilor Interne </w:t>
            </w:r>
            <w:hyperlink r:id="rId7" w:history="1">
              <w:r w:rsidRPr="00A82602">
                <w:rPr>
                  <w:rFonts w:ascii="Times New Roman" w:eastAsia="Times New Roman" w:hAnsi="Times New Roman" w:cs="Times New Roman"/>
                  <w:color w:val="0000FF"/>
                  <w:sz w:val="25"/>
                  <w:szCs w:val="25"/>
                  <w:u w:val="single"/>
                  <w:lang w:val="ro-MO"/>
                </w:rPr>
                <w:t>www.mai.gov.md</w:t>
              </w:r>
            </w:hyperlink>
            <w:r w:rsidRPr="00A82602">
              <w:rPr>
                <w:rFonts w:ascii="Times New Roman" w:eastAsia="Times New Roman" w:hAnsi="Times New Roman" w:cs="Times New Roman"/>
                <w:sz w:val="25"/>
                <w:szCs w:val="25"/>
                <w:u w:val="single"/>
                <w:lang w:val="ro-MO"/>
              </w:rPr>
              <w:t>,</w:t>
            </w:r>
            <w:r w:rsidRPr="00A82602">
              <w:rPr>
                <w:rFonts w:ascii="Times New Roman" w:eastAsia="Times New Roman" w:hAnsi="Times New Roman" w:cs="Times New Roman"/>
                <w:sz w:val="25"/>
                <w:szCs w:val="25"/>
                <w:lang w:val="ro-MO"/>
              </w:rPr>
              <w:t xml:space="preserve"> </w:t>
            </w:r>
            <w:r w:rsidRPr="00A82602">
              <w:rPr>
                <w:rFonts w:ascii="Times New Roman" w:eastAsia="Times New Roman" w:hAnsi="Times New Roman" w:cs="Times New Roman"/>
                <w:sz w:val="25"/>
                <w:szCs w:val="25"/>
                <w:lang w:val="ro-MO" w:eastAsia="ru-RU"/>
              </w:rPr>
              <w:t xml:space="preserve">la directoriul </w:t>
            </w:r>
            <w:r w:rsidRPr="00A82602">
              <w:rPr>
                <w:rFonts w:ascii="Times New Roman" w:eastAsia="Times New Roman" w:hAnsi="Times New Roman" w:cs="Times New Roman"/>
                <w:i/>
                <w:sz w:val="25"/>
                <w:szCs w:val="25"/>
                <w:lang w:val="ro-MO" w:eastAsia="ru-RU"/>
              </w:rPr>
              <w:t>Transparența</w:t>
            </w:r>
            <w:r w:rsidRPr="00A82602">
              <w:rPr>
                <w:rFonts w:ascii="Times New Roman" w:eastAsia="Times New Roman" w:hAnsi="Times New Roman" w:cs="Times New Roman"/>
                <w:sz w:val="25"/>
                <w:szCs w:val="25"/>
                <w:lang w:val="ro-MO" w:eastAsia="ru-RU"/>
              </w:rPr>
              <w:t xml:space="preserve">, secțiunea </w:t>
            </w:r>
            <w:r w:rsidRPr="00A82602">
              <w:rPr>
                <w:rFonts w:ascii="Times New Roman" w:eastAsia="Times New Roman" w:hAnsi="Times New Roman" w:cs="Times New Roman"/>
                <w:i/>
                <w:sz w:val="25"/>
                <w:szCs w:val="25"/>
                <w:lang w:val="ro-MO" w:eastAsia="ru-RU"/>
              </w:rPr>
              <w:t>Consultări publice</w:t>
            </w:r>
            <w:r w:rsidRPr="00A82602">
              <w:rPr>
                <w:rFonts w:ascii="Times New Roman" w:eastAsia="Times New Roman" w:hAnsi="Times New Roman" w:cs="Times New Roman"/>
                <w:sz w:val="25"/>
                <w:szCs w:val="25"/>
                <w:lang w:val="ro-MO" w:eastAsia="ru-RU"/>
              </w:rPr>
              <w:t>.</w:t>
            </w:r>
          </w:p>
          <w:p w:rsidR="00A82602" w:rsidRPr="00A82602" w:rsidRDefault="00A82602" w:rsidP="00A82602">
            <w:pPr>
              <w:spacing w:after="0" w:line="240" w:lineRule="auto"/>
              <w:jc w:val="both"/>
              <w:rPr>
                <w:rFonts w:ascii="Times New Roman" w:eastAsia="Times New Roman" w:hAnsi="Times New Roman" w:cs="Times New Roman"/>
                <w:sz w:val="25"/>
                <w:szCs w:val="25"/>
                <w:lang w:val="ro-MO" w:eastAsia="ru-RU"/>
              </w:rPr>
            </w:pPr>
            <w:r w:rsidRPr="00A82602">
              <w:rPr>
                <w:rFonts w:ascii="Times New Roman" w:eastAsia="Times New Roman" w:hAnsi="Times New Roman" w:cs="Times New Roman"/>
                <w:sz w:val="25"/>
                <w:szCs w:val="25"/>
                <w:lang w:val="ro-MO" w:eastAsia="ru-RU"/>
              </w:rPr>
              <w:t>Proiectul se remite spre avizare autorităților, instituțiilor și altor părți interesate, precum și se va prezenta pentru a fi supus expertizei juridice și anticorupție.</w:t>
            </w:r>
          </w:p>
        </w:tc>
      </w:tr>
      <w:tr w:rsidR="00A82602" w:rsidRPr="00A82602" w:rsidTr="00A82602">
        <w:tc>
          <w:tcPr>
            <w:tcW w:w="105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82602" w:rsidRPr="00A82602" w:rsidRDefault="00A82602" w:rsidP="00A82602">
            <w:pPr>
              <w:spacing w:after="0" w:line="240" w:lineRule="auto"/>
              <w:jc w:val="both"/>
              <w:rPr>
                <w:rFonts w:ascii="Times New Roman" w:eastAsia="Times New Roman" w:hAnsi="Times New Roman" w:cs="Times New Roman"/>
                <w:b/>
                <w:sz w:val="25"/>
                <w:szCs w:val="25"/>
                <w:lang w:val="ro-MO" w:eastAsia="ru-RU"/>
              </w:rPr>
            </w:pPr>
            <w:r w:rsidRPr="00A82602">
              <w:rPr>
                <w:rFonts w:ascii="Times New Roman" w:eastAsia="Times New Roman" w:hAnsi="Times New Roman" w:cs="Times New Roman"/>
                <w:b/>
                <w:sz w:val="25"/>
                <w:szCs w:val="25"/>
                <w:highlight w:val="yellow"/>
                <w:lang w:val="ro-MO" w:eastAsia="ru-RU"/>
              </w:rPr>
              <w:t>8. Constatările expertizei anticorupţie</w:t>
            </w:r>
            <w:r w:rsidRPr="00A82602">
              <w:rPr>
                <w:rFonts w:ascii="Times New Roman" w:eastAsia="Times New Roman" w:hAnsi="Times New Roman" w:cs="Times New Roman"/>
                <w:b/>
                <w:sz w:val="25"/>
                <w:szCs w:val="25"/>
                <w:lang w:val="ro-MO" w:eastAsia="ru-RU"/>
              </w:rPr>
              <w:t xml:space="preserve"> </w:t>
            </w:r>
          </w:p>
        </w:tc>
      </w:tr>
      <w:tr w:rsidR="00A82602" w:rsidRPr="00A82602" w:rsidTr="00A82602">
        <w:tc>
          <w:tcPr>
            <w:tcW w:w="105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82602" w:rsidRPr="00A82602" w:rsidRDefault="00A82602" w:rsidP="00A82602">
            <w:pPr>
              <w:spacing w:after="0" w:line="240" w:lineRule="auto"/>
              <w:jc w:val="both"/>
              <w:rPr>
                <w:rFonts w:ascii="Times New Roman" w:eastAsia="Times New Roman" w:hAnsi="Times New Roman" w:cs="Times New Roman"/>
                <w:i/>
                <w:sz w:val="25"/>
                <w:szCs w:val="25"/>
                <w:lang w:val="ro-MO" w:eastAsia="ru-RU"/>
              </w:rPr>
            </w:pPr>
            <w:r w:rsidRPr="00A82602">
              <w:rPr>
                <w:rFonts w:ascii="Times New Roman" w:eastAsia="Times New Roman" w:hAnsi="Times New Roman" w:cs="Times New Roman"/>
                <w:i/>
                <w:sz w:val="25"/>
                <w:szCs w:val="25"/>
                <w:lang w:val="ro-MO" w:eastAsia="ru-RU"/>
              </w:rPr>
              <w:t>Se va completa după efectuarea expertizei anticorupție.</w:t>
            </w:r>
          </w:p>
        </w:tc>
      </w:tr>
      <w:tr w:rsidR="00A82602" w:rsidRPr="00A82602" w:rsidTr="00A82602">
        <w:tc>
          <w:tcPr>
            <w:tcW w:w="105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82602" w:rsidRPr="00A82602" w:rsidRDefault="00A82602" w:rsidP="00A82602">
            <w:pPr>
              <w:spacing w:after="0" w:line="240" w:lineRule="auto"/>
              <w:jc w:val="both"/>
              <w:rPr>
                <w:rFonts w:ascii="Times New Roman" w:eastAsia="Times New Roman" w:hAnsi="Times New Roman" w:cs="Times New Roman"/>
                <w:b/>
                <w:sz w:val="25"/>
                <w:szCs w:val="25"/>
                <w:lang w:val="ro-MO" w:eastAsia="ru-RU"/>
              </w:rPr>
            </w:pPr>
            <w:r w:rsidRPr="00A82602">
              <w:rPr>
                <w:rFonts w:ascii="Times New Roman" w:eastAsia="Times New Roman" w:hAnsi="Times New Roman" w:cs="Times New Roman"/>
                <w:b/>
                <w:sz w:val="25"/>
                <w:szCs w:val="25"/>
                <w:highlight w:val="yellow"/>
                <w:lang w:val="ro-MO" w:eastAsia="ru-RU"/>
              </w:rPr>
              <w:t>9. Constatările expertizei juridice</w:t>
            </w:r>
          </w:p>
        </w:tc>
      </w:tr>
      <w:tr w:rsidR="00A82602" w:rsidRPr="00A82602" w:rsidTr="00A82602">
        <w:tc>
          <w:tcPr>
            <w:tcW w:w="105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82602" w:rsidRPr="00A82602" w:rsidRDefault="00A82602" w:rsidP="00A82602">
            <w:pPr>
              <w:spacing w:after="0" w:line="240" w:lineRule="auto"/>
              <w:jc w:val="both"/>
              <w:rPr>
                <w:rFonts w:ascii="Times New Roman" w:eastAsia="Times New Roman" w:hAnsi="Times New Roman" w:cs="Times New Roman"/>
                <w:sz w:val="25"/>
                <w:szCs w:val="25"/>
                <w:lang w:val="ro-MO" w:eastAsia="ru-RU"/>
              </w:rPr>
            </w:pPr>
            <w:r w:rsidRPr="00A82602">
              <w:rPr>
                <w:rFonts w:ascii="Times New Roman" w:eastAsia="Times New Roman" w:hAnsi="Times New Roman" w:cs="Times New Roman"/>
                <w:sz w:val="25"/>
                <w:szCs w:val="25"/>
                <w:lang w:val="ro-MO" w:eastAsia="ru-RU"/>
              </w:rPr>
              <w:t>Lipsa de obiecții și propuneri.</w:t>
            </w:r>
          </w:p>
        </w:tc>
      </w:tr>
    </w:tbl>
    <w:p w:rsidR="00A82602" w:rsidRPr="00A82602" w:rsidRDefault="00A82602" w:rsidP="00A82602">
      <w:pPr>
        <w:spacing w:after="0" w:line="240" w:lineRule="auto"/>
        <w:jc w:val="both"/>
        <w:rPr>
          <w:rFonts w:ascii="Times New Roman" w:eastAsia="Times New Roman" w:hAnsi="Times New Roman" w:cs="Times New Roman"/>
          <w:sz w:val="28"/>
          <w:szCs w:val="28"/>
          <w:lang w:val="ro-MO" w:eastAsia="ru-RU"/>
        </w:rPr>
      </w:pPr>
    </w:p>
    <w:p w:rsidR="00A82602" w:rsidRPr="00A82602" w:rsidRDefault="00A82602" w:rsidP="00A82602">
      <w:pPr>
        <w:spacing w:after="0" w:line="240" w:lineRule="auto"/>
        <w:ind w:firstLine="709"/>
        <w:jc w:val="both"/>
        <w:rPr>
          <w:rFonts w:ascii="Times New Roman" w:eastAsia="Times New Roman" w:hAnsi="Times New Roman" w:cs="Times New Roman"/>
          <w:sz w:val="28"/>
          <w:szCs w:val="28"/>
          <w:lang w:val="ro-MO" w:eastAsia="ru-RU"/>
        </w:rPr>
      </w:pPr>
    </w:p>
    <w:p w:rsidR="00A82602" w:rsidRPr="00A82602" w:rsidRDefault="00A82602" w:rsidP="00A82602">
      <w:pPr>
        <w:spacing w:after="0" w:line="240" w:lineRule="auto"/>
        <w:ind w:firstLine="709"/>
        <w:jc w:val="both"/>
        <w:rPr>
          <w:rFonts w:ascii="Times New Roman" w:eastAsia="Times New Roman" w:hAnsi="Times New Roman" w:cs="Times New Roman"/>
          <w:sz w:val="28"/>
          <w:szCs w:val="28"/>
          <w:lang w:val="ro-MO" w:eastAsia="ru-RU"/>
        </w:rPr>
      </w:pPr>
    </w:p>
    <w:p w:rsidR="00A82602" w:rsidRPr="00A82602" w:rsidRDefault="00A82602" w:rsidP="00A82602">
      <w:pPr>
        <w:spacing w:after="0" w:line="240" w:lineRule="auto"/>
        <w:ind w:firstLine="709"/>
        <w:jc w:val="both"/>
        <w:rPr>
          <w:rFonts w:ascii="Times New Roman" w:eastAsia="Times New Roman" w:hAnsi="Times New Roman" w:cs="Times New Roman"/>
          <w:sz w:val="28"/>
          <w:szCs w:val="28"/>
          <w:lang w:val="ro-MO" w:eastAsia="ru-RU"/>
        </w:rPr>
      </w:pPr>
    </w:p>
    <w:p w:rsidR="00A82602" w:rsidRPr="00A82602" w:rsidRDefault="00A82602" w:rsidP="00A82602">
      <w:pPr>
        <w:spacing w:after="0" w:line="240" w:lineRule="auto"/>
        <w:ind w:firstLine="709"/>
        <w:jc w:val="both"/>
        <w:rPr>
          <w:rFonts w:ascii="Times New Roman" w:eastAsia="Times New Roman" w:hAnsi="Times New Roman" w:cs="Times New Roman"/>
          <w:sz w:val="28"/>
          <w:szCs w:val="28"/>
          <w:lang w:val="ro-MO" w:eastAsia="ru-RU"/>
        </w:rPr>
      </w:pPr>
    </w:p>
    <w:p w:rsidR="00A82602" w:rsidRPr="00A82602" w:rsidRDefault="00A82602" w:rsidP="00A82602">
      <w:pPr>
        <w:tabs>
          <w:tab w:val="left" w:pos="1134"/>
        </w:tabs>
        <w:spacing w:after="0" w:line="240" w:lineRule="auto"/>
        <w:ind w:firstLine="709"/>
        <w:jc w:val="both"/>
        <w:rPr>
          <w:rFonts w:ascii="Times New Roman" w:eastAsia="Times New Roman" w:hAnsi="Times New Roman" w:cs="Times New Roman"/>
          <w:sz w:val="28"/>
          <w:szCs w:val="28"/>
          <w:lang w:val="ro-MO" w:eastAsia="ru-RU"/>
        </w:rPr>
      </w:pPr>
    </w:p>
    <w:p w:rsidR="00A82602" w:rsidRPr="00A82602" w:rsidRDefault="00A82602" w:rsidP="00A82602">
      <w:pPr>
        <w:tabs>
          <w:tab w:val="left" w:pos="1134"/>
        </w:tabs>
        <w:spacing w:after="0" w:line="240" w:lineRule="auto"/>
        <w:ind w:firstLine="709"/>
        <w:jc w:val="both"/>
        <w:rPr>
          <w:rFonts w:ascii="Times New Roman" w:eastAsia="Times New Roman" w:hAnsi="Times New Roman" w:cs="Times New Roman"/>
          <w:sz w:val="28"/>
          <w:szCs w:val="28"/>
          <w:lang w:val="ro-MO" w:eastAsia="ru-RU"/>
        </w:rPr>
      </w:pPr>
    </w:p>
    <w:p w:rsidR="00626062" w:rsidRPr="00A82602" w:rsidRDefault="006E2D39">
      <w:pPr>
        <w:rPr>
          <w:lang w:val="ro-MO"/>
        </w:rPr>
      </w:pPr>
    </w:p>
    <w:sectPr w:rsidR="00626062" w:rsidRPr="00A82602" w:rsidSect="00296CA5">
      <w:headerReference w:type="default" r:id="rId8"/>
      <w:footerReference w:type="default" r:id="rId9"/>
      <w:headerReference w:type="first" r:id="rId10"/>
      <w:footerReference w:type="first" r:id="rId11"/>
      <w:pgSz w:w="11907" w:h="16840" w:code="9"/>
      <w:pgMar w:top="851" w:right="964" w:bottom="284" w:left="1814"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D39" w:rsidRDefault="006E2D39" w:rsidP="00A82602">
      <w:pPr>
        <w:spacing w:after="0" w:line="240" w:lineRule="auto"/>
      </w:pPr>
      <w:r>
        <w:separator/>
      </w:r>
    </w:p>
  </w:endnote>
  <w:endnote w:type="continuationSeparator" w:id="0">
    <w:p w:rsidR="006E2D39" w:rsidRDefault="006E2D39" w:rsidP="00A82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735" w:rsidRPr="0046202D" w:rsidRDefault="006E2D39" w:rsidP="00C74719">
    <w:pPr>
      <w:pStyle w:val="a5"/>
      <w:ind w:firstLine="0"/>
      <w:rPr>
        <w:sz w:val="16"/>
        <w:szCs w:val="16"/>
        <w:lang w:val="fr-F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735" w:rsidRPr="0046202D" w:rsidRDefault="006E2D39" w:rsidP="00814406">
    <w:pPr>
      <w:pStyle w:val="a5"/>
      <w:ind w:firstLine="0"/>
      <w:rPr>
        <w:sz w:val="16"/>
        <w:szCs w:val="16"/>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D39" w:rsidRDefault="006E2D39" w:rsidP="00A82602">
      <w:pPr>
        <w:spacing w:after="0" w:line="240" w:lineRule="auto"/>
      </w:pPr>
      <w:r>
        <w:separator/>
      </w:r>
    </w:p>
  </w:footnote>
  <w:footnote w:type="continuationSeparator" w:id="0">
    <w:p w:rsidR="006E2D39" w:rsidRDefault="006E2D39" w:rsidP="00A826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735" w:rsidRDefault="006E2D39">
    <w:pPr>
      <w:pStyle w:val="a3"/>
      <w:jc w:val="center"/>
    </w:pPr>
    <w:r>
      <w:fldChar w:fldCharType="begin"/>
    </w:r>
    <w:r>
      <w:instrText>PAGE   \* MERGEFORMAT</w:instrText>
    </w:r>
    <w:r>
      <w:fldChar w:fldCharType="separate"/>
    </w:r>
    <w:r w:rsidR="00A82602" w:rsidRPr="00A82602">
      <w:rPr>
        <w:noProof/>
        <w:lang w:val="ro-RO"/>
      </w:rPr>
      <w:t>2</w:t>
    </w:r>
    <w:r>
      <w:fldChar w:fldCharType="end"/>
    </w:r>
  </w:p>
  <w:p w:rsidR="00EA7735" w:rsidRDefault="006E2D3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single" w:sz="4" w:space="0" w:color="000080"/>
        <w:bottom w:val="single" w:sz="4" w:space="0" w:color="000080"/>
      </w:tblBorders>
      <w:tblLayout w:type="fixed"/>
      <w:tblCellMar>
        <w:left w:w="0" w:type="dxa"/>
        <w:right w:w="0" w:type="dxa"/>
      </w:tblCellMar>
      <w:tblLook w:val="0000" w:firstRow="0" w:lastRow="0" w:firstColumn="0" w:lastColumn="0" w:noHBand="0" w:noVBand="0"/>
    </w:tblPr>
    <w:tblGrid>
      <w:gridCol w:w="142"/>
      <w:gridCol w:w="74"/>
      <w:gridCol w:w="148"/>
    </w:tblGrid>
    <w:tr w:rsidR="00EA7735" w:rsidRPr="009423B6" w:rsidTr="00A82602">
      <w:trPr>
        <w:trHeight w:val="364"/>
        <w:jc w:val="center"/>
      </w:trPr>
      <w:tc>
        <w:tcPr>
          <w:tcW w:w="142" w:type="dxa"/>
          <w:tcBorders>
            <w:top w:val="nil"/>
            <w:bottom w:val="nil"/>
          </w:tcBorders>
        </w:tcPr>
        <w:p w:rsidR="00EA7735" w:rsidRPr="009423B6" w:rsidRDefault="006E2D39" w:rsidP="00C02DFA"/>
      </w:tc>
      <w:tc>
        <w:tcPr>
          <w:tcW w:w="74" w:type="dxa"/>
          <w:tcBorders>
            <w:top w:val="nil"/>
            <w:bottom w:val="nil"/>
          </w:tcBorders>
        </w:tcPr>
        <w:p w:rsidR="00EA7735" w:rsidRPr="0063090F" w:rsidRDefault="006E2D39" w:rsidP="00C02DFA">
          <w:pPr>
            <w:jc w:val="center"/>
            <w:rPr>
              <w:b/>
            </w:rPr>
          </w:pPr>
        </w:p>
      </w:tc>
      <w:tc>
        <w:tcPr>
          <w:tcW w:w="148" w:type="dxa"/>
          <w:tcBorders>
            <w:top w:val="nil"/>
            <w:bottom w:val="nil"/>
          </w:tcBorders>
        </w:tcPr>
        <w:p w:rsidR="00EA7735" w:rsidRPr="009423B6" w:rsidRDefault="006E2D39" w:rsidP="00C02DFA">
          <w:pPr>
            <w:rPr>
              <w:sz w:val="30"/>
            </w:rPr>
          </w:pPr>
        </w:p>
      </w:tc>
    </w:tr>
    <w:tr w:rsidR="00EA7735" w:rsidRPr="009423B6" w:rsidTr="00A82602">
      <w:trPr>
        <w:cantSplit/>
        <w:trHeight w:val="245"/>
        <w:jc w:val="center"/>
      </w:trPr>
      <w:tc>
        <w:tcPr>
          <w:tcW w:w="364" w:type="dxa"/>
          <w:gridSpan w:val="3"/>
          <w:tcBorders>
            <w:top w:val="nil"/>
            <w:bottom w:val="nil"/>
          </w:tcBorders>
        </w:tcPr>
        <w:p w:rsidR="00EA7735" w:rsidRPr="009423B6" w:rsidRDefault="006E2D39" w:rsidP="00C02DFA">
          <w:pPr>
            <w:pStyle w:val="8"/>
            <w:rPr>
              <w:rFonts w:ascii="Times New Roman" w:hAnsi="Times New Roman"/>
              <w:b/>
              <w:color w:val="000080"/>
              <w:sz w:val="16"/>
            </w:rPr>
          </w:pPr>
        </w:p>
      </w:tc>
    </w:tr>
  </w:tbl>
  <w:p w:rsidR="00EA7735" w:rsidRDefault="006E2D3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602"/>
    <w:rsid w:val="00632324"/>
    <w:rsid w:val="006E2D39"/>
    <w:rsid w:val="009F5FED"/>
    <w:rsid w:val="00A82602"/>
    <w:rsid w:val="00C1579C"/>
    <w:rsid w:val="00DF2B00"/>
    <w:rsid w:val="00F666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next w:val="a"/>
    <w:link w:val="50"/>
    <w:uiPriority w:val="9"/>
    <w:semiHidden/>
    <w:unhideWhenUsed/>
    <w:qFormat/>
    <w:rsid w:val="00A82602"/>
    <w:pPr>
      <w:keepNext/>
      <w:keepLines/>
      <w:spacing w:before="200" w:after="0"/>
      <w:outlineLvl w:val="4"/>
    </w:pPr>
    <w:rPr>
      <w:rFonts w:asciiTheme="majorHAnsi" w:eastAsiaTheme="majorEastAsia" w:hAnsiTheme="majorHAnsi" w:cstheme="majorBidi"/>
      <w:color w:val="243F60" w:themeColor="accent1" w:themeShade="7F"/>
    </w:rPr>
  </w:style>
  <w:style w:type="paragraph" w:styleId="8">
    <w:name w:val="heading 8"/>
    <w:basedOn w:val="a"/>
    <w:next w:val="a"/>
    <w:link w:val="80"/>
    <w:uiPriority w:val="9"/>
    <w:semiHidden/>
    <w:unhideWhenUsed/>
    <w:qFormat/>
    <w:rsid w:val="00A8260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A82602"/>
    <w:rPr>
      <w:rFonts w:asciiTheme="majorHAnsi" w:eastAsiaTheme="majorEastAsia" w:hAnsiTheme="majorHAnsi" w:cstheme="majorBidi"/>
      <w:color w:val="243F60" w:themeColor="accent1" w:themeShade="7F"/>
    </w:rPr>
  </w:style>
  <w:style w:type="character" w:customStyle="1" w:styleId="80">
    <w:name w:val="Заголовок 8 Знак"/>
    <w:basedOn w:val="a0"/>
    <w:link w:val="8"/>
    <w:uiPriority w:val="9"/>
    <w:semiHidden/>
    <w:rsid w:val="00A82602"/>
    <w:rPr>
      <w:rFonts w:asciiTheme="majorHAnsi" w:eastAsiaTheme="majorEastAsia" w:hAnsiTheme="majorHAnsi" w:cstheme="majorBidi"/>
      <w:color w:val="404040" w:themeColor="text1" w:themeTint="BF"/>
      <w:sz w:val="20"/>
      <w:szCs w:val="20"/>
    </w:rPr>
  </w:style>
  <w:style w:type="paragraph" w:styleId="a3">
    <w:name w:val="header"/>
    <w:basedOn w:val="a"/>
    <w:link w:val="a4"/>
    <w:rsid w:val="00A82602"/>
    <w:pPr>
      <w:tabs>
        <w:tab w:val="center" w:pos="4677"/>
        <w:tab w:val="right" w:pos="9355"/>
      </w:tabs>
      <w:spacing w:after="0" w:line="240" w:lineRule="auto"/>
      <w:ind w:firstLine="720"/>
      <w:jc w:val="both"/>
    </w:pPr>
    <w:rPr>
      <w:rFonts w:ascii="Times New Roman" w:eastAsia="Times New Roman" w:hAnsi="Times New Roman" w:cs="Times New Roman"/>
      <w:sz w:val="20"/>
      <w:szCs w:val="20"/>
      <w:lang w:val="en-US"/>
    </w:rPr>
  </w:style>
  <w:style w:type="character" w:customStyle="1" w:styleId="a4">
    <w:name w:val="Верхний колонтитул Знак"/>
    <w:basedOn w:val="a0"/>
    <w:link w:val="a3"/>
    <w:rsid w:val="00A82602"/>
    <w:rPr>
      <w:rFonts w:ascii="Times New Roman" w:eastAsia="Times New Roman" w:hAnsi="Times New Roman" w:cs="Times New Roman"/>
      <w:sz w:val="20"/>
      <w:szCs w:val="20"/>
      <w:lang w:val="en-US"/>
    </w:rPr>
  </w:style>
  <w:style w:type="paragraph" w:styleId="a5">
    <w:name w:val="footer"/>
    <w:basedOn w:val="a"/>
    <w:link w:val="a6"/>
    <w:rsid w:val="00A82602"/>
    <w:pPr>
      <w:tabs>
        <w:tab w:val="center" w:pos="4677"/>
        <w:tab w:val="right" w:pos="9355"/>
      </w:tabs>
      <w:spacing w:after="0" w:line="240" w:lineRule="auto"/>
      <w:ind w:firstLine="720"/>
      <w:jc w:val="both"/>
    </w:pPr>
    <w:rPr>
      <w:rFonts w:ascii="Times New Roman" w:eastAsia="Times New Roman" w:hAnsi="Times New Roman" w:cs="Times New Roman"/>
      <w:sz w:val="20"/>
      <w:szCs w:val="20"/>
      <w:lang w:val="en-US"/>
    </w:rPr>
  </w:style>
  <w:style w:type="character" w:customStyle="1" w:styleId="a6">
    <w:name w:val="Нижний колонтитул Знак"/>
    <w:basedOn w:val="a0"/>
    <w:link w:val="a5"/>
    <w:rsid w:val="00A82602"/>
    <w:rPr>
      <w:rFonts w:ascii="Times New Roman" w:eastAsia="Times New Roman" w:hAnsi="Times New Roman"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next w:val="a"/>
    <w:link w:val="50"/>
    <w:uiPriority w:val="9"/>
    <w:semiHidden/>
    <w:unhideWhenUsed/>
    <w:qFormat/>
    <w:rsid w:val="00A82602"/>
    <w:pPr>
      <w:keepNext/>
      <w:keepLines/>
      <w:spacing w:before="200" w:after="0"/>
      <w:outlineLvl w:val="4"/>
    </w:pPr>
    <w:rPr>
      <w:rFonts w:asciiTheme="majorHAnsi" w:eastAsiaTheme="majorEastAsia" w:hAnsiTheme="majorHAnsi" w:cstheme="majorBidi"/>
      <w:color w:val="243F60" w:themeColor="accent1" w:themeShade="7F"/>
    </w:rPr>
  </w:style>
  <w:style w:type="paragraph" w:styleId="8">
    <w:name w:val="heading 8"/>
    <w:basedOn w:val="a"/>
    <w:next w:val="a"/>
    <w:link w:val="80"/>
    <w:uiPriority w:val="9"/>
    <w:semiHidden/>
    <w:unhideWhenUsed/>
    <w:qFormat/>
    <w:rsid w:val="00A8260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A82602"/>
    <w:rPr>
      <w:rFonts w:asciiTheme="majorHAnsi" w:eastAsiaTheme="majorEastAsia" w:hAnsiTheme="majorHAnsi" w:cstheme="majorBidi"/>
      <w:color w:val="243F60" w:themeColor="accent1" w:themeShade="7F"/>
    </w:rPr>
  </w:style>
  <w:style w:type="character" w:customStyle="1" w:styleId="80">
    <w:name w:val="Заголовок 8 Знак"/>
    <w:basedOn w:val="a0"/>
    <w:link w:val="8"/>
    <w:uiPriority w:val="9"/>
    <w:semiHidden/>
    <w:rsid w:val="00A82602"/>
    <w:rPr>
      <w:rFonts w:asciiTheme="majorHAnsi" w:eastAsiaTheme="majorEastAsia" w:hAnsiTheme="majorHAnsi" w:cstheme="majorBidi"/>
      <w:color w:val="404040" w:themeColor="text1" w:themeTint="BF"/>
      <w:sz w:val="20"/>
      <w:szCs w:val="20"/>
    </w:rPr>
  </w:style>
  <w:style w:type="paragraph" w:styleId="a3">
    <w:name w:val="header"/>
    <w:basedOn w:val="a"/>
    <w:link w:val="a4"/>
    <w:rsid w:val="00A82602"/>
    <w:pPr>
      <w:tabs>
        <w:tab w:val="center" w:pos="4677"/>
        <w:tab w:val="right" w:pos="9355"/>
      </w:tabs>
      <w:spacing w:after="0" w:line="240" w:lineRule="auto"/>
      <w:ind w:firstLine="720"/>
      <w:jc w:val="both"/>
    </w:pPr>
    <w:rPr>
      <w:rFonts w:ascii="Times New Roman" w:eastAsia="Times New Roman" w:hAnsi="Times New Roman" w:cs="Times New Roman"/>
      <w:sz w:val="20"/>
      <w:szCs w:val="20"/>
      <w:lang w:val="en-US"/>
    </w:rPr>
  </w:style>
  <w:style w:type="character" w:customStyle="1" w:styleId="a4">
    <w:name w:val="Верхний колонтитул Знак"/>
    <w:basedOn w:val="a0"/>
    <w:link w:val="a3"/>
    <w:rsid w:val="00A82602"/>
    <w:rPr>
      <w:rFonts w:ascii="Times New Roman" w:eastAsia="Times New Roman" w:hAnsi="Times New Roman" w:cs="Times New Roman"/>
      <w:sz w:val="20"/>
      <w:szCs w:val="20"/>
      <w:lang w:val="en-US"/>
    </w:rPr>
  </w:style>
  <w:style w:type="paragraph" w:styleId="a5">
    <w:name w:val="footer"/>
    <w:basedOn w:val="a"/>
    <w:link w:val="a6"/>
    <w:rsid w:val="00A82602"/>
    <w:pPr>
      <w:tabs>
        <w:tab w:val="center" w:pos="4677"/>
        <w:tab w:val="right" w:pos="9355"/>
      </w:tabs>
      <w:spacing w:after="0" w:line="240" w:lineRule="auto"/>
      <w:ind w:firstLine="720"/>
      <w:jc w:val="both"/>
    </w:pPr>
    <w:rPr>
      <w:rFonts w:ascii="Times New Roman" w:eastAsia="Times New Roman" w:hAnsi="Times New Roman" w:cs="Times New Roman"/>
      <w:sz w:val="20"/>
      <w:szCs w:val="20"/>
      <w:lang w:val="en-US"/>
    </w:rPr>
  </w:style>
  <w:style w:type="character" w:customStyle="1" w:styleId="a6">
    <w:name w:val="Нижний колонтитул Знак"/>
    <w:basedOn w:val="a0"/>
    <w:link w:val="a5"/>
    <w:rsid w:val="00A82602"/>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ai.gov.md"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1032</Words>
  <Characters>5884</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Dorin Pascari</dc:creator>
  <cp:lastModifiedBy>Dorin Pascari</cp:lastModifiedBy>
  <cp:revision>1</cp:revision>
  <dcterms:created xsi:type="dcterms:W3CDTF">2019-05-08T20:24:00Z</dcterms:created>
  <dcterms:modified xsi:type="dcterms:W3CDTF">2019-05-08T20:26:00Z</dcterms:modified>
</cp:coreProperties>
</file>