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1F4EB9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23E5D" w:rsidRPr="001F4EB9" w:rsidRDefault="00023E5D" w:rsidP="00462BB9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15E1C" w:rsidRPr="001F4EB9" w:rsidRDefault="00015E1C" w:rsidP="00015E1C">
      <w:pPr>
        <w:tabs>
          <w:tab w:val="left" w:pos="2552"/>
        </w:tabs>
        <w:spacing w:after="0" w:line="240" w:lineRule="auto"/>
        <w:ind w:left="567" w:right="425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1F4EB9" w:rsidRDefault="002F593F" w:rsidP="00015E1C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200DD6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modificarea</w:t>
      </w:r>
      <w:r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normei de metrologie legală NML</w:t>
      </w:r>
      <w:r w:rsidR="003D46B8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157B1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</w:t>
      </w:r>
      <w:r w:rsidR="00200DD6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08</w:t>
      </w:r>
      <w:r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:201</w:t>
      </w:r>
      <w:r w:rsidR="00200DD6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</w:t>
      </w:r>
      <w:r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43C96" w:rsidRPr="001F4EB9" w:rsidRDefault="00943C96" w:rsidP="00462BB9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Pr="001F4EB9" w:rsidRDefault="00C14C2A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 w:rsidR="00CB389C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7B1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5, alin. (3), art. 6, alin. (3), art. 13, alin. (3)</w:t>
      </w:r>
      <w:r w:rsidR="00CB389C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 w:rsidR="00CB389C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</w:t>
      </w: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metrologiei nr. 19 din 4 martie 2016 (Monitorul Oficial al Republicii Moldova, 2016, nr.100-105, art.190), pentru asigurarea uniformităţii şi exactităţii măsurărilor în domeniile de interes public pe teritoriul Republicii Moldova</w:t>
      </w:r>
      <w:r w:rsidR="000873DC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36A2D" w:rsidRPr="001F4EB9" w:rsidRDefault="00536A2D" w:rsidP="00D517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1F4EB9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45E54" w:rsidRPr="001F4EB9" w:rsidRDefault="003D46B8" w:rsidP="00B16F5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645E54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</w:t>
      </w:r>
      <w:r w:rsidR="00A04F1A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7B1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norma de metrologie legală </w:t>
      </w:r>
      <w:r w:rsidR="00645E54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NML 3-08:2017 „Contoare de apă. Procedura de verificare metrologică”, aprobată prin Ordinul Ministerul</w:t>
      </w:r>
      <w:r w:rsidR="0089478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ui</w:t>
      </w:r>
      <w:r w:rsidR="00645E54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Economiei și Infrastructurii nr. 176  din  29.09.2017 (Monitorul Oficial al Republicii Moldova, 2017, nr. 428, art. 2150), după cum urmează:</w:t>
      </w:r>
    </w:p>
    <w:p w:rsidR="001F4EB9" w:rsidRDefault="00645E54" w:rsidP="0091469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a) </w:t>
      </w:r>
      <w:r w:rsidR="00914698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tabelul 2 din punctul 4 va avea următorul cuprins:</w:t>
      </w:r>
    </w:p>
    <w:p w:rsidR="00914698" w:rsidRPr="001F4EB9" w:rsidRDefault="00914698" w:rsidP="0091469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tbl>
      <w:tblPr>
        <w:tblW w:w="4652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275"/>
        <w:gridCol w:w="2127"/>
        <w:gridCol w:w="831"/>
        <w:gridCol w:w="1154"/>
        <w:gridCol w:w="1560"/>
      </w:tblGrid>
      <w:tr w:rsidR="006D4977" w:rsidRPr="001F4EB9" w:rsidTr="001F4EB9">
        <w:trPr>
          <w:trHeight w:val="300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14698" w:rsidRPr="00747F7F" w:rsidRDefault="00914698" w:rsidP="00FF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  <w:r w:rsidRPr="001F4E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</w:t>
            </w:r>
            <w:r w:rsidRPr="00747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Denumirea operaţiei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14698" w:rsidRPr="00747F7F" w:rsidRDefault="00914698" w:rsidP="00FF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Numărul punctului prezentei NML</w:t>
            </w:r>
          </w:p>
        </w:tc>
        <w:tc>
          <w:tcPr>
            <w:tcW w:w="5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14698" w:rsidRPr="00747F7F" w:rsidRDefault="006D4977" w:rsidP="00FF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  <w:r w:rsidRPr="001F4EB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o-RO" w:eastAsia="ro-RO" w:bidi="ro-RO"/>
              </w:rPr>
              <w:t>Modalități de control metrologic legal</w:t>
            </w:r>
          </w:p>
        </w:tc>
      </w:tr>
      <w:tr w:rsidR="006D4977" w:rsidRPr="001F4EB9" w:rsidTr="001F4EB9">
        <w:trPr>
          <w:trHeight w:val="585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D4977" w:rsidRPr="001F4EB9" w:rsidRDefault="006D4977" w:rsidP="00FF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D4977" w:rsidRPr="001F4EB9" w:rsidRDefault="006D4977" w:rsidP="00FF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D4977" w:rsidRPr="001F4EB9" w:rsidRDefault="006D4977" w:rsidP="001F4EB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  <w:r w:rsidRPr="001F4EB9">
              <w:rPr>
                <w:rFonts w:ascii="Times New Roman" w:eastAsia="Tahoma" w:hAnsi="Times New Roman" w:cs="Times New Roman"/>
                <w:bCs/>
                <w:snapToGrid w:val="0"/>
                <w:sz w:val="24"/>
                <w:szCs w:val="24"/>
                <w:lang w:val="ro-RO" w:eastAsia="ko-KR"/>
              </w:rPr>
              <w:t>Încercări metrologice</w:t>
            </w:r>
            <w:r w:rsidRPr="001F4EB9">
              <w:rPr>
                <w:rFonts w:ascii="Times New Roman" w:eastAsia="Tahoma" w:hAnsi="Times New Roman" w:cs="Times New Roman"/>
                <w:bCs/>
                <w:snapToGrid w:val="0"/>
                <w:sz w:val="24"/>
                <w:szCs w:val="24"/>
                <w:lang w:val="ro-RO" w:eastAsia="ro-RO"/>
              </w:rPr>
              <w:t xml:space="preserve"> în scopul a</w:t>
            </w:r>
            <w:r w:rsidRPr="001F4EB9">
              <w:rPr>
                <w:rFonts w:ascii="Times New Roman" w:eastAsia="Tahoma" w:hAnsi="Times New Roman" w:cs="Times New Roman"/>
                <w:bCs/>
                <w:snapToGrid w:val="0"/>
                <w:sz w:val="24"/>
                <w:szCs w:val="24"/>
                <w:lang w:val="ro-RO" w:eastAsia="ko-KR"/>
              </w:rPr>
              <w:t>probării de model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977" w:rsidRPr="001F4EB9" w:rsidRDefault="001F4EB9" w:rsidP="006D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Verificarea metrologică</w:t>
            </w:r>
          </w:p>
        </w:tc>
      </w:tr>
      <w:tr w:rsidR="006D4977" w:rsidRPr="001F4EB9" w:rsidTr="001F4EB9">
        <w:trPr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977" w:rsidRPr="00747F7F" w:rsidRDefault="006D4977" w:rsidP="00FF4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977" w:rsidRPr="00747F7F" w:rsidRDefault="006D4977" w:rsidP="00FF4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4977" w:rsidRPr="00747F7F" w:rsidRDefault="006D4977" w:rsidP="006D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D4977" w:rsidRPr="001F4EB9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i</w:t>
            </w:r>
            <w:r w:rsidR="006D4977" w:rsidRPr="00747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niţială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977" w:rsidRPr="001F4EB9" w:rsidRDefault="001F4EB9" w:rsidP="00FF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periodică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4977" w:rsidRPr="00747F7F" w:rsidRDefault="001F4EB9" w:rsidP="00FF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după reparaţie</w:t>
            </w:r>
          </w:p>
        </w:tc>
      </w:tr>
      <w:tr w:rsidR="001F4EB9" w:rsidRPr="001F4EB9" w:rsidTr="001F4EB9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4EB9" w:rsidRPr="00747F7F" w:rsidRDefault="001F4EB9" w:rsidP="001F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Verificarea aspectului exterior: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F4EB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F4EB9" w:rsidRPr="001F4EB9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F4EB9" w:rsidRPr="001F4EB9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</w:tr>
      <w:tr w:rsidR="001F4EB9" w:rsidRPr="001F4EB9" w:rsidTr="001F4EB9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4EB9" w:rsidRPr="00747F7F" w:rsidRDefault="001F4EB9" w:rsidP="001F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Verificarea etanșeității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F4EB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F4EB9" w:rsidRPr="001F4EB9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F4EB9" w:rsidRPr="001F4EB9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</w:tr>
      <w:tr w:rsidR="001F4EB9" w:rsidRPr="001F4EB9" w:rsidTr="001F4EB9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4EB9" w:rsidRPr="00747F7F" w:rsidRDefault="001F4EB9" w:rsidP="001F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Determinarea erorii relative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F4EB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20-22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F4EB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F4EB9" w:rsidRPr="001F4EB9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F4EB9" w:rsidRPr="001F4EB9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F4EB9" w:rsidRPr="00747F7F" w:rsidRDefault="001F4EB9" w:rsidP="001F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747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</w:t>
            </w:r>
          </w:p>
        </w:tc>
      </w:tr>
    </w:tbl>
    <w:p w:rsidR="00B16F58" w:rsidRPr="001F4EB9" w:rsidRDefault="00B16F58" w:rsidP="00B16F5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16F58" w:rsidRPr="001F4EB9" w:rsidRDefault="00B16F58" w:rsidP="00B16F5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b) punctul 19 va avea următorul cuprins: </w:t>
      </w:r>
    </w:p>
    <w:p w:rsidR="00645E54" w:rsidRPr="001F4EB9" w:rsidRDefault="00B16F58" w:rsidP="00B16F5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914698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19. </w:t>
      </w:r>
      <w:r w:rsidR="00645E54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Verificarea etanşeităţii. La verificarea iniţială în contor se creează o presiune egală cu 1,6</w:t>
      </w:r>
      <w:r w:rsidR="00FA72C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×</w:t>
      </w:r>
      <w:r w:rsidR="00645E54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PMA (presiunea maximal admisibilă, indicată pe contor) timp de 1 minut, se </w:t>
      </w:r>
      <w:r w:rsidR="00645E54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verifică dacă nu sunt scurgeri de apă vizibile pe întreaga suprafaţă a contorului sau scurgeri, pierderi de presiuni pe linia de montare a acestuia. </w:t>
      </w:r>
    </w:p>
    <w:p w:rsidR="00A04F1A" w:rsidRPr="001F4EB9" w:rsidRDefault="00B16F58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verificarea</w:t>
      </w:r>
      <w:r w:rsidR="00645E54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periodică şi după reparare</w:t>
      </w:r>
      <w:r w:rsidRPr="001F4EB9">
        <w:rPr>
          <w:lang w:val="ro-RO"/>
        </w:rPr>
        <w:t xml:space="preserve"> </w:t>
      </w: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contor se creează o presiune egală cu </w:t>
      </w:r>
      <w:r w:rsidR="00FA72C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1×</w:t>
      </w: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PMA</w:t>
      </w:r>
      <w:r w:rsidRPr="001F4EB9">
        <w:rPr>
          <w:lang w:val="ro-RO"/>
        </w:rPr>
        <w:t xml:space="preserve"> </w:t>
      </w: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timp de 1 minut, se verifică dacă nu sunt scurgeri de apă vizibile pe întreaga suprafaţă a contorului sau scurgeri, pierderi de presiuni pe linia de montare a acestuia</w:t>
      </w:r>
      <w:r w:rsid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A04F1A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1F4EB9" w:rsidRDefault="00645E54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3D46B8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1F4EB9" w:rsidRDefault="00645E54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3D46B8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9D345A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0E1426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9D345A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E1426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14002F" w:rsidRPr="001F4EB9" w:rsidRDefault="00645E54" w:rsidP="0014002F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14002F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Prezentul ordin intră în vigoare la expirarea a 2 luni de la data publicării</w:t>
      </w:r>
      <w:r w:rsidR="0014002F" w:rsidRPr="001F4EB9">
        <w:rPr>
          <w:lang w:val="ro-RO"/>
        </w:rPr>
        <w:t xml:space="preserve"> </w:t>
      </w:r>
      <w:r w:rsidR="0014002F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Monitorul Oficial al Republicii Moldova.</w:t>
      </w:r>
    </w:p>
    <w:p w:rsidR="007A6947" w:rsidRPr="001F4EB9" w:rsidRDefault="004A22F2" w:rsidP="002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62BB9" w:rsidRPr="001F4EB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</w:t>
      </w:r>
    </w:p>
    <w:p w:rsidR="0014002F" w:rsidRDefault="007A6947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A22F2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1F4EB9" w:rsidRPr="001F4EB9" w:rsidRDefault="001F4EB9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76A93" w:rsidRPr="001F4EB9" w:rsidRDefault="0014002F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</w:t>
      </w:r>
      <w:r w:rsidR="004A22F2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Ministru                                                  </w:t>
      </w:r>
      <w:r w:rsidR="00462BB9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proofErr w:type="spellStart"/>
      <w:r w:rsidR="00462BB9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4A22F2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hiril</w:t>
      </w:r>
      <w:proofErr w:type="spellEnd"/>
      <w:r w:rsidR="004A22F2" w:rsidRPr="001F4E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GABURICI</w:t>
      </w:r>
    </w:p>
    <w:p w:rsidR="00D76A93" w:rsidRPr="001F4EB9" w:rsidRDefault="00D76A93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A00A9" w:rsidRPr="001F4EB9" w:rsidRDefault="008A00A9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A22F2" w:rsidRPr="001F4EB9" w:rsidRDefault="004A22F2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</w:p>
    <w:p w:rsidR="001F4EB9" w:rsidRDefault="001F4EB9" w:rsidP="00526556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</w:p>
    <w:sectPr w:rsidR="001F4EB9" w:rsidSect="00336E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758" w:bottom="156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E3" w:rsidRDefault="002D72E3" w:rsidP="003550DA">
      <w:pPr>
        <w:spacing w:after="0" w:line="240" w:lineRule="auto"/>
      </w:pPr>
      <w:r>
        <w:separator/>
      </w:r>
    </w:p>
  </w:endnote>
  <w:endnote w:type="continuationSeparator" w:id="0">
    <w:p w:rsidR="002D72E3" w:rsidRDefault="002D72E3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0A3" w:rsidRDefault="008C40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</w:t>
    </w:r>
    <w:r w:rsidR="008C40A3">
      <w:rPr>
        <w:rFonts w:ascii="Calibri Light" w:hAnsi="Calibri Light" w:cs="Calibri Light"/>
        <w:sz w:val="18"/>
        <w:szCs w:val="18"/>
        <w:lang w:val="ro-MD"/>
      </w:rPr>
      <w:t>ţionale nr. 1, Chişinău, MD-2012</w:t>
    </w:r>
    <w:r w:rsidRPr="00117583">
      <w:rPr>
        <w:rFonts w:ascii="Calibri Light" w:hAnsi="Calibri Light" w:cs="Calibri Light"/>
        <w:sz w:val="18"/>
        <w:szCs w:val="18"/>
        <w:lang w:val="ro-MD"/>
      </w:rPr>
      <w:t>, tel. +373</w:t>
    </w:r>
    <w:r w:rsidR="008C40A3"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8C40A3"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 w:rsidR="008C40A3"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8C40A3"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117583" w:rsidRPr="008C40A3" w:rsidRDefault="008C40A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="Calibri Light" w:hAnsi="Calibri Light" w:cs="Calibri Light"/>
        <w:sz w:val="18"/>
        <w:szCs w:val="18"/>
        <w:lang w:val="ro-MD"/>
      </w:rPr>
      <w:t>e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-mail</w:t>
    </w:r>
    <w:r w:rsidR="00117583" w:rsidRPr="008C40A3">
      <w:rPr>
        <w:rFonts w:ascii="Calibri Light" w:hAnsi="Calibri Light" w:cs="Calibri Light"/>
        <w:sz w:val="18"/>
        <w:szCs w:val="18"/>
        <w:lang w:val="ro-MD"/>
      </w:rPr>
      <w:t xml:space="preserve">: </w:t>
    </w:r>
    <w:hyperlink r:id="rId1" w:history="1">
      <w:r w:rsidR="00DA12F6" w:rsidRPr="00A9455C">
        <w:rPr>
          <w:rStyle w:val="Hyperlink"/>
          <w:rFonts w:ascii="Calibri Light" w:hAnsi="Calibri Light" w:cs="Calibri Light"/>
          <w:sz w:val="18"/>
          <w:szCs w:val="18"/>
          <w:lang w:val="ro-MD"/>
        </w:rPr>
        <w:t>mineconcom@mei.gov.md</w:t>
      </w:r>
    </w:hyperlink>
    <w:r>
      <w:rPr>
        <w:rFonts w:ascii="Calibri Light" w:hAnsi="Calibri Light" w:cs="Calibri Light"/>
        <w:sz w:val="18"/>
        <w:szCs w:val="18"/>
        <w:lang w:val="ro-MD"/>
      </w:rPr>
      <w:t>,</w:t>
    </w:r>
    <w:r w:rsidR="00117583" w:rsidRPr="008C40A3">
      <w:rPr>
        <w:rFonts w:ascii="Calibri Light" w:hAnsi="Calibri Light" w:cs="Calibri Light"/>
        <w:sz w:val="18"/>
        <w:szCs w:val="18"/>
        <w:lang w:val="ro-MD"/>
      </w:rPr>
      <w:t xml:space="preserve">  </w:t>
    </w:r>
    <w:r>
      <w:rPr>
        <w:rFonts w:ascii="Calibri Light" w:hAnsi="Calibri Light" w:cs="Calibri Light"/>
        <w:sz w:val="18"/>
        <w:szCs w:val="18"/>
        <w:lang w:val="ro-MD"/>
      </w:rPr>
      <w:t>p</w:t>
    </w:r>
    <w:r w:rsidR="00117583" w:rsidRPr="008C40A3">
      <w:rPr>
        <w:rFonts w:ascii="Calibri Light" w:hAnsi="Calibri Light" w:cs="Calibri Light"/>
        <w:sz w:val="18"/>
        <w:szCs w:val="18"/>
        <w:lang w:val="ro-MD"/>
      </w:rPr>
      <w:t xml:space="preserve">agina web: </w:t>
    </w:r>
    <w:hyperlink r:id="rId2" w:history="1">
      <w:r w:rsidRPr="008C40A3">
        <w:rPr>
          <w:rStyle w:val="Hyperlink"/>
          <w:rFonts w:ascii="Calibri Light" w:hAnsi="Calibri Light" w:cs="Calibri Light"/>
          <w:color w:val="auto"/>
          <w:sz w:val="18"/>
          <w:szCs w:val="18"/>
          <w:u w:val="none"/>
          <w:lang w:val="ro-MD"/>
        </w:rPr>
        <w:t>www.mei.gov.md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E3" w:rsidRDefault="002D72E3" w:rsidP="003550DA">
      <w:pPr>
        <w:spacing w:after="0" w:line="240" w:lineRule="auto"/>
      </w:pPr>
      <w:r>
        <w:separator/>
      </w:r>
    </w:p>
  </w:footnote>
  <w:footnote w:type="continuationSeparator" w:id="0">
    <w:p w:rsidR="002D72E3" w:rsidRDefault="002D72E3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2116B5" w:rsidP="00C44F76">
    <w:pPr>
      <w:pStyle w:val="Header"/>
      <w:ind w:left="142"/>
      <w:jc w:val="right"/>
      <w:rPr>
        <w:lang w:val="ro-MD"/>
      </w:rPr>
    </w:pP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3F3FB51E" wp14:editId="0A141D43">
          <wp:simplePos x="0" y="0"/>
          <wp:positionH relativeFrom="column">
            <wp:posOffset>-200025</wp:posOffset>
          </wp:positionH>
          <wp:positionV relativeFrom="paragraph">
            <wp:posOffset>180340</wp:posOffset>
          </wp:positionV>
          <wp:extent cx="573341" cy="658991"/>
          <wp:effectExtent l="0" t="0" r="0" b="0"/>
          <wp:wrapNone/>
          <wp:docPr id="23" name="Picture 16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6" descr="Coat_of_arms_of_Moldov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" cy="658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3C96"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7A1670AE" wp14:editId="49EDCDFA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A07D5BC" wp14:editId="499F6E41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7D5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462BB9">
      <w:rPr>
        <w:rFonts w:cs="Calibri"/>
        <w:sz w:val="28"/>
        <w:szCs w:val="28"/>
        <w:lang w:val="ro-MD"/>
      </w:rPr>
      <w:t>8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5E1C"/>
    <w:rsid w:val="0002358B"/>
    <w:rsid w:val="00023E5D"/>
    <w:rsid w:val="00045053"/>
    <w:rsid w:val="00047160"/>
    <w:rsid w:val="00064485"/>
    <w:rsid w:val="0007489C"/>
    <w:rsid w:val="000873DC"/>
    <w:rsid w:val="000A2191"/>
    <w:rsid w:val="000A5289"/>
    <w:rsid w:val="000A7F43"/>
    <w:rsid w:val="000B6B9D"/>
    <w:rsid w:val="000C3B4A"/>
    <w:rsid w:val="000C6729"/>
    <w:rsid w:val="000E1426"/>
    <w:rsid w:val="000E1673"/>
    <w:rsid w:val="000E4685"/>
    <w:rsid w:val="00101AE2"/>
    <w:rsid w:val="00117583"/>
    <w:rsid w:val="0014002F"/>
    <w:rsid w:val="00147C0E"/>
    <w:rsid w:val="0015676D"/>
    <w:rsid w:val="00171FC0"/>
    <w:rsid w:val="00173B28"/>
    <w:rsid w:val="001A4D4C"/>
    <w:rsid w:val="001B0DC5"/>
    <w:rsid w:val="001B4A3D"/>
    <w:rsid w:val="001D4823"/>
    <w:rsid w:val="001F4EB9"/>
    <w:rsid w:val="00200DD6"/>
    <w:rsid w:val="002116B5"/>
    <w:rsid w:val="002171A6"/>
    <w:rsid w:val="0022519B"/>
    <w:rsid w:val="00240F83"/>
    <w:rsid w:val="00262446"/>
    <w:rsid w:val="002839D7"/>
    <w:rsid w:val="00287F72"/>
    <w:rsid w:val="002A16F4"/>
    <w:rsid w:val="002C1FA9"/>
    <w:rsid w:val="002D72E3"/>
    <w:rsid w:val="002E2254"/>
    <w:rsid w:val="002F09BE"/>
    <w:rsid w:val="002F593F"/>
    <w:rsid w:val="00307792"/>
    <w:rsid w:val="003142AE"/>
    <w:rsid w:val="00327958"/>
    <w:rsid w:val="00336EB4"/>
    <w:rsid w:val="0034544F"/>
    <w:rsid w:val="00353DDB"/>
    <w:rsid w:val="003550DA"/>
    <w:rsid w:val="00356114"/>
    <w:rsid w:val="00366998"/>
    <w:rsid w:val="003D46B8"/>
    <w:rsid w:val="003D6AC9"/>
    <w:rsid w:val="00437399"/>
    <w:rsid w:val="00462BB9"/>
    <w:rsid w:val="00471452"/>
    <w:rsid w:val="00477375"/>
    <w:rsid w:val="00485472"/>
    <w:rsid w:val="004A22F2"/>
    <w:rsid w:val="004A52D0"/>
    <w:rsid w:val="00526556"/>
    <w:rsid w:val="005306DA"/>
    <w:rsid w:val="00536A2D"/>
    <w:rsid w:val="0056046C"/>
    <w:rsid w:val="0057618E"/>
    <w:rsid w:val="005D4417"/>
    <w:rsid w:val="005F281E"/>
    <w:rsid w:val="00610F94"/>
    <w:rsid w:val="00626DC9"/>
    <w:rsid w:val="00627BBC"/>
    <w:rsid w:val="00637842"/>
    <w:rsid w:val="00645E54"/>
    <w:rsid w:val="00666A6C"/>
    <w:rsid w:val="00673A0B"/>
    <w:rsid w:val="00690AC2"/>
    <w:rsid w:val="006D4977"/>
    <w:rsid w:val="006E2954"/>
    <w:rsid w:val="00743041"/>
    <w:rsid w:val="00752CCC"/>
    <w:rsid w:val="00793624"/>
    <w:rsid w:val="007A6947"/>
    <w:rsid w:val="007F2E3A"/>
    <w:rsid w:val="00815DE1"/>
    <w:rsid w:val="00827837"/>
    <w:rsid w:val="008433B7"/>
    <w:rsid w:val="0089478D"/>
    <w:rsid w:val="008953C3"/>
    <w:rsid w:val="00897D9E"/>
    <w:rsid w:val="008A00A9"/>
    <w:rsid w:val="008B3E35"/>
    <w:rsid w:val="008B6355"/>
    <w:rsid w:val="008C40A3"/>
    <w:rsid w:val="008C534E"/>
    <w:rsid w:val="008E53A2"/>
    <w:rsid w:val="008E5EB1"/>
    <w:rsid w:val="008E6B2F"/>
    <w:rsid w:val="00914698"/>
    <w:rsid w:val="009157B1"/>
    <w:rsid w:val="009247F3"/>
    <w:rsid w:val="00931DEE"/>
    <w:rsid w:val="00932BEF"/>
    <w:rsid w:val="00943C96"/>
    <w:rsid w:val="00967547"/>
    <w:rsid w:val="00980699"/>
    <w:rsid w:val="009B0083"/>
    <w:rsid w:val="009D1694"/>
    <w:rsid w:val="009D345A"/>
    <w:rsid w:val="00A04F1A"/>
    <w:rsid w:val="00A06767"/>
    <w:rsid w:val="00A40C27"/>
    <w:rsid w:val="00A84995"/>
    <w:rsid w:val="00AA0259"/>
    <w:rsid w:val="00AB12DD"/>
    <w:rsid w:val="00AC5663"/>
    <w:rsid w:val="00B16F58"/>
    <w:rsid w:val="00B353EA"/>
    <w:rsid w:val="00B74F4F"/>
    <w:rsid w:val="00B9319B"/>
    <w:rsid w:val="00B93487"/>
    <w:rsid w:val="00BE60F0"/>
    <w:rsid w:val="00BF2ED9"/>
    <w:rsid w:val="00C109CD"/>
    <w:rsid w:val="00C14C2A"/>
    <w:rsid w:val="00C256D8"/>
    <w:rsid w:val="00C3258D"/>
    <w:rsid w:val="00C44F76"/>
    <w:rsid w:val="00C71ECE"/>
    <w:rsid w:val="00CB389C"/>
    <w:rsid w:val="00CB6E6F"/>
    <w:rsid w:val="00D21B24"/>
    <w:rsid w:val="00D22AE7"/>
    <w:rsid w:val="00D3293B"/>
    <w:rsid w:val="00D3501B"/>
    <w:rsid w:val="00D37859"/>
    <w:rsid w:val="00D41DEA"/>
    <w:rsid w:val="00D4470F"/>
    <w:rsid w:val="00D517D1"/>
    <w:rsid w:val="00D76A93"/>
    <w:rsid w:val="00D941A1"/>
    <w:rsid w:val="00DA12F6"/>
    <w:rsid w:val="00DC7703"/>
    <w:rsid w:val="00DF5232"/>
    <w:rsid w:val="00E36AB0"/>
    <w:rsid w:val="00E74B8A"/>
    <w:rsid w:val="00E77D7D"/>
    <w:rsid w:val="00EA1C52"/>
    <w:rsid w:val="00EC0D02"/>
    <w:rsid w:val="00ED6195"/>
    <w:rsid w:val="00EE7151"/>
    <w:rsid w:val="00EF6898"/>
    <w:rsid w:val="00F40A2C"/>
    <w:rsid w:val="00F740F8"/>
    <w:rsid w:val="00F745F9"/>
    <w:rsid w:val="00F930D5"/>
    <w:rsid w:val="00F952D9"/>
    <w:rsid w:val="00FA72CD"/>
    <w:rsid w:val="00FD29E1"/>
    <w:rsid w:val="00FD4C28"/>
    <w:rsid w:val="00FD59AD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  <w:style w:type="character" w:styleId="PlaceholderText">
    <w:name w:val="Placeholder Text"/>
    <w:basedOn w:val="DefaultParagraphFont"/>
    <w:uiPriority w:val="99"/>
    <w:semiHidden/>
    <w:rsid w:val="00FA7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mineconcom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0DBB-6A49-460C-8C24-17E55894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12</cp:revision>
  <cp:lastPrinted>2018-06-13T13:49:00Z</cp:lastPrinted>
  <dcterms:created xsi:type="dcterms:W3CDTF">2018-05-24T11:00:00Z</dcterms:created>
  <dcterms:modified xsi:type="dcterms:W3CDTF">2019-03-06T12:30:00Z</dcterms:modified>
</cp:coreProperties>
</file>