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23C" w:rsidRPr="001C023C" w:rsidRDefault="001C023C" w:rsidP="001C023C">
      <w:pPr>
        <w:jc w:val="center"/>
        <w:rPr>
          <w:b/>
          <w:sz w:val="28"/>
          <w:szCs w:val="28"/>
        </w:rPr>
      </w:pPr>
      <w:r w:rsidRPr="001C023C">
        <w:rPr>
          <w:b/>
          <w:sz w:val="28"/>
          <w:szCs w:val="28"/>
        </w:rPr>
        <w:t>NOTĂ INFORMATIVĂ</w:t>
      </w:r>
    </w:p>
    <w:p w:rsidR="001C023C" w:rsidRPr="001C023C" w:rsidRDefault="001C023C" w:rsidP="001C023C">
      <w:pPr>
        <w:pStyle w:val="Default"/>
        <w:jc w:val="center"/>
        <w:rPr>
          <w:rFonts w:eastAsia="MS Mincho"/>
          <w:b/>
          <w:sz w:val="28"/>
          <w:szCs w:val="28"/>
          <w:lang w:val="ro-RO"/>
        </w:rPr>
      </w:pPr>
      <w:r w:rsidRPr="001C023C">
        <w:rPr>
          <w:b/>
          <w:sz w:val="28"/>
          <w:szCs w:val="28"/>
          <w:lang w:val="ro-RO"/>
        </w:rPr>
        <w:t xml:space="preserve">la proiectul hotărîrii Guvernului </w:t>
      </w:r>
      <w:r w:rsidRPr="001C023C">
        <w:rPr>
          <w:rFonts w:eastAsia="MS Mincho"/>
          <w:b/>
          <w:sz w:val="28"/>
          <w:szCs w:val="28"/>
          <w:lang w:val="ro-RO"/>
        </w:rPr>
        <w:t>cu privire la organizarea și</w:t>
      </w:r>
    </w:p>
    <w:p w:rsidR="001C023C" w:rsidRPr="001C023C" w:rsidRDefault="001C023C" w:rsidP="001C023C">
      <w:pPr>
        <w:pStyle w:val="Default"/>
        <w:jc w:val="center"/>
        <w:rPr>
          <w:rFonts w:eastAsia="MS Mincho"/>
          <w:b/>
          <w:sz w:val="28"/>
          <w:szCs w:val="28"/>
          <w:lang w:val="ro-RO"/>
        </w:rPr>
      </w:pPr>
      <w:r w:rsidRPr="001C023C">
        <w:rPr>
          <w:rFonts w:eastAsia="MS Mincho"/>
          <w:b/>
          <w:sz w:val="28"/>
          <w:szCs w:val="28"/>
          <w:lang w:val="ro-RO"/>
        </w:rPr>
        <w:t xml:space="preserve"> funcționarea Instituției medico-sanitară publică „Spitalul </w:t>
      </w:r>
    </w:p>
    <w:p w:rsidR="001C023C" w:rsidRPr="001C023C" w:rsidRDefault="001C023C" w:rsidP="001C023C">
      <w:pPr>
        <w:pStyle w:val="Default"/>
        <w:jc w:val="center"/>
        <w:rPr>
          <w:rFonts w:eastAsia="MS Mincho"/>
          <w:b/>
          <w:sz w:val="28"/>
          <w:szCs w:val="28"/>
          <w:lang w:val="ro-RO"/>
        </w:rPr>
      </w:pPr>
      <w:r w:rsidRPr="001C023C">
        <w:rPr>
          <w:rFonts w:eastAsia="MS Mincho"/>
          <w:b/>
          <w:sz w:val="28"/>
          <w:szCs w:val="28"/>
          <w:lang w:val="ro-RO"/>
        </w:rPr>
        <w:t>clinic militar central al Ministerului Apărării”</w:t>
      </w:r>
    </w:p>
    <w:p w:rsidR="001C023C" w:rsidRPr="001C023C" w:rsidRDefault="001C023C" w:rsidP="001C023C">
      <w:pPr>
        <w:pStyle w:val="BodyText"/>
        <w:spacing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1. Denumirea autorului și, după caz, a participanților la elaborarea proiectului</w:t>
            </w:r>
          </w:p>
        </w:tc>
      </w:tr>
      <w:tr w:rsidR="001C023C" w:rsidRPr="001C023C" w:rsidTr="00756AD9">
        <w:tc>
          <w:tcPr>
            <w:tcW w:w="9606" w:type="dxa"/>
          </w:tcPr>
          <w:p w:rsidR="001C023C" w:rsidRPr="001C023C" w:rsidRDefault="001C023C" w:rsidP="001C023C">
            <w:pPr>
              <w:pStyle w:val="Default"/>
              <w:jc w:val="both"/>
              <w:rPr>
                <w:sz w:val="28"/>
                <w:szCs w:val="28"/>
                <w:lang w:val="ro-RO"/>
              </w:rPr>
            </w:pPr>
            <w:r w:rsidRPr="001C023C">
              <w:rPr>
                <w:sz w:val="28"/>
                <w:szCs w:val="28"/>
                <w:lang w:val="ro-RO"/>
              </w:rPr>
              <w:t xml:space="preserve">Proiectul hotărîrii Guvernului cu privire la </w:t>
            </w:r>
            <w:r w:rsidRPr="001C023C">
              <w:rPr>
                <w:rFonts w:eastAsia="MS Mincho"/>
                <w:sz w:val="28"/>
                <w:szCs w:val="28"/>
                <w:lang w:val="ro-RO"/>
              </w:rPr>
              <w:t xml:space="preserve">organizarea și funcționarea Instituției medico-sanitară publică „Spitalul clinic militar central al Ministerului Apărării” </w:t>
            </w:r>
            <w:r w:rsidRPr="001C023C">
              <w:rPr>
                <w:sz w:val="28"/>
                <w:szCs w:val="28"/>
                <w:lang w:val="ro-RO"/>
              </w:rPr>
              <w:t>a fost elaborat și se promovează de către Ministerul Apărării.</w:t>
            </w:r>
          </w:p>
        </w:tc>
      </w:tr>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2. Condițiile ce au impus elaborarea proiectului de act normativ și finalitățile urmărite</w:t>
            </w:r>
          </w:p>
        </w:tc>
      </w:tr>
      <w:tr w:rsidR="001C023C" w:rsidRPr="001C023C" w:rsidTr="00756AD9">
        <w:tc>
          <w:tcPr>
            <w:tcW w:w="9606" w:type="dxa"/>
          </w:tcPr>
          <w:p w:rsidR="001C023C" w:rsidRPr="001C023C" w:rsidRDefault="001C023C" w:rsidP="001C023C">
            <w:pPr>
              <w:jc w:val="both"/>
              <w:rPr>
                <w:b/>
                <w:sz w:val="28"/>
                <w:szCs w:val="28"/>
              </w:rPr>
            </w:pPr>
            <w:bookmarkStart w:id="0" w:name="_GoBack"/>
            <w:r w:rsidRPr="001C023C">
              <w:rPr>
                <w:sz w:val="28"/>
                <w:szCs w:val="28"/>
              </w:rPr>
              <w:t>Proiectul hotărârii Guvernului cu privire la organizarea și funcționarea Instituției medico-sanitară publică „Spitalul clinic militar central al Ministerului Apărării”</w:t>
            </w:r>
            <w:r w:rsidRPr="001C023C">
              <w:rPr>
                <w:b/>
                <w:sz w:val="28"/>
                <w:szCs w:val="28"/>
              </w:rPr>
              <w:t xml:space="preserve"> </w:t>
            </w:r>
            <w:r w:rsidRPr="001C023C">
              <w:rPr>
                <w:sz w:val="28"/>
                <w:szCs w:val="28"/>
              </w:rPr>
              <w:t>a fost elaborat în contextul implementării Strategiei privind reforma administrației publice pentru anii 2016-2020 (aprobate prin Hotăr</w:t>
            </w:r>
            <w:r w:rsidR="00756AD9">
              <w:rPr>
                <w:sz w:val="28"/>
                <w:szCs w:val="28"/>
              </w:rPr>
              <w:t>î</w:t>
            </w:r>
            <w:r w:rsidRPr="001C023C">
              <w:rPr>
                <w:sz w:val="28"/>
                <w:szCs w:val="28"/>
              </w:rPr>
              <w:t>rea Guvernului nr.911/2016) și a Planului de acțiuni pe anii 2016-2018 pentru implementarea acestei Strategii (aprobat prin Hotăr</w:t>
            </w:r>
            <w:r w:rsidR="00756AD9">
              <w:rPr>
                <w:sz w:val="28"/>
                <w:szCs w:val="28"/>
              </w:rPr>
              <w:t>î</w:t>
            </w:r>
            <w:r w:rsidRPr="001C023C">
              <w:rPr>
                <w:sz w:val="28"/>
                <w:szCs w:val="28"/>
              </w:rPr>
              <w:t>rea Guvernului nr.1351/2016), în cadrul etapei a doua a restructurării structurale a administrației publice centrale de specialitate, care se referă la reconsiderarea rolului entităților din sfera de competență a ministerelor.</w:t>
            </w:r>
          </w:p>
          <w:p w:rsidR="001C023C" w:rsidRPr="001C023C" w:rsidRDefault="001C023C" w:rsidP="001C023C">
            <w:pPr>
              <w:pStyle w:val="Default"/>
              <w:jc w:val="both"/>
              <w:rPr>
                <w:sz w:val="28"/>
                <w:szCs w:val="28"/>
                <w:lang w:val="ro-RO"/>
              </w:rPr>
            </w:pPr>
            <w:r w:rsidRPr="001C023C">
              <w:rPr>
                <w:sz w:val="28"/>
                <w:szCs w:val="28"/>
                <w:lang w:val="ro-RO"/>
              </w:rPr>
              <w:t xml:space="preserve">Temeiul de drept care a stat la baza elaborării proiectului sunt prevederile </w:t>
            </w:r>
            <w:r w:rsidRPr="001C023C">
              <w:rPr>
                <w:rFonts w:eastAsia="Times New Roman"/>
                <w:sz w:val="28"/>
                <w:szCs w:val="28"/>
                <w:lang w:val="ro-RO" w:eastAsia="ro-RO"/>
              </w:rPr>
              <w:t>art.7 lit.b) şi e) ale Legea nr.136 din 7 iulie 2017 cu privire la Guvern,</w:t>
            </w:r>
            <w:r w:rsidRPr="001C023C">
              <w:rPr>
                <w:sz w:val="28"/>
                <w:szCs w:val="28"/>
                <w:lang w:val="ro-RO"/>
              </w:rPr>
              <w:t xml:space="preserve"> art.32 al Legii nr.98 din 4 mai 2012 privind administraţia publică centrală de specialitate, art.15 alin.(1) al Legii nr.162 din 22 iulie 2005 cu privire la statutul militarilor, Legea ocrotirii sănătăţii, nr.411 din 28.03.1995 și pct.19 și 20 din Capitolul IV al Programului „Armata Profesionistă 2018-2021”.</w:t>
            </w:r>
          </w:p>
          <w:p w:rsidR="001C023C" w:rsidRPr="001C023C" w:rsidRDefault="001C023C" w:rsidP="001C023C">
            <w:pPr>
              <w:contextualSpacing/>
              <w:jc w:val="both"/>
              <w:rPr>
                <w:sz w:val="28"/>
                <w:szCs w:val="28"/>
              </w:rPr>
            </w:pPr>
            <w:r w:rsidRPr="001C023C">
              <w:rPr>
                <w:sz w:val="28"/>
                <w:szCs w:val="28"/>
              </w:rPr>
              <w:t>Scopul prezentului proiect constă în instituționalizarea și reorganizarea Instituţiei medico-sanitare publice „Spitalul clinic militar central al Ministerului Apărării” (în continuare -</w:t>
            </w:r>
            <w:r w:rsidRPr="001C023C">
              <w:rPr>
                <w:i/>
                <w:sz w:val="28"/>
                <w:szCs w:val="28"/>
              </w:rPr>
              <w:t xml:space="preserve"> IMSP Spitalul clinic militar central al Ministerului Apărării</w:t>
            </w:r>
            <w:r w:rsidRPr="001C023C">
              <w:rPr>
                <w:sz w:val="28"/>
                <w:szCs w:val="28"/>
              </w:rPr>
              <w:t>), fiind succesorul în drepturi şi obligaţii al Instituției medico-militare Spitalului clinic militar central.</w:t>
            </w:r>
          </w:p>
          <w:p w:rsidR="001C023C" w:rsidRPr="001C023C" w:rsidRDefault="001C023C" w:rsidP="001C023C">
            <w:pPr>
              <w:contextualSpacing/>
              <w:jc w:val="both"/>
              <w:rPr>
                <w:sz w:val="28"/>
                <w:szCs w:val="28"/>
              </w:rPr>
            </w:pPr>
            <w:r w:rsidRPr="001C023C">
              <w:rPr>
                <w:sz w:val="28"/>
                <w:szCs w:val="28"/>
              </w:rPr>
              <w:t xml:space="preserve">Totodată, proiectul urmărește crearea unui cadru comprehensiv ce va reglementa într-o formulă nouă organizarea şi funcţionarea IMSP Spitalul clinic militar central al Ministerului Apărării, accesibil şi eficient, contribuind la realizarea conformă a misiunii şi sarcinilor cu care este investit. </w:t>
            </w:r>
          </w:p>
          <w:p w:rsidR="001C023C" w:rsidRPr="001C023C" w:rsidRDefault="001C023C" w:rsidP="001C023C">
            <w:pPr>
              <w:contextualSpacing/>
              <w:jc w:val="both"/>
              <w:rPr>
                <w:sz w:val="28"/>
                <w:szCs w:val="28"/>
              </w:rPr>
            </w:pPr>
            <w:r w:rsidRPr="001C023C">
              <w:rPr>
                <w:sz w:val="28"/>
                <w:szCs w:val="28"/>
              </w:rPr>
              <w:t>IMSP Spitalul clinic militar central</w:t>
            </w:r>
            <w:r w:rsidRPr="001C023C">
              <w:rPr>
                <w:color w:val="000000"/>
                <w:sz w:val="28"/>
                <w:szCs w:val="28"/>
              </w:rPr>
              <w:t xml:space="preserve"> al Ministerului </w:t>
            </w:r>
            <w:r w:rsidRPr="001C023C">
              <w:rPr>
                <w:sz w:val="28"/>
                <w:szCs w:val="28"/>
              </w:rPr>
              <w:t>Apărării se reorganizează prin transformare în subordinea Ministerului Apărării cu statut de instituţie medico-sanitară publică.</w:t>
            </w:r>
          </w:p>
          <w:p w:rsidR="00756AD9" w:rsidRPr="00756AD9" w:rsidRDefault="001C023C" w:rsidP="00756AD9">
            <w:pPr>
              <w:pStyle w:val="FirstParagraph"/>
              <w:spacing w:before="0" w:after="0"/>
              <w:jc w:val="both"/>
            </w:pPr>
            <w:r w:rsidRPr="001C023C">
              <w:rPr>
                <w:rFonts w:ascii="Times New Roman" w:hAnsi="Times New Roman"/>
                <w:sz w:val="28"/>
                <w:szCs w:val="28"/>
                <w:lang w:val="ro-RO"/>
              </w:rPr>
              <w:t>În acest sens se propune eficientizarea activităţii IMSP Spitalul clinic militar central al Ministerului Apărării, prin optimizarea şi reorganizarea subdiviziunilor, optimizarea numărului de personal, reglementarea funcţiilor de bază, misiunea, atribuţiile şi drepturile acesteia, stabilindu-i expres competenţele necesare exercitării funcţiilor organizatorice privind desfăşurarea activităţii curativ-diagnostice şi profilactice din cadrul Ministerului Apărării.</w:t>
            </w:r>
            <w:bookmarkEnd w:id="0"/>
          </w:p>
        </w:tc>
      </w:tr>
      <w:tr w:rsidR="001C023C" w:rsidRPr="001C023C" w:rsidTr="0068514A">
        <w:tc>
          <w:tcPr>
            <w:tcW w:w="9606" w:type="dxa"/>
            <w:shd w:val="clear" w:color="auto" w:fill="D9D9D9" w:themeFill="background1" w:themeFillShade="D9"/>
          </w:tcPr>
          <w:p w:rsidR="00756AD9" w:rsidRDefault="00756AD9" w:rsidP="001C023C">
            <w:pPr>
              <w:pStyle w:val="Compact"/>
              <w:numPr>
                <w:ilvl w:val="0"/>
                <w:numId w:val="1"/>
              </w:numPr>
              <w:spacing w:before="0" w:after="0"/>
              <w:ind w:left="0"/>
              <w:jc w:val="both"/>
              <w:rPr>
                <w:rFonts w:ascii="Times New Roman" w:hAnsi="Times New Roman"/>
                <w:b/>
                <w:sz w:val="28"/>
                <w:szCs w:val="28"/>
                <w:lang w:val="ro-RO"/>
              </w:rPr>
            </w:pPr>
          </w:p>
          <w:p w:rsidR="001C023C" w:rsidRPr="001C023C" w:rsidRDefault="001C023C" w:rsidP="001C023C">
            <w:pPr>
              <w:pStyle w:val="Compact"/>
              <w:numPr>
                <w:ilvl w:val="0"/>
                <w:numId w:val="1"/>
              </w:numPr>
              <w:spacing w:before="0" w:after="0"/>
              <w:ind w:left="0"/>
              <w:jc w:val="both"/>
              <w:rPr>
                <w:rFonts w:ascii="Times New Roman" w:hAnsi="Times New Roman"/>
                <w:b/>
                <w:sz w:val="28"/>
                <w:szCs w:val="28"/>
                <w:lang w:val="ro-RO"/>
              </w:rPr>
            </w:pPr>
            <w:r w:rsidRPr="001C023C">
              <w:rPr>
                <w:rFonts w:ascii="Times New Roman" w:hAnsi="Times New Roman"/>
                <w:b/>
                <w:sz w:val="28"/>
                <w:szCs w:val="28"/>
                <w:lang w:val="ro-RO"/>
              </w:rPr>
              <w:lastRenderedPageBreak/>
              <w:t>3. Descrierea gradului de compatibilitate pentru proiectele care au ca scop armonizarea legislației naționale cu legislația Uniunii Europene</w:t>
            </w:r>
          </w:p>
        </w:tc>
      </w:tr>
      <w:tr w:rsidR="001C023C" w:rsidRPr="001C023C" w:rsidTr="00756AD9">
        <w:tc>
          <w:tcPr>
            <w:tcW w:w="9606" w:type="dxa"/>
          </w:tcPr>
          <w:p w:rsidR="001C023C" w:rsidRPr="001C023C" w:rsidRDefault="001C023C" w:rsidP="001C023C">
            <w:pPr>
              <w:pStyle w:val="FirstParagraph"/>
              <w:spacing w:before="0" w:after="0"/>
              <w:jc w:val="both"/>
              <w:rPr>
                <w:rFonts w:ascii="Times New Roman" w:hAnsi="Times New Roman"/>
                <w:sz w:val="28"/>
                <w:szCs w:val="28"/>
                <w:lang w:val="ro-RO"/>
              </w:rPr>
            </w:pPr>
            <w:r w:rsidRPr="001C023C">
              <w:rPr>
                <w:rFonts w:ascii="Times New Roman" w:hAnsi="Times New Roman"/>
                <w:sz w:val="28"/>
                <w:szCs w:val="28"/>
                <w:lang w:val="ro-RO"/>
              </w:rPr>
              <w:lastRenderedPageBreak/>
              <w:t>Proiectul nu contravine legislației Uniunii Europene.</w:t>
            </w:r>
          </w:p>
        </w:tc>
      </w:tr>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4. Principalele prevederi ale proiectului și evidențierea elementelor noi</w:t>
            </w:r>
          </w:p>
        </w:tc>
      </w:tr>
      <w:tr w:rsidR="001C023C" w:rsidRPr="001C023C" w:rsidTr="00756AD9">
        <w:tc>
          <w:tcPr>
            <w:tcW w:w="9606" w:type="dxa"/>
          </w:tcPr>
          <w:p w:rsidR="001C023C" w:rsidRPr="001C023C" w:rsidRDefault="001C023C" w:rsidP="001C023C">
            <w:pPr>
              <w:contextualSpacing/>
              <w:jc w:val="both"/>
              <w:rPr>
                <w:sz w:val="28"/>
                <w:szCs w:val="28"/>
                <w:lang w:val="ro-MO"/>
              </w:rPr>
            </w:pPr>
            <w:r w:rsidRPr="001C023C">
              <w:rPr>
                <w:sz w:val="28"/>
                <w:szCs w:val="28"/>
                <w:lang w:val="ro-MO"/>
              </w:rPr>
              <w:t xml:space="preserve">Proiectul nominalizat aprobă Regulamentul Instituţiei </w:t>
            </w:r>
            <w:r w:rsidRPr="001C023C">
              <w:rPr>
                <w:sz w:val="28"/>
                <w:szCs w:val="28"/>
              </w:rPr>
              <w:t xml:space="preserve">medico-sanitare publice </w:t>
            </w:r>
            <w:r w:rsidRPr="001C023C">
              <w:rPr>
                <w:sz w:val="28"/>
                <w:szCs w:val="28"/>
                <w:lang w:val="ro-MO"/>
              </w:rPr>
              <w:t>„</w:t>
            </w:r>
            <w:r w:rsidRPr="001C023C">
              <w:rPr>
                <w:sz w:val="28"/>
                <w:szCs w:val="28"/>
              </w:rPr>
              <w:t>Spitalul clinic militar central</w:t>
            </w:r>
            <w:r w:rsidRPr="001C023C">
              <w:rPr>
                <w:sz w:val="28"/>
                <w:szCs w:val="28"/>
                <w:lang w:val="ro-MO"/>
              </w:rPr>
              <w:t>”, structura şi organigrama acesteia.</w:t>
            </w:r>
          </w:p>
          <w:p w:rsidR="001C023C" w:rsidRPr="001C023C" w:rsidRDefault="001C023C" w:rsidP="001C023C">
            <w:pPr>
              <w:jc w:val="both"/>
              <w:rPr>
                <w:sz w:val="28"/>
                <w:szCs w:val="28"/>
                <w:lang w:val="ro-MO"/>
              </w:rPr>
            </w:pPr>
            <w:r w:rsidRPr="001C023C">
              <w:rPr>
                <w:sz w:val="28"/>
                <w:szCs w:val="28"/>
                <w:lang w:val="ro-MO"/>
              </w:rPr>
              <w:t xml:space="preserve">În Regulamentului sunt reliefate misiunea, domeniile de activitate, funcţiile şi drepturile, inclusiv şi ale șefului </w:t>
            </w:r>
            <w:r w:rsidRPr="001C023C">
              <w:rPr>
                <w:sz w:val="28"/>
                <w:szCs w:val="28"/>
              </w:rPr>
              <w:t>IMSP „Spitalul clinic militar central al Ministerului Apărării”.</w:t>
            </w:r>
          </w:p>
          <w:p w:rsidR="001C023C" w:rsidRPr="001C023C" w:rsidRDefault="001C023C" w:rsidP="001C023C">
            <w:pPr>
              <w:contextualSpacing/>
              <w:jc w:val="both"/>
              <w:rPr>
                <w:color w:val="000000"/>
                <w:sz w:val="28"/>
                <w:szCs w:val="28"/>
              </w:rPr>
            </w:pPr>
            <w:r w:rsidRPr="001C023C">
              <w:rPr>
                <w:sz w:val="28"/>
                <w:szCs w:val="28"/>
              </w:rPr>
              <w:t xml:space="preserve">În esenţa </w:t>
            </w:r>
            <w:r w:rsidRPr="001C023C">
              <w:rPr>
                <w:sz w:val="28"/>
                <w:szCs w:val="28"/>
                <w:lang w:val="ro-MO"/>
              </w:rPr>
              <w:t>Regulamentului</w:t>
            </w:r>
            <w:r w:rsidRPr="001C023C">
              <w:rPr>
                <w:sz w:val="28"/>
                <w:szCs w:val="28"/>
              </w:rPr>
              <w:t>, IMSP „Spitalul clinic militar central al Ministerului Apărării”</w:t>
            </w:r>
            <w:r w:rsidRPr="001C023C">
              <w:rPr>
                <w:color w:val="000000"/>
                <w:sz w:val="28"/>
                <w:szCs w:val="28"/>
              </w:rPr>
              <w:t xml:space="preserve">, în condiţiile legii, îi va reveni sarcina de a organiza şi asigura, prin subdiviziunile sale structurale, asistenţa medicală primară, specializată de ambulator, spitalicească şi servicii medicale de înaltă performanţă pentru păstrarea, monitorizarea şi fortificarea sănătăţii militarilor Armatei Naţionale </w:t>
            </w:r>
            <w:r w:rsidRPr="001C023C">
              <w:rPr>
                <w:sz w:val="28"/>
                <w:szCs w:val="28"/>
              </w:rPr>
              <w:t xml:space="preserve">şi membrilor familiilor lor, </w:t>
            </w:r>
            <w:r w:rsidRPr="001C023C">
              <w:rPr>
                <w:color w:val="000000"/>
                <w:sz w:val="28"/>
                <w:szCs w:val="28"/>
              </w:rPr>
              <w:t>funcţionarilor, pensionarilor ai Ministerului Apărării, precum şi altor categorii de cetăţeni, în conformitate cu legislaţia în vigoare.</w:t>
            </w:r>
          </w:p>
          <w:p w:rsidR="001C023C" w:rsidRPr="001C023C" w:rsidRDefault="001C023C" w:rsidP="001C023C">
            <w:pPr>
              <w:jc w:val="both"/>
              <w:rPr>
                <w:sz w:val="28"/>
                <w:szCs w:val="28"/>
              </w:rPr>
            </w:pPr>
            <w:r w:rsidRPr="001C023C">
              <w:rPr>
                <w:sz w:val="28"/>
                <w:szCs w:val="28"/>
              </w:rPr>
              <w:t>Totodată, în condiţiile Legii nr.212 din 24 iunie 2004 privind regimul stării de urgenţă, de asediu şi de război, IMSP „Spitalul clinic militar central</w:t>
            </w:r>
            <w:r w:rsidRPr="001C023C">
              <w:rPr>
                <w:color w:val="000000"/>
                <w:sz w:val="28"/>
                <w:szCs w:val="28"/>
              </w:rPr>
              <w:t xml:space="preserve"> </w:t>
            </w:r>
            <w:r w:rsidRPr="001C023C">
              <w:rPr>
                <w:sz w:val="28"/>
                <w:szCs w:val="28"/>
              </w:rPr>
              <w:t>al Ministerului Apărării” în comun cu alte structuri militare urmează, să organizeze şi să desfăşoare Detaşamentul medical de campanie.</w:t>
            </w:r>
          </w:p>
          <w:p w:rsidR="001C023C" w:rsidRPr="001C023C" w:rsidRDefault="001C023C" w:rsidP="001C023C">
            <w:pPr>
              <w:pStyle w:val="Default"/>
              <w:jc w:val="both"/>
              <w:rPr>
                <w:color w:val="auto"/>
                <w:sz w:val="28"/>
                <w:szCs w:val="28"/>
                <w:lang w:val="ro-RO"/>
              </w:rPr>
            </w:pPr>
            <w:r w:rsidRPr="001C023C">
              <w:rPr>
                <w:color w:val="auto"/>
                <w:sz w:val="28"/>
                <w:szCs w:val="28"/>
                <w:lang w:val="ro-RO"/>
              </w:rPr>
              <w:t xml:space="preserve">Proiectul prevede structura şi organigrama </w:t>
            </w:r>
            <w:r w:rsidRPr="001C023C">
              <w:rPr>
                <w:sz w:val="28"/>
                <w:szCs w:val="28"/>
                <w:lang w:val="ro-RO"/>
              </w:rPr>
              <w:t>IMSP „Spitalul clinic militar central al Ministerului Apărării”</w:t>
            </w:r>
            <w:r w:rsidRPr="001C023C">
              <w:rPr>
                <w:color w:val="auto"/>
                <w:sz w:val="28"/>
                <w:szCs w:val="28"/>
                <w:lang w:val="ro-RO"/>
              </w:rPr>
              <w:t xml:space="preserve">. </w:t>
            </w:r>
            <w:r w:rsidRPr="001C023C">
              <w:rPr>
                <w:sz w:val="28"/>
                <w:szCs w:val="28"/>
                <w:lang w:val="ro-RO"/>
              </w:rPr>
              <w:t xml:space="preserve">Astfel, se </w:t>
            </w:r>
            <w:r w:rsidRPr="001C023C">
              <w:rPr>
                <w:color w:val="auto"/>
                <w:sz w:val="28"/>
                <w:szCs w:val="28"/>
                <w:lang w:val="ro-RO"/>
              </w:rPr>
              <w:t>propune de aprobat efectivul-limită al IMSP Spitalul clinic militar central al Ministerului Apărării în număr de 329 de unități de personal.</w:t>
            </w:r>
          </w:p>
          <w:p w:rsidR="001C023C" w:rsidRPr="001C023C" w:rsidRDefault="001C023C" w:rsidP="001C023C">
            <w:pPr>
              <w:pStyle w:val="BodyText"/>
              <w:spacing w:line="240" w:lineRule="auto"/>
              <w:jc w:val="both"/>
              <w:rPr>
                <w:rFonts w:ascii="Times New Roman" w:hAnsi="Times New Roman"/>
                <w:sz w:val="28"/>
                <w:szCs w:val="28"/>
              </w:rPr>
            </w:pPr>
            <w:r w:rsidRPr="001C023C">
              <w:rPr>
                <w:rFonts w:ascii="Times New Roman" w:hAnsi="Times New Roman"/>
                <w:sz w:val="28"/>
                <w:szCs w:val="28"/>
              </w:rPr>
              <w:t>În prezent, conform statului de personal Spitalul clinic militar central, inclusiv filiala din mun. Bălți, are un efectiv de 396,5 de unităţi. În contextul de optimizare a infrastructurii și eficientizării activității noii entități în I trimestrul al anului 2019 urmează a fi lichidată filiala Spitalului clinic militar central din municipiul Bălţi, fapt ce va reduce personalul cu 67,5 unități de personal.</w:t>
            </w:r>
          </w:p>
        </w:tc>
      </w:tr>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5. Fundamentarea economico-financiară</w:t>
            </w:r>
          </w:p>
        </w:tc>
      </w:tr>
      <w:tr w:rsidR="001C023C" w:rsidRPr="001C023C" w:rsidTr="00756AD9">
        <w:tc>
          <w:tcPr>
            <w:tcW w:w="9606" w:type="dxa"/>
          </w:tcPr>
          <w:p w:rsidR="001C023C" w:rsidRPr="001C023C" w:rsidRDefault="001C023C" w:rsidP="001C023C">
            <w:pPr>
              <w:pStyle w:val="BodyText"/>
              <w:spacing w:line="240" w:lineRule="auto"/>
              <w:jc w:val="both"/>
              <w:rPr>
                <w:rFonts w:ascii="Times New Roman" w:hAnsi="Times New Roman"/>
                <w:sz w:val="28"/>
                <w:szCs w:val="28"/>
              </w:rPr>
            </w:pPr>
            <w:r w:rsidRPr="001C023C">
              <w:rPr>
                <w:rFonts w:ascii="Times New Roman" w:hAnsi="Times New Roman"/>
                <w:sz w:val="28"/>
                <w:szCs w:val="28"/>
              </w:rPr>
              <w:t xml:space="preserve">Aprobarea proiectului hotărârii Guvernului </w:t>
            </w:r>
            <w:r w:rsidRPr="001C023C">
              <w:rPr>
                <w:rFonts w:ascii="Times New Roman" w:eastAsia="MS Mincho" w:hAnsi="Times New Roman"/>
                <w:sz w:val="28"/>
                <w:szCs w:val="28"/>
              </w:rPr>
              <w:t>cu privire la organizarea și funcționarea Instituției medico-sanitară publică „Spitalul clinic militar central al Ministerului Apărării”</w:t>
            </w:r>
            <w:r w:rsidRPr="001C023C">
              <w:rPr>
                <w:rFonts w:ascii="Times New Roman" w:hAnsi="Times New Roman"/>
                <w:sz w:val="28"/>
                <w:szCs w:val="28"/>
              </w:rPr>
              <w:t xml:space="preserve"> nu impune alocarea surselor financiare suplimentare din bugetul de stat, reieşind din faptul că reorganizarea se va realiza din contul limitelor de personal disponibile, având ca efect optimizarea cu 67,5 de unităţi a statelor de personal. De asemenea se vor diminua și cheltuielile aferente întreținerii filialei Bălți. În total se urmărește o economie de circa 15-18% din bugetul pentru anul 2019.</w:t>
            </w:r>
          </w:p>
        </w:tc>
      </w:tr>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6. Modul de încorporare a actului în cadrul normativ în vigoare</w:t>
            </w:r>
          </w:p>
        </w:tc>
      </w:tr>
      <w:tr w:rsidR="001C023C" w:rsidRPr="001C023C" w:rsidTr="00756AD9">
        <w:tc>
          <w:tcPr>
            <w:tcW w:w="9606" w:type="dxa"/>
          </w:tcPr>
          <w:p w:rsidR="001C023C" w:rsidRPr="001C023C" w:rsidRDefault="001C023C" w:rsidP="001C023C">
            <w:pPr>
              <w:pStyle w:val="BodyText"/>
              <w:spacing w:line="240" w:lineRule="auto"/>
              <w:jc w:val="both"/>
              <w:rPr>
                <w:rFonts w:ascii="Times New Roman" w:hAnsi="Times New Roman"/>
                <w:sz w:val="28"/>
                <w:szCs w:val="28"/>
              </w:rPr>
            </w:pPr>
            <w:r w:rsidRPr="001C023C">
              <w:rPr>
                <w:rFonts w:ascii="Times New Roman" w:hAnsi="Times New Roman"/>
                <w:sz w:val="28"/>
                <w:szCs w:val="28"/>
              </w:rPr>
              <w:t>Aprobarea proiectului de hotărîre va implica elaborarea noului stat de personal și schema de încadrare a noii entități în corelare cu aplicarea cadrului normativ nou privind sistemul unitar de salarizarea în sistemul bugetar.</w:t>
            </w:r>
          </w:p>
        </w:tc>
      </w:tr>
      <w:tr w:rsidR="001C023C" w:rsidRPr="001C023C" w:rsidTr="0068514A">
        <w:tc>
          <w:tcPr>
            <w:tcW w:w="9606" w:type="dxa"/>
            <w:shd w:val="clear" w:color="auto" w:fill="D9D9D9" w:themeFill="background1" w:themeFillShade="D9"/>
          </w:tcPr>
          <w:p w:rsidR="001C023C" w:rsidRPr="001C023C" w:rsidRDefault="001C023C" w:rsidP="001C023C">
            <w:pPr>
              <w:pStyle w:val="BodyText"/>
              <w:spacing w:line="240" w:lineRule="auto"/>
              <w:jc w:val="both"/>
              <w:rPr>
                <w:rFonts w:ascii="Times New Roman" w:hAnsi="Times New Roman"/>
                <w:b/>
                <w:sz w:val="28"/>
                <w:szCs w:val="28"/>
              </w:rPr>
            </w:pPr>
            <w:r w:rsidRPr="001C023C">
              <w:rPr>
                <w:rFonts w:ascii="Times New Roman" w:hAnsi="Times New Roman"/>
                <w:b/>
                <w:sz w:val="28"/>
                <w:szCs w:val="28"/>
              </w:rPr>
              <w:t>7. Avizarea și consultarea publică a proiectului</w:t>
            </w:r>
          </w:p>
        </w:tc>
      </w:tr>
      <w:tr w:rsidR="001C023C" w:rsidRPr="001C023C" w:rsidTr="00756AD9">
        <w:tc>
          <w:tcPr>
            <w:tcW w:w="9606" w:type="dxa"/>
          </w:tcPr>
          <w:p w:rsidR="00756AD9" w:rsidRPr="00756AD9" w:rsidRDefault="00756AD9" w:rsidP="00756AD9">
            <w:pPr>
              <w:pStyle w:val="BodyText"/>
              <w:spacing w:after="0" w:line="240" w:lineRule="auto"/>
              <w:jc w:val="both"/>
              <w:rPr>
                <w:rFonts w:ascii="Times New Roman" w:hAnsi="Times New Roman"/>
                <w:sz w:val="28"/>
                <w:szCs w:val="28"/>
              </w:rPr>
            </w:pPr>
            <w:r w:rsidRPr="00756AD9">
              <w:rPr>
                <w:rFonts w:ascii="Times New Roman" w:hAnsi="Times New Roman"/>
                <w:bCs/>
                <w:sz w:val="28"/>
                <w:szCs w:val="28"/>
              </w:rPr>
              <w:t xml:space="preserve">Proiectul </w:t>
            </w:r>
            <w:r w:rsidRPr="00756AD9">
              <w:rPr>
                <w:rFonts w:ascii="Times New Roman" w:hAnsi="Times New Roman"/>
                <w:sz w:val="28"/>
                <w:szCs w:val="28"/>
              </w:rPr>
              <w:t xml:space="preserve">hotărîrii Guvernului cu privire la </w:t>
            </w:r>
            <w:r w:rsidRPr="00756AD9">
              <w:rPr>
                <w:rFonts w:ascii="Times New Roman" w:eastAsia="MS Mincho" w:hAnsi="Times New Roman"/>
                <w:sz w:val="28"/>
                <w:szCs w:val="28"/>
              </w:rPr>
              <w:t xml:space="preserve">organizarea și funcționarea Instituției </w:t>
            </w:r>
            <w:r w:rsidRPr="00756AD9">
              <w:rPr>
                <w:rFonts w:ascii="Times New Roman" w:eastAsia="MS Mincho" w:hAnsi="Times New Roman"/>
                <w:sz w:val="28"/>
                <w:szCs w:val="28"/>
              </w:rPr>
              <w:lastRenderedPageBreak/>
              <w:t>medico-sanitară publică „Spitalul clinic militar central al Ministerului Apărării”</w:t>
            </w:r>
            <w:r w:rsidRPr="00756AD9">
              <w:rPr>
                <w:rFonts w:ascii="Times New Roman" w:hAnsi="Times New Roman"/>
                <w:bCs/>
                <w:sz w:val="28"/>
                <w:szCs w:val="28"/>
              </w:rPr>
              <w:t xml:space="preserve"> este plasat </w:t>
            </w:r>
            <w:r w:rsidRPr="00756AD9">
              <w:rPr>
                <w:rFonts w:ascii="Times New Roman" w:hAnsi="Times New Roman"/>
                <w:sz w:val="28"/>
                <w:szCs w:val="28"/>
              </w:rPr>
              <w:t xml:space="preserve">pe pagina oficială a Ministerului Apărării </w:t>
            </w:r>
            <w:hyperlink r:id="rId7" w:history="1">
              <w:r w:rsidRPr="00756AD9">
                <w:rPr>
                  <w:rStyle w:val="Hyperlink"/>
                  <w:rFonts w:ascii="Times New Roman" w:hAnsi="Times New Roman"/>
                  <w:sz w:val="28"/>
                  <w:szCs w:val="28"/>
                </w:rPr>
                <w:t>www.army.md</w:t>
              </w:r>
            </w:hyperlink>
            <w:r w:rsidRPr="00756AD9">
              <w:rPr>
                <w:rFonts w:ascii="Times New Roman" w:hAnsi="Times New Roman"/>
                <w:sz w:val="28"/>
                <w:szCs w:val="28"/>
              </w:rPr>
              <w:t xml:space="preserve">, la compartimentul </w:t>
            </w:r>
            <w:r w:rsidRPr="00756AD9">
              <w:rPr>
                <w:rFonts w:ascii="Times New Roman" w:hAnsi="Times New Roman"/>
                <w:i/>
                <w:sz w:val="28"/>
                <w:szCs w:val="28"/>
              </w:rPr>
              <w:t>Transparența decizională</w:t>
            </w:r>
            <w:r w:rsidRPr="00756AD9">
              <w:rPr>
                <w:rFonts w:ascii="Times New Roman" w:hAnsi="Times New Roman"/>
                <w:sz w:val="28"/>
                <w:szCs w:val="28"/>
              </w:rPr>
              <w:t xml:space="preserve">, rubrica </w:t>
            </w:r>
            <w:r w:rsidRPr="00756AD9">
              <w:rPr>
                <w:rFonts w:ascii="Times New Roman" w:hAnsi="Times New Roman"/>
                <w:i/>
                <w:sz w:val="28"/>
                <w:szCs w:val="28"/>
              </w:rPr>
              <w:t>Anunțurile privind organizarea consultărilor publice</w:t>
            </w:r>
            <w:r w:rsidRPr="00756AD9">
              <w:rPr>
                <w:rStyle w:val="fontstyle01"/>
                <w:rFonts w:ascii="Times New Roman" w:hAnsi="Times New Roman"/>
              </w:rPr>
              <w:t xml:space="preserve"> și pe </w:t>
            </w:r>
            <w:hyperlink r:id="rId8" w:history="1">
              <w:r w:rsidRPr="00756AD9">
                <w:rPr>
                  <w:rStyle w:val="Hyperlink"/>
                  <w:rFonts w:ascii="Times New Roman" w:hAnsi="Times New Roman"/>
                  <w:sz w:val="28"/>
                  <w:szCs w:val="28"/>
                </w:rPr>
                <w:t>www.particip.gov.md</w:t>
              </w:r>
            </w:hyperlink>
            <w:r w:rsidRPr="00756AD9">
              <w:rPr>
                <w:rStyle w:val="fontstyle01"/>
                <w:rFonts w:ascii="Times New Roman" w:hAnsi="Times New Roman"/>
              </w:rPr>
              <w:t>.</w:t>
            </w:r>
          </w:p>
          <w:p w:rsidR="001C023C" w:rsidRPr="001C023C" w:rsidRDefault="00756AD9" w:rsidP="00756AD9">
            <w:pPr>
              <w:pStyle w:val="BodyText"/>
              <w:spacing w:line="240" w:lineRule="auto"/>
              <w:jc w:val="both"/>
              <w:rPr>
                <w:rFonts w:ascii="Times New Roman" w:hAnsi="Times New Roman"/>
                <w:sz w:val="28"/>
                <w:szCs w:val="28"/>
              </w:rPr>
            </w:pPr>
            <w:r w:rsidRPr="00756AD9">
              <w:rPr>
                <w:rStyle w:val="fontstyle01"/>
                <w:rFonts w:ascii="Times New Roman" w:hAnsi="Times New Roman"/>
              </w:rPr>
              <w:t>Concomitent, acesta a fost avizat cu autoritățile interesate, iar obiecțiile și propunerile formulate au fost luate în considerație la definitivarea proiectului.</w:t>
            </w:r>
          </w:p>
        </w:tc>
      </w:tr>
    </w:tbl>
    <w:p w:rsidR="001C023C" w:rsidRDefault="001C023C" w:rsidP="001C023C">
      <w:pPr>
        <w:pStyle w:val="BodyText"/>
        <w:spacing w:after="0"/>
        <w:jc w:val="both"/>
        <w:rPr>
          <w:rFonts w:ascii="Times New Roman" w:hAnsi="Times New Roman"/>
          <w:sz w:val="28"/>
          <w:szCs w:val="28"/>
        </w:rPr>
      </w:pPr>
    </w:p>
    <w:p w:rsidR="001C023C" w:rsidRPr="001C023C" w:rsidRDefault="001C023C" w:rsidP="001C023C">
      <w:pPr>
        <w:pStyle w:val="BodyText"/>
        <w:spacing w:after="0"/>
        <w:jc w:val="both"/>
        <w:rPr>
          <w:rFonts w:ascii="Times New Roman" w:hAnsi="Times New Roman"/>
          <w:sz w:val="28"/>
          <w:szCs w:val="28"/>
        </w:rPr>
      </w:pPr>
    </w:p>
    <w:p w:rsidR="001C023C" w:rsidRDefault="001C023C" w:rsidP="001C023C">
      <w:pPr>
        <w:pStyle w:val="Default"/>
        <w:ind w:firstLine="709"/>
        <w:jc w:val="both"/>
        <w:rPr>
          <w:color w:val="auto"/>
          <w:sz w:val="28"/>
          <w:szCs w:val="28"/>
          <w:lang w:val="ro-RO"/>
        </w:rPr>
      </w:pPr>
      <w:r w:rsidRPr="001C023C">
        <w:rPr>
          <w:color w:val="auto"/>
          <w:sz w:val="28"/>
          <w:szCs w:val="28"/>
          <w:lang w:val="ro-RO"/>
        </w:rPr>
        <w:t>Ministru</w:t>
      </w:r>
      <w:r w:rsidRPr="001C023C">
        <w:rPr>
          <w:color w:val="auto"/>
          <w:sz w:val="28"/>
          <w:szCs w:val="28"/>
          <w:lang w:val="ro-RO"/>
        </w:rPr>
        <w:tab/>
      </w:r>
      <w:r w:rsidRPr="001C023C">
        <w:rPr>
          <w:color w:val="auto"/>
          <w:sz w:val="28"/>
          <w:szCs w:val="28"/>
          <w:lang w:val="ro-RO"/>
        </w:rPr>
        <w:tab/>
      </w:r>
      <w:r w:rsidRPr="001C023C">
        <w:rPr>
          <w:color w:val="auto"/>
          <w:sz w:val="28"/>
          <w:szCs w:val="28"/>
          <w:lang w:val="ro-RO"/>
        </w:rPr>
        <w:tab/>
      </w:r>
      <w:r w:rsidRPr="001C023C">
        <w:rPr>
          <w:color w:val="auto"/>
          <w:sz w:val="28"/>
          <w:szCs w:val="28"/>
          <w:lang w:val="ro-RO"/>
        </w:rPr>
        <w:tab/>
      </w:r>
      <w:r w:rsidRPr="001C023C">
        <w:rPr>
          <w:color w:val="auto"/>
          <w:sz w:val="28"/>
          <w:szCs w:val="28"/>
          <w:lang w:val="ro-RO"/>
        </w:rPr>
        <w:tab/>
        <w:t>Eugeniu STURZA</w:t>
      </w:r>
    </w:p>
    <w:p w:rsidR="00756AD9" w:rsidRDefault="00756AD9" w:rsidP="001C023C">
      <w:pPr>
        <w:pStyle w:val="Default"/>
        <w:ind w:firstLine="709"/>
        <w:jc w:val="both"/>
        <w:rPr>
          <w:color w:val="auto"/>
          <w:sz w:val="28"/>
          <w:szCs w:val="28"/>
          <w:lang w:val="ro-RO"/>
        </w:rPr>
      </w:pPr>
    </w:p>
    <w:p w:rsidR="001C023C" w:rsidRDefault="001C023C" w:rsidP="00A57794">
      <w:pPr>
        <w:jc w:val="right"/>
        <w:rPr>
          <w:i/>
        </w:rPr>
      </w:pPr>
    </w:p>
    <w:sectPr w:rsidR="001C023C" w:rsidSect="00B13B02">
      <w:pgSz w:w="11906" w:h="16838"/>
      <w:pgMar w:top="102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51E0D"/>
    <w:multiLevelType w:val="multilevel"/>
    <w:tmpl w:val="5E4E4D9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A52B3F"/>
    <w:rsid w:val="00005D6A"/>
    <w:rsid w:val="00041F18"/>
    <w:rsid w:val="000B4EE5"/>
    <w:rsid w:val="000D2500"/>
    <w:rsid w:val="00166615"/>
    <w:rsid w:val="00181EFF"/>
    <w:rsid w:val="001A6C00"/>
    <w:rsid w:val="001B54F1"/>
    <w:rsid w:val="001C023C"/>
    <w:rsid w:val="002574DD"/>
    <w:rsid w:val="002E5172"/>
    <w:rsid w:val="00317670"/>
    <w:rsid w:val="003202C3"/>
    <w:rsid w:val="003C4936"/>
    <w:rsid w:val="00400C35"/>
    <w:rsid w:val="00402A1F"/>
    <w:rsid w:val="004500DA"/>
    <w:rsid w:val="004663F9"/>
    <w:rsid w:val="005354F2"/>
    <w:rsid w:val="00633A0F"/>
    <w:rsid w:val="00654EBC"/>
    <w:rsid w:val="0068514A"/>
    <w:rsid w:val="006D3667"/>
    <w:rsid w:val="00707E52"/>
    <w:rsid w:val="00737B63"/>
    <w:rsid w:val="00756AD9"/>
    <w:rsid w:val="00760545"/>
    <w:rsid w:val="00762443"/>
    <w:rsid w:val="00764F25"/>
    <w:rsid w:val="00764FE8"/>
    <w:rsid w:val="0082225E"/>
    <w:rsid w:val="008A4403"/>
    <w:rsid w:val="008C6355"/>
    <w:rsid w:val="008E673F"/>
    <w:rsid w:val="008E7425"/>
    <w:rsid w:val="008F7822"/>
    <w:rsid w:val="009E3E11"/>
    <w:rsid w:val="00A203A1"/>
    <w:rsid w:val="00A52B3F"/>
    <w:rsid w:val="00A553CA"/>
    <w:rsid w:val="00A572C9"/>
    <w:rsid w:val="00A57794"/>
    <w:rsid w:val="00A60AE2"/>
    <w:rsid w:val="00A7324A"/>
    <w:rsid w:val="00A9190D"/>
    <w:rsid w:val="00AA17B7"/>
    <w:rsid w:val="00B13B02"/>
    <w:rsid w:val="00B264F0"/>
    <w:rsid w:val="00B37616"/>
    <w:rsid w:val="00B80007"/>
    <w:rsid w:val="00D01DCF"/>
    <w:rsid w:val="00D605EA"/>
    <w:rsid w:val="00D614B2"/>
    <w:rsid w:val="00DF3E63"/>
    <w:rsid w:val="00E90784"/>
    <w:rsid w:val="00EC66AA"/>
    <w:rsid w:val="00EE2B9B"/>
    <w:rsid w:val="00EF7E7F"/>
    <w:rsid w:val="00F93F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94"/>
    <w:pPr>
      <w:spacing w:after="0" w:line="240" w:lineRule="auto"/>
    </w:pPr>
    <w:rPr>
      <w:rFonts w:ascii="Times New Roman" w:eastAsia="MS Mincho" w:hAnsi="Times New Roman" w:cs="Times New Roman"/>
      <w:sz w:val="24"/>
      <w:szCs w:val="24"/>
      <w:lang w:val="ro-RO" w:eastAsia="ja-JP"/>
    </w:rPr>
  </w:style>
  <w:style w:type="paragraph" w:styleId="Heading2">
    <w:name w:val="heading 2"/>
    <w:basedOn w:val="Normal"/>
    <w:next w:val="Normal"/>
    <w:link w:val="Heading2Char"/>
    <w:qFormat/>
    <w:rsid w:val="00756AD9"/>
    <w:pPr>
      <w:keepNext/>
      <w:spacing w:before="240" w:after="60"/>
      <w:outlineLvl w:val="1"/>
    </w:pPr>
    <w:rPr>
      <w:rFonts w:ascii="Arial" w:eastAsia="Times New Roman" w:hAnsi="Arial"/>
      <w:b/>
      <w:bCs/>
      <w:i/>
      <w:iCs/>
      <w:sz w:val="28"/>
      <w:szCs w:val="28"/>
      <w:lang w:val="ru-RU" w:eastAsia="ru-RU"/>
    </w:rPr>
  </w:style>
  <w:style w:type="paragraph" w:styleId="Heading5">
    <w:name w:val="heading 5"/>
    <w:basedOn w:val="Normal"/>
    <w:next w:val="Normal"/>
    <w:link w:val="Heading5Char"/>
    <w:uiPriority w:val="9"/>
    <w:semiHidden/>
    <w:unhideWhenUsed/>
    <w:qFormat/>
    <w:rsid w:val="00A57794"/>
    <w:pPr>
      <w:keepNext/>
      <w:keepLines/>
      <w:spacing w:before="40"/>
      <w:outlineLvl w:val="4"/>
    </w:pPr>
    <w:rPr>
      <w:rFonts w:ascii="Cambria" w:eastAsia="Times New Roman" w:hAnsi="Cambria"/>
      <w:color w:val="365F91"/>
    </w:rPr>
  </w:style>
  <w:style w:type="paragraph" w:styleId="Heading8">
    <w:name w:val="heading 8"/>
    <w:basedOn w:val="Normal"/>
    <w:next w:val="Normal"/>
    <w:link w:val="Heading8Char"/>
    <w:unhideWhenUsed/>
    <w:qFormat/>
    <w:rsid w:val="00A57794"/>
    <w:pPr>
      <w:keepNext/>
      <w:jc w:val="center"/>
      <w:outlineLvl w:val="7"/>
    </w:pPr>
    <w:rPr>
      <w:rFonts w:eastAsia="Times New Roman"/>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57794"/>
    <w:rPr>
      <w:rFonts w:ascii="Cambria" w:eastAsia="Times New Roman" w:hAnsi="Cambria" w:cs="Times New Roman"/>
      <w:color w:val="365F91"/>
      <w:sz w:val="24"/>
      <w:szCs w:val="24"/>
      <w:lang w:val="ro-RO"/>
    </w:rPr>
  </w:style>
  <w:style w:type="character" w:customStyle="1" w:styleId="Heading8Char">
    <w:name w:val="Heading 8 Char"/>
    <w:basedOn w:val="DefaultParagraphFont"/>
    <w:link w:val="Heading8"/>
    <w:rsid w:val="00A57794"/>
    <w:rPr>
      <w:rFonts w:ascii="Times New Roman" w:eastAsia="Times New Roman" w:hAnsi="Times New Roman" w:cs="Times New Roman"/>
      <w:sz w:val="28"/>
      <w:szCs w:val="28"/>
      <w:lang w:val="ro-RO" w:eastAsia="ro-RO"/>
    </w:rPr>
  </w:style>
  <w:style w:type="character" w:customStyle="1" w:styleId="ListParagraphChar">
    <w:name w:val="List Paragraph Char"/>
    <w:aliases w:val="List Paragraph 1 Char,Bullets Char,List Paragraph (numbered (a)) Char,Numbered Paragraph Char,Main numbered paragraph Char,Akapit z listą BS Char,Lettre d'introduction Char,List Paragraph1 Char,List Paragraph11 Char"/>
    <w:link w:val="ListParagraph"/>
    <w:uiPriority w:val="34"/>
    <w:locked/>
    <w:rsid w:val="00762443"/>
  </w:style>
  <w:style w:type="paragraph" w:styleId="ListParagraph">
    <w:name w:val="List Paragraph"/>
    <w:aliases w:val="List Paragraph 1,Bullets,List Paragraph (numbered (a)),Numbered Paragraph,Main numbered paragraph,Akapit z listą BS,Lettre d'introduction,List Paragraph1,List Paragraph11,Scriptoria bullet points,HotarirePunct1"/>
    <w:basedOn w:val="Normal"/>
    <w:link w:val="ListParagraphChar"/>
    <w:uiPriority w:val="34"/>
    <w:qFormat/>
    <w:rsid w:val="00762443"/>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BodyText">
    <w:name w:val="Body Text"/>
    <w:basedOn w:val="Normal"/>
    <w:link w:val="BodyTextChar"/>
    <w:uiPriority w:val="99"/>
    <w:unhideWhenUsed/>
    <w:rsid w:val="00762443"/>
    <w:pPr>
      <w:spacing w:after="120" w:line="25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762443"/>
    <w:rPr>
      <w:rFonts w:ascii="Calibri" w:eastAsia="Calibri" w:hAnsi="Calibri" w:cs="Times New Roman"/>
      <w:lang w:val="ro-RO"/>
    </w:rPr>
  </w:style>
  <w:style w:type="paragraph" w:styleId="NormalWeb">
    <w:name w:val="Normal (Web)"/>
    <w:basedOn w:val="Normal"/>
    <w:uiPriority w:val="99"/>
    <w:semiHidden/>
    <w:unhideWhenUsed/>
    <w:rsid w:val="00402A1F"/>
    <w:pPr>
      <w:ind w:firstLine="567"/>
      <w:jc w:val="both"/>
    </w:pPr>
    <w:rPr>
      <w:rFonts w:eastAsia="Times New Roman"/>
      <w:lang w:val="en-US" w:eastAsia="en-US"/>
    </w:rPr>
  </w:style>
  <w:style w:type="character" w:styleId="Hyperlink">
    <w:name w:val="Hyperlink"/>
    <w:rsid w:val="001C023C"/>
    <w:rPr>
      <w:color w:val="0000FF"/>
      <w:u w:val="single"/>
    </w:rPr>
  </w:style>
  <w:style w:type="paragraph" w:customStyle="1" w:styleId="Default">
    <w:name w:val="Default"/>
    <w:rsid w:val="001C02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irstParagraph">
    <w:name w:val="First Paragraph"/>
    <w:basedOn w:val="BodyText"/>
    <w:next w:val="BodyText"/>
    <w:qFormat/>
    <w:rsid w:val="001C023C"/>
    <w:pPr>
      <w:spacing w:before="180" w:after="180" w:line="240" w:lineRule="auto"/>
    </w:pPr>
    <w:rPr>
      <w:sz w:val="24"/>
      <w:szCs w:val="24"/>
      <w:lang w:val="en-US"/>
    </w:rPr>
  </w:style>
  <w:style w:type="paragraph" w:customStyle="1" w:styleId="Compact">
    <w:name w:val="Compact"/>
    <w:basedOn w:val="BodyText"/>
    <w:qFormat/>
    <w:rsid w:val="001C023C"/>
    <w:pPr>
      <w:spacing w:before="36" w:after="36" w:line="240" w:lineRule="auto"/>
    </w:pPr>
    <w:rPr>
      <w:sz w:val="24"/>
      <w:szCs w:val="24"/>
      <w:lang w:val="en-US"/>
    </w:rPr>
  </w:style>
  <w:style w:type="character" w:customStyle="1" w:styleId="Heading2Char">
    <w:name w:val="Heading 2 Char"/>
    <w:basedOn w:val="DefaultParagraphFont"/>
    <w:link w:val="Heading2"/>
    <w:rsid w:val="00756AD9"/>
    <w:rPr>
      <w:rFonts w:ascii="Arial" w:eastAsia="Times New Roman" w:hAnsi="Arial" w:cs="Times New Roman"/>
      <w:b/>
      <w:bCs/>
      <w:i/>
      <w:iCs/>
      <w:sz w:val="28"/>
      <w:szCs w:val="28"/>
      <w:lang w:eastAsia="ru-RU"/>
    </w:rPr>
  </w:style>
  <w:style w:type="character" w:customStyle="1" w:styleId="fontstyle01">
    <w:name w:val="fontstyle01"/>
    <w:basedOn w:val="DefaultParagraphFont"/>
    <w:rsid w:val="00756AD9"/>
    <w:rPr>
      <w:rFonts w:ascii="TimesNewRoman" w:hAnsi="TimesNew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4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army.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8EAB9-F866-490C-A1B9-69B16853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Ghetiu Mihail</cp:lastModifiedBy>
  <cp:revision>47</cp:revision>
  <dcterms:created xsi:type="dcterms:W3CDTF">2018-10-24T06:24:00Z</dcterms:created>
  <dcterms:modified xsi:type="dcterms:W3CDTF">2019-01-03T11:49:00Z</dcterms:modified>
</cp:coreProperties>
</file>