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18" w:rsidRPr="001806F8" w:rsidRDefault="00285418" w:rsidP="00285418">
      <w:pPr>
        <w:spacing w:line="276" w:lineRule="auto"/>
        <w:rPr>
          <w:b/>
          <w:sz w:val="28"/>
          <w:szCs w:val="28"/>
          <w:lang w:eastAsia="ro-RO"/>
        </w:rPr>
      </w:pPr>
    </w:p>
    <w:p w:rsidR="00285418" w:rsidRPr="001806F8" w:rsidRDefault="00285418" w:rsidP="00285418">
      <w:pPr>
        <w:spacing w:line="276" w:lineRule="auto"/>
        <w:jc w:val="center"/>
        <w:rPr>
          <w:b/>
          <w:sz w:val="28"/>
          <w:szCs w:val="28"/>
          <w:lang w:eastAsia="ro-RO"/>
        </w:rPr>
      </w:pPr>
      <w:r w:rsidRPr="001806F8">
        <w:rPr>
          <w:b/>
          <w:sz w:val="28"/>
          <w:szCs w:val="28"/>
          <w:lang w:eastAsia="ro-RO"/>
        </w:rPr>
        <w:t>NOTA INFORMATIVĂ</w:t>
      </w:r>
    </w:p>
    <w:p w:rsidR="00DE1826" w:rsidRPr="00DE1826" w:rsidRDefault="00285418" w:rsidP="00DE1826">
      <w:pPr>
        <w:ind w:firstLine="708"/>
        <w:jc w:val="center"/>
        <w:rPr>
          <w:b/>
          <w:sz w:val="28"/>
          <w:szCs w:val="28"/>
          <w:lang w:eastAsia="ro-RO"/>
        </w:rPr>
      </w:pPr>
      <w:r w:rsidRPr="00DE1826">
        <w:rPr>
          <w:b/>
          <w:sz w:val="28"/>
          <w:szCs w:val="28"/>
          <w:lang w:eastAsia="ro-RO"/>
        </w:rPr>
        <w:t xml:space="preserve">la proiectul </w:t>
      </w:r>
      <w:proofErr w:type="spellStart"/>
      <w:r w:rsidRPr="00DE1826">
        <w:rPr>
          <w:b/>
          <w:sz w:val="28"/>
          <w:szCs w:val="28"/>
          <w:lang w:eastAsia="ro-RO"/>
        </w:rPr>
        <w:t>Hotărîrii</w:t>
      </w:r>
      <w:proofErr w:type="spellEnd"/>
      <w:r w:rsidRPr="00DE1826">
        <w:rPr>
          <w:b/>
          <w:sz w:val="28"/>
          <w:szCs w:val="28"/>
          <w:lang w:eastAsia="ro-RO"/>
        </w:rPr>
        <w:t xml:space="preserve"> Guvernului cu privire la </w:t>
      </w:r>
      <w:r w:rsidR="00DE1826" w:rsidRPr="00DE1826">
        <w:rPr>
          <w:b/>
          <w:sz w:val="28"/>
          <w:szCs w:val="28"/>
          <w:lang w:val="ro-MD"/>
        </w:rPr>
        <w:t>aprobarea Conceptului mecanismului de monitorizare de stat a jocurilor de noroc</w:t>
      </w:r>
    </w:p>
    <w:p w:rsidR="00DE1826" w:rsidRPr="00DE1826" w:rsidRDefault="00DE1826" w:rsidP="00285418">
      <w:pPr>
        <w:ind w:firstLine="708"/>
        <w:jc w:val="center"/>
        <w:rPr>
          <w:sz w:val="28"/>
          <w:szCs w:val="28"/>
          <w:lang w:val="ro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285418" w:rsidRPr="001806F8" w:rsidTr="00B901F5">
        <w:tc>
          <w:tcPr>
            <w:tcW w:w="10258" w:type="dxa"/>
            <w:shd w:val="clear" w:color="auto" w:fill="BFBFBF"/>
            <w:vAlign w:val="center"/>
          </w:tcPr>
          <w:p w:rsidR="00285418" w:rsidRPr="001806F8" w:rsidRDefault="00285418" w:rsidP="00B901F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709"/>
              <w:rPr>
                <w:b/>
                <w:sz w:val="28"/>
                <w:szCs w:val="28"/>
                <w:lang w:eastAsia="ro-RO"/>
              </w:rPr>
            </w:pPr>
            <w:proofErr w:type="spellStart"/>
            <w:r w:rsidRPr="001806F8">
              <w:rPr>
                <w:b/>
                <w:sz w:val="28"/>
                <w:szCs w:val="28"/>
              </w:rPr>
              <w:t>Condițiile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ce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au </w:t>
            </w:r>
            <w:proofErr w:type="spellStart"/>
            <w:r w:rsidRPr="001806F8">
              <w:rPr>
                <w:b/>
                <w:sz w:val="28"/>
                <w:szCs w:val="28"/>
              </w:rPr>
              <w:t>impus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elaborarea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proiectului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și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finalitățile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urmărite</w:t>
            </w:r>
            <w:proofErr w:type="spellEnd"/>
          </w:p>
        </w:tc>
      </w:tr>
      <w:tr w:rsidR="00285418" w:rsidRPr="001806F8" w:rsidTr="00B901F5">
        <w:tc>
          <w:tcPr>
            <w:tcW w:w="10258" w:type="dxa"/>
          </w:tcPr>
          <w:p w:rsidR="00E032E4" w:rsidRPr="0026536D" w:rsidRDefault="00E21991" w:rsidP="00E032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/>
              <w:ind w:firstLine="820"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Prezentul proiect </w:t>
            </w:r>
            <w:r w:rsidR="00E032E4">
              <w:rPr>
                <w:sz w:val="28"/>
                <w:szCs w:val="28"/>
                <w:lang w:val="ro-MD"/>
              </w:rPr>
              <w:t xml:space="preserve">are ca scop </w:t>
            </w:r>
            <w:r w:rsidR="0026536D" w:rsidRPr="00EC26DA">
              <w:rPr>
                <w:sz w:val="28"/>
                <w:szCs w:val="28"/>
                <w:lang w:val="ro-MD"/>
              </w:rPr>
              <w:t>crearea mecanismului de monitorizare de stat a jocurilor de noroc (în continuare - MMSJN)</w:t>
            </w:r>
            <w:r w:rsidR="0016158D">
              <w:rPr>
                <w:sz w:val="28"/>
                <w:szCs w:val="28"/>
                <w:lang w:val="ro-MD"/>
              </w:rPr>
              <w:t>,</w:t>
            </w:r>
            <w:r w:rsidR="0026536D" w:rsidRPr="00EC26DA">
              <w:rPr>
                <w:sz w:val="28"/>
                <w:szCs w:val="28"/>
                <w:lang w:val="ro-MD"/>
              </w:rPr>
              <w:t xml:space="preserve"> care va contribui la implementarea </w:t>
            </w:r>
            <w:proofErr w:type="spellStart"/>
            <w:r w:rsidR="0026536D" w:rsidRPr="00EC26DA">
              <w:rPr>
                <w:sz w:val="28"/>
                <w:szCs w:val="28"/>
                <w:lang w:val="ro-MD"/>
              </w:rPr>
              <w:t>şi</w:t>
            </w:r>
            <w:proofErr w:type="spellEnd"/>
            <w:r w:rsidR="0026536D" w:rsidRPr="00EC26DA">
              <w:rPr>
                <w:sz w:val="28"/>
                <w:szCs w:val="28"/>
                <w:lang w:val="ro-MD"/>
              </w:rPr>
              <w:t xml:space="preserve"> promovarea politicii de stat în acest domeniu pentru reducerea riscurilor sociale, precum </w:t>
            </w:r>
            <w:proofErr w:type="spellStart"/>
            <w:r w:rsidR="0026536D" w:rsidRPr="00EC26DA">
              <w:rPr>
                <w:sz w:val="28"/>
                <w:szCs w:val="28"/>
                <w:lang w:val="ro-MD"/>
              </w:rPr>
              <w:t>şi</w:t>
            </w:r>
            <w:proofErr w:type="spellEnd"/>
            <w:r w:rsidR="0026536D" w:rsidRPr="00EC26DA">
              <w:rPr>
                <w:sz w:val="28"/>
                <w:szCs w:val="28"/>
                <w:lang w:val="ro-MD"/>
              </w:rPr>
              <w:t xml:space="preserve"> respectarea prevederilor </w:t>
            </w:r>
            <w:proofErr w:type="spellStart"/>
            <w:r w:rsidR="0026536D" w:rsidRPr="00EC26DA">
              <w:rPr>
                <w:sz w:val="28"/>
                <w:szCs w:val="28"/>
                <w:lang w:val="ro-MD"/>
              </w:rPr>
              <w:t>legislaţiei</w:t>
            </w:r>
            <w:proofErr w:type="spellEnd"/>
            <w:r w:rsidR="0026536D" w:rsidRPr="00EC26DA">
              <w:rPr>
                <w:sz w:val="28"/>
                <w:szCs w:val="28"/>
                <w:lang w:val="ro-MD"/>
              </w:rPr>
              <w:t xml:space="preserve"> în vigoare de către o</w:t>
            </w:r>
            <w:r w:rsidR="00E032E4">
              <w:rPr>
                <w:sz w:val="28"/>
                <w:szCs w:val="28"/>
                <w:lang w:val="ro-MD"/>
              </w:rPr>
              <w:t>rganizatorii jocurilor de noroc.</w:t>
            </w:r>
          </w:p>
        </w:tc>
      </w:tr>
      <w:tr w:rsidR="00285418" w:rsidRPr="001806F8" w:rsidTr="00B901F5">
        <w:tc>
          <w:tcPr>
            <w:tcW w:w="10258" w:type="dxa"/>
            <w:shd w:val="clear" w:color="auto" w:fill="BFBFBF"/>
            <w:vAlign w:val="center"/>
          </w:tcPr>
          <w:p w:rsidR="00285418" w:rsidRPr="001806F8" w:rsidRDefault="00285418" w:rsidP="00B901F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709"/>
              <w:rPr>
                <w:b/>
                <w:sz w:val="28"/>
                <w:szCs w:val="28"/>
              </w:rPr>
            </w:pPr>
            <w:proofErr w:type="spellStart"/>
            <w:r w:rsidRPr="001806F8">
              <w:rPr>
                <w:b/>
                <w:sz w:val="28"/>
                <w:szCs w:val="28"/>
              </w:rPr>
              <w:t>Principalele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prevederi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ale </w:t>
            </w:r>
            <w:proofErr w:type="spellStart"/>
            <w:r w:rsidRPr="001806F8">
              <w:rPr>
                <w:b/>
                <w:sz w:val="28"/>
                <w:szCs w:val="28"/>
              </w:rPr>
              <w:t>proiectului</w:t>
            </w:r>
            <w:proofErr w:type="spellEnd"/>
          </w:p>
        </w:tc>
      </w:tr>
      <w:tr w:rsidR="00285418" w:rsidRPr="001806F8" w:rsidTr="00B901F5">
        <w:tc>
          <w:tcPr>
            <w:tcW w:w="10258" w:type="dxa"/>
          </w:tcPr>
          <w:p w:rsidR="00F55A68" w:rsidRPr="00EC26DA" w:rsidRDefault="00F55A68" w:rsidP="00F55A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/>
              <w:ind w:firstLine="820"/>
              <w:jc w:val="both"/>
              <w:rPr>
                <w:sz w:val="28"/>
                <w:szCs w:val="28"/>
                <w:lang w:val="ro-MD"/>
              </w:rPr>
            </w:pPr>
            <w:r w:rsidRPr="00EC26DA">
              <w:rPr>
                <w:sz w:val="28"/>
                <w:szCs w:val="28"/>
                <w:lang w:val="ro-MD"/>
              </w:rPr>
              <w:t xml:space="preserve">Conceptul MMSJN descrie procesul schimbului de date între sistemele </w:t>
            </w:r>
            <w:proofErr w:type="spellStart"/>
            <w:r w:rsidRPr="00EC26DA">
              <w:rPr>
                <w:sz w:val="28"/>
                <w:szCs w:val="28"/>
                <w:lang w:val="ro-MD"/>
              </w:rPr>
              <w:t>informaţionale</w:t>
            </w:r>
            <w:proofErr w:type="spellEnd"/>
            <w:r w:rsidRPr="00EC26DA">
              <w:rPr>
                <w:sz w:val="28"/>
                <w:szCs w:val="28"/>
                <w:lang w:val="ro-MD"/>
              </w:rPr>
              <w:t xml:space="preserve"> automatizate </w:t>
            </w:r>
            <w:proofErr w:type="spellStart"/>
            <w:r w:rsidRPr="00EC26DA">
              <w:rPr>
                <w:sz w:val="28"/>
                <w:szCs w:val="28"/>
                <w:lang w:val="ro-MD"/>
              </w:rPr>
              <w:t>deţinute</w:t>
            </w:r>
            <w:proofErr w:type="spellEnd"/>
            <w:r w:rsidRPr="00EC26DA">
              <w:rPr>
                <w:sz w:val="28"/>
                <w:szCs w:val="28"/>
                <w:lang w:val="ro-MD"/>
              </w:rPr>
              <w:t xml:space="preserve"> de Serviciul Fiscal de Stat, Serviciul Pre</w:t>
            </w:r>
            <w:r>
              <w:rPr>
                <w:sz w:val="28"/>
                <w:szCs w:val="28"/>
                <w:lang w:val="ro-MD"/>
              </w:rPr>
              <w:t xml:space="preserve">venirea </w:t>
            </w:r>
            <w:proofErr w:type="spellStart"/>
            <w:r>
              <w:rPr>
                <w:sz w:val="28"/>
                <w:szCs w:val="28"/>
                <w:lang w:val="ro-MD"/>
              </w:rPr>
              <w:t>şi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Combaterea Spălării B</w:t>
            </w:r>
            <w:r w:rsidRPr="00EC26DA">
              <w:rPr>
                <w:sz w:val="28"/>
                <w:szCs w:val="28"/>
                <w:lang w:val="ro-MD"/>
              </w:rPr>
              <w:t xml:space="preserve">anilor, </w:t>
            </w:r>
            <w:proofErr w:type="spellStart"/>
            <w:r w:rsidRPr="00EC26DA">
              <w:rPr>
                <w:sz w:val="28"/>
                <w:szCs w:val="28"/>
                <w:lang w:val="ro-MD"/>
              </w:rPr>
              <w:t>Agenţia</w:t>
            </w:r>
            <w:proofErr w:type="spellEnd"/>
            <w:r w:rsidRPr="00EC26DA">
              <w:rPr>
                <w:sz w:val="28"/>
                <w:szCs w:val="28"/>
                <w:lang w:val="ro-MD"/>
              </w:rPr>
              <w:t xml:space="preserve"> pentru </w:t>
            </w:r>
            <w:proofErr w:type="spellStart"/>
            <w:r w:rsidRPr="00EC26DA">
              <w:rPr>
                <w:sz w:val="28"/>
                <w:szCs w:val="28"/>
                <w:lang w:val="ro-MD"/>
              </w:rPr>
              <w:t>Protecţia</w:t>
            </w:r>
            <w:proofErr w:type="spellEnd"/>
            <w:r w:rsidRPr="00EC26DA">
              <w:rPr>
                <w:sz w:val="28"/>
                <w:szCs w:val="28"/>
                <w:lang w:val="ro-MD"/>
              </w:rPr>
              <w:t xml:space="preserve"> Consu</w:t>
            </w:r>
            <w:r>
              <w:rPr>
                <w:sz w:val="28"/>
                <w:szCs w:val="28"/>
                <w:lang w:val="ro-MD"/>
              </w:rPr>
              <w:t xml:space="preserve">matorilor </w:t>
            </w:r>
            <w:proofErr w:type="spellStart"/>
            <w:r>
              <w:rPr>
                <w:sz w:val="28"/>
                <w:szCs w:val="28"/>
                <w:lang w:val="ro-MD"/>
              </w:rPr>
              <w:t>şi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Supravegherea </w:t>
            </w:r>
            <w:proofErr w:type="spellStart"/>
            <w:r>
              <w:rPr>
                <w:sz w:val="28"/>
                <w:szCs w:val="28"/>
                <w:lang w:val="ro-MD"/>
              </w:rPr>
              <w:t>Pieţe</w:t>
            </w:r>
            <w:r w:rsidRPr="00EC26DA">
              <w:rPr>
                <w:sz w:val="28"/>
                <w:szCs w:val="28"/>
                <w:lang w:val="ro-MD"/>
              </w:rPr>
              <w:t>i</w:t>
            </w:r>
            <w:proofErr w:type="spellEnd"/>
            <w:r w:rsidRPr="00EC26DA">
              <w:rPr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EC26DA">
              <w:rPr>
                <w:sz w:val="28"/>
                <w:szCs w:val="28"/>
                <w:lang w:val="ro-MD"/>
              </w:rPr>
              <w:t>şi</w:t>
            </w:r>
            <w:proofErr w:type="spellEnd"/>
            <w:r w:rsidRPr="00EC26DA">
              <w:rPr>
                <w:sz w:val="28"/>
                <w:szCs w:val="28"/>
                <w:lang w:val="ro-MD"/>
              </w:rPr>
              <w:t xml:space="preserve"> sistemele </w:t>
            </w:r>
            <w:proofErr w:type="spellStart"/>
            <w:r w:rsidRPr="00EC26DA">
              <w:rPr>
                <w:sz w:val="28"/>
                <w:szCs w:val="28"/>
                <w:lang w:val="ro-MD"/>
              </w:rPr>
              <w:t>informaţionale</w:t>
            </w:r>
            <w:proofErr w:type="spellEnd"/>
            <w:r w:rsidRPr="00EC26DA">
              <w:rPr>
                <w:sz w:val="28"/>
                <w:szCs w:val="28"/>
                <w:lang w:val="ro-MD"/>
              </w:rPr>
              <w:t xml:space="preserve"> automatizate în domeniul jocurilor de noroc </w:t>
            </w:r>
            <w:proofErr w:type="spellStart"/>
            <w:r w:rsidRPr="00EC26DA">
              <w:rPr>
                <w:sz w:val="28"/>
                <w:szCs w:val="28"/>
                <w:lang w:val="ro-MD"/>
              </w:rPr>
              <w:t>deţinute</w:t>
            </w:r>
            <w:proofErr w:type="spellEnd"/>
            <w:r w:rsidRPr="00EC26DA">
              <w:rPr>
                <w:sz w:val="28"/>
                <w:szCs w:val="28"/>
                <w:lang w:val="ro-MD"/>
              </w:rPr>
              <w:t xml:space="preserve"> de:</w:t>
            </w:r>
          </w:p>
          <w:p w:rsidR="00F55A68" w:rsidRPr="00EC26DA" w:rsidRDefault="00F55A68" w:rsidP="00F55A68">
            <w:pPr>
              <w:widowControl w:val="0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55"/>
              </w:tabs>
              <w:spacing w:after="60"/>
              <w:ind w:firstLine="820"/>
              <w:jc w:val="both"/>
              <w:rPr>
                <w:sz w:val="28"/>
                <w:szCs w:val="28"/>
                <w:lang w:val="ro-MD"/>
              </w:rPr>
            </w:pPr>
            <w:r w:rsidRPr="00EC26DA">
              <w:rPr>
                <w:sz w:val="28"/>
                <w:szCs w:val="28"/>
                <w:lang w:val="ro-MD"/>
              </w:rPr>
              <w:t xml:space="preserve">persoanele juridice de drept privat înregistrate în modul stabilit în Republica Moldova, autorizate să organizeze </w:t>
            </w:r>
            <w:proofErr w:type="spellStart"/>
            <w:r w:rsidRPr="00EC26DA">
              <w:rPr>
                <w:sz w:val="28"/>
                <w:szCs w:val="28"/>
                <w:lang w:val="ro-MD"/>
              </w:rPr>
              <w:t>şi</w:t>
            </w:r>
            <w:proofErr w:type="spellEnd"/>
            <w:r w:rsidRPr="00EC26DA">
              <w:rPr>
                <w:sz w:val="28"/>
                <w:szCs w:val="28"/>
                <w:lang w:val="ro-MD"/>
              </w:rPr>
              <w:t xml:space="preserve"> să exploateze jocuri de noroc în cazinouri;</w:t>
            </w:r>
          </w:p>
          <w:p w:rsidR="00F55A68" w:rsidRPr="00EC26DA" w:rsidRDefault="00F55A68" w:rsidP="00F55A68">
            <w:pPr>
              <w:pStyle w:val="Bodytext120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1006"/>
              </w:tabs>
              <w:spacing w:after="60" w:line="240" w:lineRule="auto"/>
              <w:rPr>
                <w:lang w:val="ro-MD"/>
              </w:rPr>
            </w:pPr>
            <w:r w:rsidRPr="00EC26DA">
              <w:rPr>
                <w:rStyle w:val="Bodytext12NotItalic"/>
                <w:lang w:val="ro-MD"/>
              </w:rPr>
              <w:t xml:space="preserve">Societatea pe </w:t>
            </w:r>
            <w:proofErr w:type="spellStart"/>
            <w:r w:rsidRPr="00EC26DA">
              <w:rPr>
                <w:rStyle w:val="Bodytext12NotItalic"/>
                <w:lang w:val="ro-MD"/>
              </w:rPr>
              <w:t>Acţiu</w:t>
            </w:r>
            <w:r>
              <w:rPr>
                <w:rStyle w:val="Bodytext12NotItalic"/>
                <w:lang w:val="ro-MD"/>
              </w:rPr>
              <w:t>ni</w:t>
            </w:r>
            <w:proofErr w:type="spellEnd"/>
            <w:r>
              <w:rPr>
                <w:rStyle w:val="Bodytext12NotItalic"/>
                <w:lang w:val="ro-MD"/>
              </w:rPr>
              <w:t xml:space="preserve"> „Loteria </w:t>
            </w:r>
            <w:proofErr w:type="spellStart"/>
            <w:r>
              <w:rPr>
                <w:rStyle w:val="Bodytext12NotItalic"/>
                <w:lang w:val="ro-MD"/>
              </w:rPr>
              <w:t>Naţională</w:t>
            </w:r>
            <w:proofErr w:type="spellEnd"/>
            <w:r>
              <w:rPr>
                <w:rStyle w:val="Bodytext12NotItalic"/>
                <w:lang w:val="ro-MD"/>
              </w:rPr>
              <w:t xml:space="preserve"> a Moldovei</w:t>
            </w:r>
            <w:r w:rsidRPr="00EC26DA">
              <w:rPr>
                <w:rStyle w:val="Bodytext12NotItalic"/>
                <w:lang w:val="ro-MD"/>
              </w:rPr>
              <w:t xml:space="preserve">” - agent economic cu cotă integrală de stat, împuternicit să </w:t>
            </w:r>
            <w:proofErr w:type="spellStart"/>
            <w:r w:rsidRPr="00EC26DA">
              <w:rPr>
                <w:rStyle w:val="Bodytext12NotItalic"/>
                <w:lang w:val="ro-MD"/>
              </w:rPr>
              <w:t>desfăşoare</w:t>
            </w:r>
            <w:proofErr w:type="spellEnd"/>
            <w:r w:rsidRPr="00EC26DA">
              <w:rPr>
                <w:rStyle w:val="Bodytext12NotItalic"/>
                <w:lang w:val="ro-MD"/>
              </w:rPr>
              <w:t xml:space="preserve"> jocuri de noroc ce constituie monopol de stat </w:t>
            </w:r>
            <w:r w:rsidRPr="00EC26DA">
              <w:rPr>
                <w:lang w:val="ro-MD"/>
              </w:rPr>
              <w:t xml:space="preserve">(organizarea </w:t>
            </w:r>
            <w:proofErr w:type="spellStart"/>
            <w:r w:rsidRPr="00EC26DA">
              <w:rPr>
                <w:lang w:val="ro-MD"/>
              </w:rPr>
              <w:t>şi</w:t>
            </w:r>
            <w:proofErr w:type="spellEnd"/>
            <w:r w:rsidRPr="00EC26DA">
              <w:rPr>
                <w:lang w:val="ro-MD"/>
              </w:rPr>
              <w:t xml:space="preserve"> </w:t>
            </w:r>
            <w:proofErr w:type="spellStart"/>
            <w:r w:rsidRPr="00EC26DA">
              <w:rPr>
                <w:lang w:val="ro-MD"/>
              </w:rPr>
              <w:t>desfăşurarea</w:t>
            </w:r>
            <w:proofErr w:type="spellEnd"/>
            <w:r w:rsidRPr="00EC26DA">
              <w:rPr>
                <w:lang w:val="ro-MD"/>
              </w:rPr>
              <w:t xml:space="preserve"> loteriilor</w:t>
            </w:r>
            <w:r w:rsidRPr="00EC26DA">
              <w:rPr>
                <w:rStyle w:val="Bodytext12NotItalic"/>
                <w:lang w:val="ro-MD"/>
              </w:rPr>
              <w:t xml:space="preserve">; </w:t>
            </w:r>
            <w:r w:rsidRPr="00EC26DA">
              <w:rPr>
                <w:lang w:val="ro-MD"/>
              </w:rPr>
              <w:t xml:space="preserve">organizarea </w:t>
            </w:r>
            <w:proofErr w:type="spellStart"/>
            <w:r w:rsidRPr="00EC26DA">
              <w:rPr>
                <w:lang w:val="ro-MD"/>
              </w:rPr>
              <w:t>funcţionării</w:t>
            </w:r>
            <w:proofErr w:type="spellEnd"/>
            <w:r w:rsidRPr="00EC26DA">
              <w:rPr>
                <w:lang w:val="ro-MD"/>
              </w:rPr>
              <w:t xml:space="preserve"> sălilor cu automate de joc cu </w:t>
            </w:r>
            <w:proofErr w:type="spellStart"/>
            <w:r w:rsidRPr="00EC26DA">
              <w:rPr>
                <w:lang w:val="ro-MD"/>
              </w:rPr>
              <w:t>câştiguri</w:t>
            </w:r>
            <w:proofErr w:type="spellEnd"/>
            <w:r w:rsidRPr="00EC26DA">
              <w:rPr>
                <w:lang w:val="ro-MD"/>
              </w:rPr>
              <w:t xml:space="preserve"> </w:t>
            </w:r>
            <w:proofErr w:type="spellStart"/>
            <w:r w:rsidRPr="00EC26DA">
              <w:rPr>
                <w:lang w:val="ro-MD"/>
              </w:rPr>
              <w:t>băneşti</w:t>
            </w:r>
            <w:proofErr w:type="spellEnd"/>
            <w:r w:rsidRPr="00EC26DA">
              <w:rPr>
                <w:rStyle w:val="Bodytext12NotItalic"/>
                <w:lang w:val="ro-MD"/>
              </w:rPr>
              <w:t xml:space="preserve">, </w:t>
            </w:r>
            <w:r w:rsidRPr="00EC26DA">
              <w:rPr>
                <w:lang w:val="ro-MD"/>
              </w:rPr>
              <w:t xml:space="preserve">organizarea </w:t>
            </w:r>
            <w:proofErr w:type="spellStart"/>
            <w:r w:rsidRPr="00EC26DA">
              <w:rPr>
                <w:lang w:val="ro-MD"/>
              </w:rPr>
              <w:t>şi</w:t>
            </w:r>
            <w:proofErr w:type="spellEnd"/>
            <w:r w:rsidRPr="00EC26DA">
              <w:rPr>
                <w:lang w:val="ro-MD"/>
              </w:rPr>
              <w:t xml:space="preserve"> </w:t>
            </w:r>
            <w:proofErr w:type="spellStart"/>
            <w:r w:rsidRPr="00EC26DA">
              <w:rPr>
                <w:lang w:val="ro-MD"/>
              </w:rPr>
              <w:t>desfăşurarea</w:t>
            </w:r>
            <w:proofErr w:type="spellEnd"/>
            <w:r w:rsidRPr="00EC26DA">
              <w:rPr>
                <w:lang w:val="ro-MD"/>
              </w:rPr>
              <w:t xml:space="preserve"> pariurilor pentru </w:t>
            </w:r>
            <w:proofErr w:type="spellStart"/>
            <w:r w:rsidRPr="00EC26DA">
              <w:rPr>
                <w:lang w:val="ro-MD"/>
              </w:rPr>
              <w:t>competiţiile</w:t>
            </w:r>
            <w:proofErr w:type="spellEnd"/>
            <w:r w:rsidRPr="00EC26DA">
              <w:rPr>
                <w:lang w:val="ro-MD"/>
              </w:rPr>
              <w:t>/ evenimentele sportive</w:t>
            </w:r>
            <w:r w:rsidRPr="00EC26DA">
              <w:rPr>
                <w:rStyle w:val="Bodytext12NotItalic"/>
                <w:lang w:val="ro-MD"/>
              </w:rPr>
              <w:t xml:space="preserve">, </w:t>
            </w:r>
            <w:r w:rsidRPr="00EC26DA">
              <w:rPr>
                <w:lang w:val="ro-MD"/>
              </w:rPr>
              <w:t xml:space="preserve">organizarea jocurilor de noroc prin intermediul </w:t>
            </w:r>
            <w:proofErr w:type="spellStart"/>
            <w:r w:rsidRPr="00EC26DA">
              <w:rPr>
                <w:lang w:val="ro-MD"/>
              </w:rPr>
              <w:t>reţele</w:t>
            </w:r>
            <w:r>
              <w:rPr>
                <w:lang w:val="ro-MD"/>
              </w:rPr>
              <w:t>lor</w:t>
            </w:r>
            <w:proofErr w:type="spellEnd"/>
            <w:r>
              <w:rPr>
                <w:lang w:val="ro-MD"/>
              </w:rPr>
              <w:t xml:space="preserve"> de </w:t>
            </w:r>
            <w:proofErr w:type="spellStart"/>
            <w:r>
              <w:rPr>
                <w:lang w:val="ro-MD"/>
              </w:rPr>
              <w:t>comunicaţii</w:t>
            </w:r>
            <w:proofErr w:type="spellEnd"/>
            <w:r>
              <w:rPr>
                <w:lang w:val="ro-MD"/>
              </w:rPr>
              <w:t xml:space="preserve"> electronice);</w:t>
            </w:r>
          </w:p>
          <w:p w:rsidR="00F55A68" w:rsidRPr="00125382" w:rsidRDefault="00F55A68" w:rsidP="00125382">
            <w:pPr>
              <w:widowControl w:val="0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59"/>
              </w:tabs>
              <w:spacing w:after="60"/>
              <w:ind w:firstLine="820"/>
              <w:jc w:val="both"/>
              <w:rPr>
                <w:sz w:val="28"/>
                <w:szCs w:val="28"/>
                <w:lang w:val="ro-MD"/>
              </w:rPr>
            </w:pPr>
            <w:proofErr w:type="spellStart"/>
            <w:r w:rsidRPr="00EC26DA">
              <w:rPr>
                <w:sz w:val="28"/>
                <w:szCs w:val="28"/>
                <w:lang w:val="ro-MD"/>
              </w:rPr>
              <w:t>Instituţia</w:t>
            </w:r>
            <w:proofErr w:type="spellEnd"/>
            <w:r w:rsidRPr="00EC26DA">
              <w:rPr>
                <w:sz w:val="28"/>
                <w:szCs w:val="28"/>
                <w:lang w:val="ro-MD"/>
              </w:rPr>
              <w:t xml:space="preserve"> Publică „</w:t>
            </w:r>
            <w:proofErr w:type="spellStart"/>
            <w:r w:rsidRPr="00EC26DA">
              <w:rPr>
                <w:sz w:val="28"/>
                <w:szCs w:val="28"/>
                <w:lang w:val="ro-MD"/>
              </w:rPr>
              <w:t>Agenţia</w:t>
            </w:r>
            <w:proofErr w:type="spellEnd"/>
            <w:r w:rsidRPr="00EC26DA">
              <w:rPr>
                <w:sz w:val="28"/>
                <w:szCs w:val="28"/>
                <w:lang w:val="ro-MD"/>
              </w:rPr>
              <w:t xml:space="preserve"> Servicii Publice” (SI „Registrul unic al jocurilor de noroc”).</w:t>
            </w:r>
          </w:p>
        </w:tc>
      </w:tr>
      <w:tr w:rsidR="00285418" w:rsidRPr="001806F8" w:rsidTr="00B901F5">
        <w:tc>
          <w:tcPr>
            <w:tcW w:w="10258" w:type="dxa"/>
            <w:shd w:val="clear" w:color="auto" w:fill="BFBFBF"/>
          </w:tcPr>
          <w:p w:rsidR="00285418" w:rsidRPr="001806F8" w:rsidRDefault="00285418" w:rsidP="00B901F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709"/>
              <w:rPr>
                <w:b/>
                <w:sz w:val="28"/>
                <w:szCs w:val="28"/>
              </w:rPr>
            </w:pPr>
            <w:proofErr w:type="spellStart"/>
            <w:r w:rsidRPr="001806F8">
              <w:rPr>
                <w:b/>
                <w:sz w:val="28"/>
                <w:szCs w:val="28"/>
              </w:rPr>
              <w:t>Descrierea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gradului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de </w:t>
            </w:r>
            <w:proofErr w:type="spellStart"/>
            <w:r w:rsidRPr="001806F8">
              <w:rPr>
                <w:b/>
                <w:sz w:val="28"/>
                <w:szCs w:val="28"/>
              </w:rPr>
              <w:t>compatibilitate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a </w:t>
            </w:r>
            <w:proofErr w:type="spellStart"/>
            <w:r w:rsidRPr="001806F8">
              <w:rPr>
                <w:b/>
                <w:sz w:val="28"/>
                <w:szCs w:val="28"/>
              </w:rPr>
              <w:t>prevederilor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proiectului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cu </w:t>
            </w:r>
            <w:proofErr w:type="spellStart"/>
            <w:r w:rsidRPr="001806F8">
              <w:rPr>
                <w:b/>
                <w:sz w:val="28"/>
                <w:szCs w:val="28"/>
              </w:rPr>
              <w:t>legislația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Uniunii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Europene</w:t>
            </w:r>
            <w:proofErr w:type="spellEnd"/>
          </w:p>
        </w:tc>
      </w:tr>
      <w:tr w:rsidR="00285418" w:rsidRPr="001806F8" w:rsidTr="00B901F5">
        <w:tc>
          <w:tcPr>
            <w:tcW w:w="10258" w:type="dxa"/>
          </w:tcPr>
          <w:p w:rsidR="00285418" w:rsidRPr="001806F8" w:rsidRDefault="00285418" w:rsidP="00B901F5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1806F8">
              <w:rPr>
                <w:sz w:val="28"/>
                <w:szCs w:val="28"/>
                <w:lang w:eastAsia="ru-RU"/>
              </w:rPr>
              <w:t>Prezentul proiect de act normativ nu contravine legislației Uniunii Europene.</w:t>
            </w:r>
          </w:p>
        </w:tc>
      </w:tr>
      <w:tr w:rsidR="00285418" w:rsidRPr="001806F8" w:rsidTr="00B901F5">
        <w:tc>
          <w:tcPr>
            <w:tcW w:w="10258" w:type="dxa"/>
            <w:shd w:val="clear" w:color="auto" w:fill="BFBFBF"/>
            <w:vAlign w:val="center"/>
          </w:tcPr>
          <w:p w:rsidR="00285418" w:rsidRPr="001806F8" w:rsidRDefault="00285418" w:rsidP="00B901F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709"/>
              <w:rPr>
                <w:sz w:val="28"/>
                <w:szCs w:val="28"/>
              </w:rPr>
            </w:pPr>
            <w:proofErr w:type="spellStart"/>
            <w:r w:rsidRPr="001806F8">
              <w:rPr>
                <w:b/>
                <w:sz w:val="28"/>
                <w:szCs w:val="28"/>
              </w:rPr>
              <w:t>Fundamentarea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economico-financiară</w:t>
            </w:r>
            <w:proofErr w:type="spellEnd"/>
          </w:p>
        </w:tc>
      </w:tr>
      <w:tr w:rsidR="00285418" w:rsidRPr="001806F8" w:rsidTr="00B901F5">
        <w:tc>
          <w:tcPr>
            <w:tcW w:w="10258" w:type="dxa"/>
          </w:tcPr>
          <w:p w:rsidR="00285418" w:rsidRPr="001806F8" w:rsidRDefault="00285418" w:rsidP="00B901F5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1806F8">
              <w:rPr>
                <w:color w:val="000000"/>
                <w:sz w:val="28"/>
                <w:szCs w:val="28"/>
                <w:lang w:eastAsia="ro-RO"/>
              </w:rPr>
              <w:t xml:space="preserve">Aprobarea prezentului proiect de </w:t>
            </w:r>
            <w:proofErr w:type="spellStart"/>
            <w:r w:rsidRPr="001806F8">
              <w:rPr>
                <w:color w:val="000000"/>
                <w:sz w:val="28"/>
                <w:szCs w:val="28"/>
                <w:lang w:eastAsia="ro-RO"/>
              </w:rPr>
              <w:t>hotărîre</w:t>
            </w:r>
            <w:proofErr w:type="spellEnd"/>
            <w:r w:rsidRPr="001806F8">
              <w:rPr>
                <w:color w:val="000000"/>
                <w:sz w:val="28"/>
                <w:szCs w:val="28"/>
                <w:lang w:eastAsia="ro-RO"/>
              </w:rPr>
              <w:t xml:space="preserve"> nu implică cheltuieli bugetare suplimentare.</w:t>
            </w:r>
          </w:p>
        </w:tc>
      </w:tr>
      <w:tr w:rsidR="00285418" w:rsidRPr="001806F8" w:rsidTr="00B901F5">
        <w:tc>
          <w:tcPr>
            <w:tcW w:w="10258" w:type="dxa"/>
            <w:shd w:val="clear" w:color="auto" w:fill="BFBFBF"/>
            <w:vAlign w:val="center"/>
          </w:tcPr>
          <w:p w:rsidR="00285418" w:rsidRPr="001806F8" w:rsidRDefault="00285418" w:rsidP="00B901F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709"/>
              <w:rPr>
                <w:b/>
                <w:sz w:val="28"/>
                <w:szCs w:val="28"/>
              </w:rPr>
            </w:pPr>
            <w:proofErr w:type="spellStart"/>
            <w:r w:rsidRPr="001806F8">
              <w:rPr>
                <w:b/>
                <w:sz w:val="28"/>
                <w:szCs w:val="28"/>
              </w:rPr>
              <w:t>Transparența</w:t>
            </w:r>
            <w:proofErr w:type="spellEnd"/>
            <w:r w:rsidRPr="00180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6F8">
              <w:rPr>
                <w:b/>
                <w:sz w:val="28"/>
                <w:szCs w:val="28"/>
              </w:rPr>
              <w:t>decizională</w:t>
            </w:r>
            <w:proofErr w:type="spellEnd"/>
          </w:p>
        </w:tc>
      </w:tr>
      <w:tr w:rsidR="00285418" w:rsidRPr="001806F8" w:rsidTr="00B901F5">
        <w:tc>
          <w:tcPr>
            <w:tcW w:w="10258" w:type="dxa"/>
          </w:tcPr>
          <w:p w:rsidR="00285418" w:rsidRPr="001806F8" w:rsidRDefault="00285418" w:rsidP="00B901F5">
            <w:pPr>
              <w:ind w:firstLine="709"/>
              <w:jc w:val="both"/>
              <w:rPr>
                <w:i/>
                <w:sz w:val="28"/>
                <w:szCs w:val="28"/>
                <w:lang w:eastAsia="ru-RU"/>
              </w:rPr>
            </w:pPr>
            <w:r w:rsidRPr="001806F8">
              <w:rPr>
                <w:sz w:val="28"/>
                <w:szCs w:val="28"/>
                <w:lang w:eastAsia="ru-RU"/>
              </w:rPr>
              <w:t xml:space="preserve">În scopul respectării prevederilor Legii nr. 239 din 13 noiembrie 2008 privind transparența în procesul decizional, proiectul Hotărârii de Guvern a fost plasat pe pagina </w:t>
            </w:r>
            <w:hyperlink r:id="rId5" w:history="1">
              <w:r w:rsidRPr="001D2DF8">
                <w:rPr>
                  <w:rStyle w:val="a5"/>
                  <w:sz w:val="28"/>
                  <w:szCs w:val="28"/>
                  <w:lang w:eastAsia="ru-RU"/>
                </w:rPr>
                <w:t>www.particip.gov.md</w:t>
              </w:r>
            </w:hyperlink>
            <w:r>
              <w:rPr>
                <w:sz w:val="28"/>
                <w:szCs w:val="28"/>
                <w:lang w:eastAsia="ru-RU"/>
              </w:rPr>
              <w:t xml:space="preserve"> și pagina </w:t>
            </w:r>
            <w:r w:rsidRPr="001806F8">
              <w:rPr>
                <w:sz w:val="28"/>
                <w:szCs w:val="28"/>
                <w:lang w:eastAsia="ru-RU"/>
              </w:rPr>
              <w:t xml:space="preserve">web oficială a Ministerului Finanțelor www.mf.gov.md, compartimentul </w:t>
            </w:r>
            <w:r w:rsidRPr="001806F8">
              <w:rPr>
                <w:i/>
                <w:sz w:val="28"/>
                <w:szCs w:val="28"/>
                <w:lang w:eastAsia="ru-RU"/>
              </w:rPr>
              <w:t xml:space="preserve">Transparența decizională, </w:t>
            </w:r>
            <w:r w:rsidRPr="001806F8">
              <w:rPr>
                <w:sz w:val="28"/>
                <w:szCs w:val="28"/>
                <w:lang w:eastAsia="ru-RU"/>
              </w:rPr>
              <w:t xml:space="preserve">directoriul </w:t>
            </w:r>
            <w:r w:rsidRPr="001806F8">
              <w:rPr>
                <w:i/>
                <w:sz w:val="28"/>
                <w:szCs w:val="28"/>
                <w:lang w:eastAsia="ru-RU"/>
              </w:rPr>
              <w:t>Procesul decizional.</w:t>
            </w:r>
          </w:p>
        </w:tc>
      </w:tr>
    </w:tbl>
    <w:p w:rsidR="00285418" w:rsidRPr="001806F8" w:rsidRDefault="00285418" w:rsidP="00F70E65">
      <w:pPr>
        <w:spacing w:line="276" w:lineRule="auto"/>
        <w:jc w:val="both"/>
        <w:rPr>
          <w:b/>
          <w:sz w:val="28"/>
          <w:szCs w:val="28"/>
          <w:lang w:eastAsia="ru-RU"/>
        </w:rPr>
      </w:pPr>
    </w:p>
    <w:p w:rsidR="00183B5C" w:rsidRDefault="00F70E65" w:rsidP="004A5265">
      <w:pPr>
        <w:jc w:val="both"/>
      </w:pPr>
      <w:r>
        <w:rPr>
          <w:b/>
          <w:sz w:val="28"/>
          <w:szCs w:val="28"/>
          <w:lang w:eastAsia="ru-RU"/>
        </w:rPr>
        <w:t xml:space="preserve">Ministru                          (semnat electronic)       </w:t>
      </w:r>
      <w:r w:rsidR="004A5265">
        <w:rPr>
          <w:b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>
        <w:rPr>
          <w:b/>
          <w:sz w:val="28"/>
          <w:szCs w:val="28"/>
          <w:lang w:eastAsia="ru-RU"/>
        </w:rPr>
        <w:t xml:space="preserve"> Octavian </w:t>
      </w:r>
      <w:proofErr w:type="spellStart"/>
      <w:r>
        <w:rPr>
          <w:b/>
          <w:sz w:val="28"/>
          <w:szCs w:val="28"/>
          <w:lang w:eastAsia="ru-RU"/>
        </w:rPr>
        <w:t>Armașu</w:t>
      </w:r>
      <w:proofErr w:type="spellEnd"/>
    </w:p>
    <w:sectPr w:rsidR="00183B5C" w:rsidSect="00A6474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6EFA"/>
    <w:multiLevelType w:val="hybridMultilevel"/>
    <w:tmpl w:val="B532E068"/>
    <w:lvl w:ilvl="0" w:tplc="AC06FC6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0A93732"/>
    <w:multiLevelType w:val="multilevel"/>
    <w:tmpl w:val="90D24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C3"/>
    <w:rsid w:val="00125382"/>
    <w:rsid w:val="0016158D"/>
    <w:rsid w:val="00183B5C"/>
    <w:rsid w:val="0026536D"/>
    <w:rsid w:val="00285418"/>
    <w:rsid w:val="0042405B"/>
    <w:rsid w:val="004A5265"/>
    <w:rsid w:val="00A44FC3"/>
    <w:rsid w:val="00DE1826"/>
    <w:rsid w:val="00DF1689"/>
    <w:rsid w:val="00E032E4"/>
    <w:rsid w:val="00E21991"/>
    <w:rsid w:val="00F55A68"/>
    <w:rsid w:val="00F7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C414"/>
  <w15:chartTrackingRefBased/>
  <w15:docId w15:val="{377A90D1-696B-470B-BE66-16710955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85418"/>
    <w:pPr>
      <w:ind w:left="720"/>
      <w:contextualSpacing/>
    </w:pPr>
    <w:rPr>
      <w:szCs w:val="20"/>
      <w:lang w:val="en-US" w:eastAsia="ru-RU"/>
    </w:rPr>
  </w:style>
  <w:style w:type="character" w:customStyle="1" w:styleId="a4">
    <w:name w:val="Абзац списка Знак"/>
    <w:link w:val="a3"/>
    <w:uiPriority w:val="99"/>
    <w:locked/>
    <w:rsid w:val="002854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285418"/>
    <w:rPr>
      <w:rFonts w:cs="Times New Roman"/>
      <w:color w:val="0000FF"/>
      <w:u w:val="single"/>
    </w:rPr>
  </w:style>
  <w:style w:type="character" w:customStyle="1" w:styleId="Bodytext12">
    <w:name w:val="Body text (12)_"/>
    <w:basedOn w:val="a0"/>
    <w:link w:val="Bodytext120"/>
    <w:rsid w:val="00F55A6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12NotItalic">
    <w:name w:val="Body text (12) + Not Italic"/>
    <w:basedOn w:val="Bodytext12"/>
    <w:rsid w:val="00F55A68"/>
    <w:rPr>
      <w:rFonts w:ascii="Times New Roman" w:eastAsia="Times New Roman" w:hAnsi="Times New Roman" w:cs="Times New Roman"/>
      <w:i/>
      <w:iCs/>
      <w:color w:val="000000"/>
      <w:w w:val="100"/>
      <w:position w:val="0"/>
      <w:sz w:val="28"/>
      <w:szCs w:val="28"/>
      <w:shd w:val="clear" w:color="auto" w:fill="FFFFFF"/>
      <w:lang w:val="ro-RO" w:eastAsia="ro-RO" w:bidi="ro-RO"/>
    </w:rPr>
  </w:style>
  <w:style w:type="paragraph" w:customStyle="1" w:styleId="Bodytext120">
    <w:name w:val="Body text (12)"/>
    <w:basedOn w:val="a"/>
    <w:link w:val="Bodytext12"/>
    <w:rsid w:val="00F55A68"/>
    <w:pPr>
      <w:widowControl w:val="0"/>
      <w:shd w:val="clear" w:color="auto" w:fill="FFFFFF"/>
      <w:spacing w:line="320" w:lineRule="exact"/>
      <w:ind w:firstLine="820"/>
      <w:jc w:val="both"/>
    </w:pPr>
    <w:rPr>
      <w:i/>
      <w:iCs/>
      <w:sz w:val="28"/>
      <w:szCs w:val="28"/>
      <w:lang w:val="en-US"/>
    </w:rPr>
  </w:style>
  <w:style w:type="character" w:customStyle="1" w:styleId="Bodytext11">
    <w:name w:val="Body text (11)_"/>
    <w:basedOn w:val="a0"/>
    <w:link w:val="Bodytext110"/>
    <w:rsid w:val="00DE18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DE1826"/>
    <w:pPr>
      <w:widowControl w:val="0"/>
      <w:shd w:val="clear" w:color="auto" w:fill="FFFFFF"/>
      <w:spacing w:before="60" w:after="300" w:line="0" w:lineRule="atLeast"/>
      <w:ind w:hanging="380"/>
    </w:pPr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ticip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Balan</dc:creator>
  <cp:keywords/>
  <dc:description/>
  <cp:lastModifiedBy>Andrei Balan</cp:lastModifiedBy>
  <cp:revision>11</cp:revision>
  <dcterms:created xsi:type="dcterms:W3CDTF">2018-11-07T08:14:00Z</dcterms:created>
  <dcterms:modified xsi:type="dcterms:W3CDTF">2018-11-07T12:28:00Z</dcterms:modified>
</cp:coreProperties>
</file>