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0A" w:rsidRPr="000149B3" w:rsidRDefault="0027042A" w:rsidP="0035454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NOTA</w:t>
      </w:r>
      <w:r w:rsidR="00D1280A" w:rsidRPr="000149B3">
        <w:rPr>
          <w:rFonts w:ascii="Times New Roman" w:hAnsi="Times New Roman" w:cs="Times New Roman"/>
          <w:b/>
          <w:sz w:val="28"/>
          <w:szCs w:val="28"/>
        </w:rPr>
        <w:t xml:space="preserve"> INFORMATIVĂ</w:t>
      </w:r>
    </w:p>
    <w:p w:rsidR="0027042A" w:rsidRPr="001C5CDD" w:rsidRDefault="0027042A" w:rsidP="0027042A">
      <w:pPr>
        <w:spacing w:after="0"/>
        <w:jc w:val="center"/>
        <w:rPr>
          <w:rFonts w:ascii="Times New Roman" w:hAnsi="Times New Roman" w:cs="Times New Roman"/>
          <w:b/>
          <w:sz w:val="28"/>
          <w:szCs w:val="28"/>
          <w:lang w:val="ro-MO"/>
        </w:rPr>
      </w:pPr>
      <w:r w:rsidRPr="001C5CDD">
        <w:rPr>
          <w:rFonts w:ascii="Times New Roman" w:hAnsi="Times New Roman" w:cs="Times New Roman"/>
          <w:b/>
          <w:sz w:val="28"/>
          <w:szCs w:val="28"/>
        </w:rPr>
        <w:t xml:space="preserve">la proiectul </w:t>
      </w:r>
      <w:r w:rsidR="00F7151F">
        <w:rPr>
          <w:rFonts w:ascii="Times New Roman" w:hAnsi="Times New Roman" w:cs="Times New Roman"/>
          <w:b/>
          <w:sz w:val="28"/>
          <w:szCs w:val="28"/>
        </w:rPr>
        <w:t>de hotărâ</w:t>
      </w:r>
      <w:r w:rsidR="00D1280A" w:rsidRPr="001C5CDD">
        <w:rPr>
          <w:rFonts w:ascii="Times New Roman" w:hAnsi="Times New Roman" w:cs="Times New Roman"/>
          <w:b/>
          <w:sz w:val="28"/>
          <w:szCs w:val="28"/>
        </w:rPr>
        <w:t>r</w:t>
      </w:r>
      <w:r w:rsidR="00F7151F">
        <w:rPr>
          <w:rFonts w:ascii="Times New Roman" w:hAnsi="Times New Roman" w:cs="Times New Roman"/>
          <w:b/>
          <w:sz w:val="28"/>
          <w:szCs w:val="28"/>
        </w:rPr>
        <w:t>e a</w:t>
      </w:r>
      <w:r w:rsidR="00D1280A" w:rsidRPr="001C5CDD">
        <w:rPr>
          <w:rFonts w:ascii="Times New Roman" w:hAnsi="Times New Roman" w:cs="Times New Roman"/>
          <w:b/>
          <w:sz w:val="28"/>
          <w:szCs w:val="28"/>
        </w:rPr>
        <w:t xml:space="preserve"> </w:t>
      </w:r>
      <w:r w:rsidRPr="001C5CDD">
        <w:rPr>
          <w:rFonts w:ascii="Times New Roman" w:hAnsi="Times New Roman" w:cs="Times New Roman"/>
          <w:b/>
          <w:sz w:val="28"/>
          <w:szCs w:val="28"/>
        </w:rPr>
        <w:t xml:space="preserve">Guvernului </w:t>
      </w:r>
      <w:r w:rsidRPr="001C5CDD">
        <w:rPr>
          <w:rFonts w:ascii="Times New Roman" w:hAnsi="Times New Roman" w:cs="Times New Roman"/>
          <w:b/>
          <w:sz w:val="28"/>
          <w:szCs w:val="28"/>
          <w:lang w:val="ro-MO"/>
        </w:rPr>
        <w:t>pentru modificarea unor hotăr</w:t>
      </w:r>
      <w:r w:rsidR="00330580">
        <w:rPr>
          <w:rFonts w:ascii="Times New Roman" w:hAnsi="Times New Roman" w:cs="Times New Roman"/>
          <w:b/>
          <w:sz w:val="28"/>
          <w:szCs w:val="28"/>
          <w:lang w:val="ro-MO"/>
        </w:rPr>
        <w:t>â</w:t>
      </w:r>
      <w:r w:rsidRPr="001C5CDD">
        <w:rPr>
          <w:rFonts w:ascii="Times New Roman" w:hAnsi="Times New Roman" w:cs="Times New Roman"/>
          <w:b/>
          <w:sz w:val="28"/>
          <w:szCs w:val="28"/>
          <w:lang w:val="ro-MO"/>
        </w:rPr>
        <w:t>ri ale Guvernului şi abrogarea unei hotăr</w:t>
      </w:r>
      <w:r w:rsidR="00F7151F">
        <w:rPr>
          <w:rFonts w:ascii="Times New Roman" w:hAnsi="Times New Roman" w:cs="Times New Roman"/>
          <w:b/>
          <w:sz w:val="28"/>
          <w:szCs w:val="28"/>
          <w:lang w:val="ro-MO"/>
        </w:rPr>
        <w:t>â</w:t>
      </w:r>
      <w:r w:rsidRPr="001C5CDD">
        <w:rPr>
          <w:rFonts w:ascii="Times New Roman" w:hAnsi="Times New Roman" w:cs="Times New Roman"/>
          <w:b/>
          <w:sz w:val="28"/>
          <w:szCs w:val="28"/>
          <w:lang w:val="ro-MO"/>
        </w:rPr>
        <w:t>ri de Guvern</w:t>
      </w:r>
    </w:p>
    <w:p w:rsidR="006C6201" w:rsidRPr="0027042A" w:rsidRDefault="006C6201" w:rsidP="0027042A">
      <w:pPr>
        <w:spacing w:after="0" w:line="240" w:lineRule="auto"/>
        <w:jc w:val="center"/>
        <w:rPr>
          <w:rFonts w:ascii="Times New Roman" w:hAnsi="Times New Roman" w:cs="Times New Roman"/>
          <w:b/>
          <w:sz w:val="16"/>
          <w:szCs w:val="16"/>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004B19" w:rsidRPr="000149B3" w:rsidTr="00290ABF">
        <w:tc>
          <w:tcPr>
            <w:tcW w:w="5000" w:type="pct"/>
          </w:tcPr>
          <w:p w:rsidR="00004B19" w:rsidRPr="000149B3" w:rsidRDefault="00004B19" w:rsidP="00290ABF">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 xml:space="preserve"> Denumirea autorului şi, după caz, a participanţilor la elaborarea proiectului</w:t>
            </w:r>
          </w:p>
        </w:tc>
      </w:tr>
      <w:tr w:rsidR="00004B19" w:rsidRPr="00760684" w:rsidTr="00290ABF">
        <w:tc>
          <w:tcPr>
            <w:tcW w:w="5000" w:type="pct"/>
          </w:tcPr>
          <w:p w:rsidR="00004B19" w:rsidRPr="00760684" w:rsidRDefault="00EB31B6" w:rsidP="00EB31B6">
            <w:pPr>
              <w:spacing w:after="0" w:line="240" w:lineRule="auto"/>
              <w:jc w:val="both"/>
              <w:rPr>
                <w:rFonts w:ascii="Times New Roman" w:hAnsi="Times New Roman" w:cs="Times New Roman"/>
                <w:sz w:val="26"/>
                <w:szCs w:val="26"/>
                <w:lang w:val="ro-MO"/>
              </w:rPr>
            </w:pPr>
            <w:r w:rsidRPr="00760684">
              <w:rPr>
                <w:rFonts w:ascii="Times New Roman" w:hAnsi="Times New Roman" w:cs="Times New Roman"/>
                <w:sz w:val="26"/>
                <w:szCs w:val="26"/>
                <w:lang w:val="ro-MO"/>
              </w:rPr>
              <w:tab/>
            </w:r>
            <w:r w:rsidR="00381475" w:rsidRPr="00760684">
              <w:rPr>
                <w:rFonts w:ascii="Times New Roman" w:hAnsi="Times New Roman" w:cs="Times New Roman"/>
                <w:sz w:val="26"/>
                <w:szCs w:val="26"/>
                <w:lang w:val="ro-MO"/>
              </w:rPr>
              <w:t>Proiectul a fost elaborat de Ministerul Afacerilor Interne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2. Condiţiile ce au impus elaborarea proiectului de act normativ şi finalităţile urmărite</w:t>
            </w:r>
          </w:p>
        </w:tc>
      </w:tr>
      <w:tr w:rsidR="00004B19" w:rsidRPr="00760684" w:rsidTr="00290ABF">
        <w:tc>
          <w:tcPr>
            <w:tcW w:w="5000" w:type="pct"/>
          </w:tcPr>
          <w:p w:rsidR="004171E9" w:rsidRPr="00760684" w:rsidRDefault="00381475" w:rsidP="00381475">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La 12 martie 2018, prin Hotărârea Guvernului nr. 219 cu privire la Agenţia Rezerve Materiale, Agenţia a fost reorganizată, prin transformare din autoritate administrativă centrală din subordinea Guvernului, în autoritate administrativă în subordinea Ministerului Afacerilor Interne. </w:t>
            </w:r>
          </w:p>
          <w:p w:rsidR="00381475" w:rsidRPr="00760684" w:rsidRDefault="004171E9" w:rsidP="00381475">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r>
            <w:r w:rsidR="00381475" w:rsidRPr="00760684">
              <w:rPr>
                <w:rFonts w:ascii="Times New Roman" w:hAnsi="Times New Roman" w:cs="Times New Roman"/>
                <w:sz w:val="26"/>
                <w:szCs w:val="26"/>
              </w:rPr>
              <w:t>Recent, la 3 octombrie 2018, prin Hotărârea nr. 946 cu privire la organizarea şi funcţionarea Agenţiei Rezerve Materiale, Guvernul a aprobat Regulamentul, structura şi efectivul-limită al Agenţiei Rezerve Materiale.</w:t>
            </w:r>
          </w:p>
          <w:p w:rsidR="00004B19" w:rsidRPr="00760684" w:rsidRDefault="00381475" w:rsidP="00381475">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r>
            <w:r w:rsidR="004171E9" w:rsidRPr="00760684">
              <w:rPr>
                <w:rFonts w:ascii="Times New Roman" w:hAnsi="Times New Roman" w:cs="Times New Roman"/>
                <w:sz w:val="26"/>
                <w:szCs w:val="26"/>
              </w:rPr>
              <w:t>Prin</w:t>
            </w:r>
            <w:r w:rsidRPr="00760684">
              <w:rPr>
                <w:rFonts w:ascii="Times New Roman" w:hAnsi="Times New Roman" w:cs="Times New Roman"/>
                <w:sz w:val="26"/>
                <w:szCs w:val="26"/>
              </w:rPr>
              <w:t xml:space="preserve"> urmare, a apărut necesitatea de a ajusta unele acte normative ce reglementează activitatea în domeniul rezervelor materiale de stat şi de mobilizare.</w:t>
            </w:r>
          </w:p>
          <w:p w:rsidR="00FD711A" w:rsidRPr="00760684" w:rsidRDefault="00FD711A" w:rsidP="00381475">
            <w:pPr>
              <w:spacing w:after="0" w:line="240" w:lineRule="auto"/>
              <w:jc w:val="both"/>
              <w:rPr>
                <w:rFonts w:ascii="Times New Roman" w:hAnsi="Times New Roman" w:cs="Times New Roman"/>
                <w:sz w:val="26"/>
                <w:szCs w:val="26"/>
              </w:rPr>
            </w:pP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3. Descrierea gradului de compatibilitate pentru proiectele care au ca scop armonizarea legislaţiei naţionale cu legislaţia Uniunii Europene</w:t>
            </w:r>
          </w:p>
        </w:tc>
      </w:tr>
      <w:tr w:rsidR="00004B19" w:rsidRPr="000149B3" w:rsidTr="00290ABF">
        <w:tc>
          <w:tcPr>
            <w:tcW w:w="5000" w:type="pct"/>
          </w:tcPr>
          <w:p w:rsidR="00004B19" w:rsidRPr="000149B3" w:rsidRDefault="00E74D06" w:rsidP="00E74D06">
            <w:pPr>
              <w:tabs>
                <w:tab w:val="left" w:pos="-1134"/>
              </w:tabs>
              <w:spacing w:after="0" w:line="240" w:lineRule="auto"/>
              <w:jc w:val="both"/>
              <w:rPr>
                <w:rFonts w:ascii="Times New Roman" w:hAnsi="Times New Roman" w:cs="Times New Roman"/>
                <w:sz w:val="28"/>
                <w:szCs w:val="28"/>
                <w:lang w:val="ro-MO"/>
              </w:rPr>
            </w:pPr>
            <w:r w:rsidRPr="000149B3">
              <w:rPr>
                <w:rFonts w:ascii="Times New Roman" w:hAnsi="Times New Roman" w:cs="Times New Roman"/>
                <w:sz w:val="28"/>
                <w:szCs w:val="28"/>
                <w:lang w:val="ro-MO"/>
              </w:rPr>
              <w:tab/>
            </w:r>
            <w:r w:rsidR="00EF43D9" w:rsidRPr="000149B3">
              <w:rPr>
                <w:rFonts w:ascii="Times New Roman" w:hAnsi="Times New Roman" w:cs="Times New Roman"/>
                <w:sz w:val="28"/>
                <w:szCs w:val="28"/>
                <w:lang w:val="ro-MO"/>
              </w:rPr>
              <w:t>Proiectul nu are ca scop armonizarea legislației naționale cu legislaţia Uniunii Europene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4. Principalele prevederi ale proiectului şi evidenţierea elementelor noi</w:t>
            </w:r>
          </w:p>
        </w:tc>
      </w:tr>
      <w:tr w:rsidR="00004B19" w:rsidRPr="00760684" w:rsidTr="00290ABF">
        <w:tc>
          <w:tcPr>
            <w:tcW w:w="5000" w:type="pct"/>
          </w:tcPr>
          <w:p w:rsidR="0062206A" w:rsidRPr="00760684" w:rsidRDefault="0062206A"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Proiectul iniţiat de Ministerul Afacerilor Interne propune modificarea unor hotărâri ale Guvernului şi anume:</w:t>
            </w:r>
          </w:p>
          <w:p w:rsidR="0062206A" w:rsidRPr="00760684" w:rsidRDefault="0062206A"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 Hotărârea Guvernului </w:t>
            </w:r>
            <w:r w:rsidRPr="00760684">
              <w:rPr>
                <w:rFonts w:ascii="Times New Roman" w:hAnsi="Times New Roman" w:cs="Times New Roman"/>
                <w:i/>
                <w:sz w:val="26"/>
                <w:szCs w:val="26"/>
              </w:rPr>
              <w:t>nr. 778/2009</w:t>
            </w:r>
            <w:r w:rsidRPr="00760684">
              <w:rPr>
                <w:rFonts w:ascii="Times New Roman" w:hAnsi="Times New Roman" w:cs="Times New Roman"/>
                <w:sz w:val="26"/>
                <w:szCs w:val="26"/>
              </w:rPr>
              <w:t xml:space="preserve"> cu privire la aprobarea Regulamentului privind organizarea şi funcţionarea Ministerului Afacerilor Interne, structurii şi efectivului-limită ale aparatului central al acestuia, care, </w:t>
            </w:r>
            <w:r w:rsidR="00911781" w:rsidRPr="00760684">
              <w:rPr>
                <w:rFonts w:ascii="Times New Roman" w:hAnsi="Times New Roman" w:cs="Times New Roman"/>
                <w:sz w:val="26"/>
                <w:szCs w:val="26"/>
              </w:rPr>
              <w:t>urmare aprobării Hotărârii Guvernului nr. 946/2018 cu privire la organizarea şi funcţionarea Agenţiei Rezerve Materiale, este necesar de a fi modificată şi anume</w:t>
            </w:r>
            <w:r w:rsidR="00953DC2" w:rsidRPr="00760684">
              <w:rPr>
                <w:rFonts w:ascii="Times New Roman" w:hAnsi="Times New Roman" w:cs="Times New Roman"/>
                <w:sz w:val="26"/>
                <w:szCs w:val="26"/>
              </w:rPr>
              <w:t>,</w:t>
            </w:r>
            <w:r w:rsidR="00911781" w:rsidRPr="00760684">
              <w:rPr>
                <w:rFonts w:ascii="Times New Roman" w:hAnsi="Times New Roman" w:cs="Times New Roman"/>
                <w:sz w:val="26"/>
                <w:szCs w:val="26"/>
              </w:rPr>
              <w:t xml:space="preserve"> prin modificarea punctului 2 </w:t>
            </w:r>
            <w:r w:rsidR="00953DC2" w:rsidRPr="00760684">
              <w:rPr>
                <w:rFonts w:ascii="Times New Roman" w:hAnsi="Times New Roman" w:cs="Times New Roman"/>
                <w:sz w:val="26"/>
                <w:szCs w:val="26"/>
              </w:rPr>
              <w:t xml:space="preserve">din Hotărâre </w:t>
            </w:r>
            <w:r w:rsidR="00911781" w:rsidRPr="00760684">
              <w:rPr>
                <w:rFonts w:ascii="Times New Roman" w:hAnsi="Times New Roman" w:cs="Times New Roman"/>
                <w:sz w:val="26"/>
                <w:szCs w:val="26"/>
              </w:rPr>
              <w:t xml:space="preserve">– a numărului efectivului-limită al Ministerului Afacerilor Interne, al autorităţilor administrative şi instituţiilor din subordinea acestuia şi a </w:t>
            </w:r>
            <w:r w:rsidRPr="00760684">
              <w:rPr>
                <w:rFonts w:ascii="Times New Roman" w:hAnsi="Times New Roman" w:cs="Times New Roman"/>
                <w:sz w:val="26"/>
                <w:szCs w:val="26"/>
              </w:rPr>
              <w:t>anex</w:t>
            </w:r>
            <w:r w:rsidR="00911781" w:rsidRPr="00760684">
              <w:rPr>
                <w:rFonts w:ascii="Times New Roman" w:hAnsi="Times New Roman" w:cs="Times New Roman"/>
                <w:sz w:val="26"/>
                <w:szCs w:val="26"/>
              </w:rPr>
              <w:t>ei</w:t>
            </w:r>
            <w:r w:rsidRPr="00760684">
              <w:rPr>
                <w:rFonts w:ascii="Times New Roman" w:hAnsi="Times New Roman" w:cs="Times New Roman"/>
                <w:sz w:val="26"/>
                <w:szCs w:val="26"/>
              </w:rPr>
              <w:t xml:space="preserve"> nr. 3</w:t>
            </w:r>
            <w:r w:rsidR="00953DC2" w:rsidRPr="00760684">
              <w:rPr>
                <w:rFonts w:ascii="Times New Roman" w:hAnsi="Times New Roman" w:cs="Times New Roman"/>
                <w:sz w:val="26"/>
                <w:szCs w:val="26"/>
              </w:rPr>
              <w:t xml:space="preserve"> la Hotărâre</w:t>
            </w:r>
            <w:r w:rsidR="00911781" w:rsidRPr="00760684">
              <w:rPr>
                <w:rFonts w:ascii="Times New Roman" w:hAnsi="Times New Roman" w:cs="Times New Roman"/>
                <w:sz w:val="26"/>
                <w:szCs w:val="26"/>
              </w:rPr>
              <w:t>, care</w:t>
            </w:r>
            <w:r w:rsidRPr="00760684">
              <w:rPr>
                <w:rFonts w:ascii="Times New Roman" w:hAnsi="Times New Roman" w:cs="Times New Roman"/>
                <w:sz w:val="26"/>
                <w:szCs w:val="26"/>
              </w:rPr>
              <w:t xml:space="preserve"> se completează cu efectivul – limită al Agenţiei Rezerve </w:t>
            </w:r>
            <w:r w:rsidR="00156194" w:rsidRPr="00760684">
              <w:rPr>
                <w:rFonts w:ascii="Times New Roman" w:hAnsi="Times New Roman" w:cs="Times New Roman"/>
                <w:sz w:val="26"/>
                <w:szCs w:val="26"/>
              </w:rPr>
              <w:t>M</w:t>
            </w:r>
            <w:r w:rsidRPr="00760684">
              <w:rPr>
                <w:rFonts w:ascii="Times New Roman" w:hAnsi="Times New Roman" w:cs="Times New Roman"/>
                <w:sz w:val="26"/>
                <w:szCs w:val="26"/>
              </w:rPr>
              <w:t>ateriale</w:t>
            </w:r>
            <w:r w:rsidR="00DA72D5" w:rsidRPr="00760684">
              <w:rPr>
                <w:rFonts w:ascii="Times New Roman" w:hAnsi="Times New Roman" w:cs="Times New Roman"/>
                <w:sz w:val="26"/>
                <w:szCs w:val="26"/>
              </w:rPr>
              <w:t>,</w:t>
            </w:r>
            <w:r w:rsidRPr="00760684">
              <w:rPr>
                <w:rFonts w:ascii="Times New Roman" w:hAnsi="Times New Roman" w:cs="Times New Roman"/>
                <w:sz w:val="26"/>
                <w:szCs w:val="26"/>
              </w:rPr>
              <w:t xml:space="preserve"> în număr de 93 de unităţi, stabilit </w:t>
            </w:r>
            <w:r w:rsidR="00C046A8" w:rsidRPr="00760684">
              <w:rPr>
                <w:rFonts w:ascii="Times New Roman" w:hAnsi="Times New Roman" w:cs="Times New Roman"/>
                <w:sz w:val="26"/>
                <w:szCs w:val="26"/>
              </w:rPr>
              <w:t>prin</w:t>
            </w:r>
            <w:r w:rsidR="00911781" w:rsidRPr="00760684">
              <w:rPr>
                <w:rFonts w:ascii="Times New Roman" w:hAnsi="Times New Roman" w:cs="Times New Roman"/>
                <w:sz w:val="26"/>
                <w:szCs w:val="26"/>
              </w:rPr>
              <w:t xml:space="preserve"> HG nr. 946/2018</w:t>
            </w:r>
            <w:r w:rsidRPr="00760684">
              <w:rPr>
                <w:rFonts w:ascii="Times New Roman" w:hAnsi="Times New Roman" w:cs="Times New Roman"/>
                <w:sz w:val="26"/>
                <w:szCs w:val="26"/>
              </w:rPr>
              <w:t xml:space="preserve">; </w:t>
            </w:r>
          </w:p>
          <w:p w:rsidR="00C046A8" w:rsidRPr="00760684" w:rsidRDefault="00C046A8" w:rsidP="0062206A">
            <w:pPr>
              <w:spacing w:after="0" w:line="240" w:lineRule="auto"/>
              <w:jc w:val="both"/>
              <w:rPr>
                <w:rFonts w:ascii="Times New Roman" w:hAnsi="Times New Roman" w:cs="Times New Roman"/>
                <w:sz w:val="26"/>
                <w:szCs w:val="26"/>
              </w:rPr>
            </w:pPr>
          </w:p>
          <w:p w:rsidR="00290ABF" w:rsidRPr="00760684" w:rsidRDefault="0062206A"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 Hotărârea Guvernului </w:t>
            </w:r>
            <w:r w:rsidRPr="00760684">
              <w:rPr>
                <w:rFonts w:ascii="Times New Roman" w:hAnsi="Times New Roman" w:cs="Times New Roman"/>
                <w:i/>
                <w:sz w:val="26"/>
                <w:szCs w:val="26"/>
              </w:rPr>
              <w:t>nr. 1001/2011</w:t>
            </w:r>
            <w:r w:rsidRPr="00760684">
              <w:rPr>
                <w:rFonts w:ascii="Times New Roman" w:hAnsi="Times New Roman" w:cs="Times New Roman"/>
                <w:sz w:val="26"/>
                <w:szCs w:val="26"/>
              </w:rPr>
              <w:t xml:space="preserve"> privind punerea în aplicare a unor acte legislative, </w:t>
            </w:r>
            <w:r w:rsidR="005D62F1" w:rsidRPr="00760684">
              <w:rPr>
                <w:rFonts w:ascii="Times New Roman" w:hAnsi="Times New Roman" w:cs="Times New Roman"/>
                <w:sz w:val="26"/>
                <w:szCs w:val="26"/>
              </w:rPr>
              <w:t>unde</w:t>
            </w:r>
            <w:r w:rsidRPr="00760684">
              <w:rPr>
                <w:rFonts w:ascii="Times New Roman" w:hAnsi="Times New Roman" w:cs="Times New Roman"/>
                <w:sz w:val="26"/>
                <w:szCs w:val="26"/>
              </w:rPr>
              <w:t xml:space="preserve"> </w:t>
            </w:r>
            <w:r w:rsidR="004D6496" w:rsidRPr="00760684">
              <w:rPr>
                <w:rFonts w:ascii="Times New Roman" w:hAnsi="Times New Roman" w:cs="Times New Roman"/>
                <w:sz w:val="26"/>
                <w:szCs w:val="26"/>
              </w:rPr>
              <w:t>la anexa</w:t>
            </w:r>
            <w:r w:rsidR="0013690B" w:rsidRPr="00760684">
              <w:rPr>
                <w:rFonts w:ascii="Times New Roman" w:hAnsi="Times New Roman" w:cs="Times New Roman"/>
                <w:sz w:val="26"/>
                <w:szCs w:val="26"/>
              </w:rPr>
              <w:t xml:space="preserve"> nr. 1 „</w:t>
            </w:r>
            <w:r w:rsidR="00AF1705" w:rsidRPr="00760684">
              <w:rPr>
                <w:rFonts w:ascii="Times New Roman" w:hAnsi="Times New Roman" w:cs="Times New Roman"/>
                <w:sz w:val="26"/>
                <w:szCs w:val="26"/>
              </w:rPr>
              <w:t>L</w:t>
            </w:r>
            <w:r w:rsidRPr="00760684">
              <w:rPr>
                <w:rFonts w:ascii="Times New Roman" w:hAnsi="Times New Roman" w:cs="Times New Roman"/>
                <w:sz w:val="26"/>
                <w:szCs w:val="26"/>
              </w:rPr>
              <w:t xml:space="preserve">ista autorităţilor </w:t>
            </w:r>
            <w:r w:rsidR="0013690B" w:rsidRPr="00760684">
              <w:rPr>
                <w:rFonts w:ascii="Times New Roman" w:hAnsi="Times New Roman" w:cs="Times New Roman"/>
                <w:sz w:val="26"/>
                <w:szCs w:val="26"/>
              </w:rPr>
              <w:t xml:space="preserve">publice care cad sub incidenţa Legii nr. </w:t>
            </w:r>
            <w:r w:rsidR="000B2A50">
              <w:rPr>
                <w:rFonts w:ascii="Times New Roman" w:hAnsi="Times New Roman" w:cs="Times New Roman"/>
                <w:sz w:val="26"/>
                <w:szCs w:val="26"/>
              </w:rPr>
              <w:t>1</w:t>
            </w:r>
            <w:r w:rsidR="0013690B" w:rsidRPr="00760684">
              <w:rPr>
                <w:rFonts w:ascii="Times New Roman" w:hAnsi="Times New Roman" w:cs="Times New Roman"/>
                <w:sz w:val="26"/>
                <w:szCs w:val="26"/>
              </w:rPr>
              <w:t>58-XVI din 4 iulie 2008 cu privire la funcţia publică şi statutul funcţionarului public</w:t>
            </w:r>
            <w:r w:rsidR="005D62F1" w:rsidRPr="00760684">
              <w:rPr>
                <w:rFonts w:ascii="Times New Roman" w:hAnsi="Times New Roman" w:cs="Times New Roman"/>
                <w:sz w:val="26"/>
                <w:szCs w:val="26"/>
              </w:rPr>
              <w:t xml:space="preserve"> şi </w:t>
            </w:r>
            <w:r w:rsidR="00D75A2A">
              <w:rPr>
                <w:rFonts w:ascii="Times New Roman" w:hAnsi="Times New Roman" w:cs="Times New Roman"/>
                <w:sz w:val="26"/>
                <w:szCs w:val="26"/>
              </w:rPr>
              <w:t xml:space="preserve">a </w:t>
            </w:r>
            <w:r w:rsidR="005D62F1" w:rsidRPr="00760684">
              <w:rPr>
                <w:rFonts w:ascii="Times New Roman" w:hAnsi="Times New Roman" w:cs="Times New Roman"/>
                <w:sz w:val="26"/>
                <w:szCs w:val="26"/>
              </w:rPr>
              <w:t>Legii nr. 155 din 21 iulie 2011 pentru aprobarea Clasificatorului unic al funcţiilor publice</w:t>
            </w:r>
            <w:r w:rsidR="0013690B" w:rsidRPr="00760684">
              <w:rPr>
                <w:rFonts w:ascii="Times New Roman" w:hAnsi="Times New Roman" w:cs="Times New Roman"/>
                <w:sz w:val="26"/>
                <w:szCs w:val="26"/>
              </w:rPr>
              <w:t>”</w:t>
            </w:r>
            <w:r w:rsidR="005D62F1" w:rsidRPr="00760684">
              <w:rPr>
                <w:rFonts w:ascii="Times New Roman" w:hAnsi="Times New Roman" w:cs="Times New Roman"/>
                <w:sz w:val="26"/>
                <w:szCs w:val="26"/>
              </w:rPr>
              <w:t>, Capitolul II, Secţiunea I „O</w:t>
            </w:r>
            <w:r w:rsidRPr="00760684">
              <w:rPr>
                <w:rFonts w:ascii="Times New Roman" w:hAnsi="Times New Roman" w:cs="Times New Roman"/>
                <w:sz w:val="26"/>
                <w:szCs w:val="26"/>
              </w:rPr>
              <w:t>rganele centrale de specialitate ale administraţiei publice şi alte autorităţi publice</w:t>
            </w:r>
            <w:r w:rsidR="005D62F1" w:rsidRPr="00760684">
              <w:rPr>
                <w:rFonts w:ascii="Times New Roman" w:hAnsi="Times New Roman" w:cs="Times New Roman"/>
                <w:sz w:val="26"/>
                <w:szCs w:val="26"/>
              </w:rPr>
              <w:t xml:space="preserve">”, </w:t>
            </w:r>
            <w:r w:rsidR="00290ABF" w:rsidRPr="00760684">
              <w:rPr>
                <w:rFonts w:ascii="Times New Roman" w:hAnsi="Times New Roman" w:cs="Times New Roman"/>
                <w:sz w:val="26"/>
                <w:szCs w:val="26"/>
              </w:rPr>
              <w:t xml:space="preserve">din </w:t>
            </w:r>
            <w:r w:rsidR="005D62F1" w:rsidRPr="00760684">
              <w:rPr>
                <w:rFonts w:ascii="Times New Roman" w:hAnsi="Times New Roman" w:cs="Times New Roman"/>
                <w:sz w:val="26"/>
                <w:szCs w:val="26"/>
              </w:rPr>
              <w:t xml:space="preserve">litera </w:t>
            </w:r>
            <w:r w:rsidR="00B42093" w:rsidRPr="00760684">
              <w:rPr>
                <w:rFonts w:ascii="Times New Roman" w:hAnsi="Times New Roman" w:cs="Times New Roman"/>
                <w:sz w:val="26"/>
                <w:szCs w:val="26"/>
              </w:rPr>
              <w:t>b) „Alte autorităţi administrative centrale”</w:t>
            </w:r>
            <w:r w:rsidR="00B4487B" w:rsidRPr="00760684">
              <w:rPr>
                <w:rFonts w:ascii="Times New Roman" w:hAnsi="Times New Roman" w:cs="Times New Roman"/>
                <w:sz w:val="26"/>
                <w:szCs w:val="26"/>
              </w:rPr>
              <w:t xml:space="preserve">, punctul 6. </w:t>
            </w:r>
            <w:r w:rsidR="00290ABF" w:rsidRPr="00760684">
              <w:rPr>
                <w:rFonts w:ascii="Times New Roman" w:hAnsi="Times New Roman" w:cs="Times New Roman"/>
                <w:sz w:val="26"/>
                <w:szCs w:val="26"/>
              </w:rPr>
              <w:t xml:space="preserve">Agenţia Rezerve Materiale </w:t>
            </w:r>
            <w:r w:rsidR="00B4487B" w:rsidRPr="00760684">
              <w:rPr>
                <w:rFonts w:ascii="Times New Roman" w:hAnsi="Times New Roman" w:cs="Times New Roman"/>
                <w:sz w:val="26"/>
                <w:szCs w:val="26"/>
              </w:rPr>
              <w:t xml:space="preserve">- </w:t>
            </w:r>
            <w:r w:rsidR="00E86430" w:rsidRPr="00760684">
              <w:rPr>
                <w:rFonts w:ascii="Times New Roman" w:hAnsi="Times New Roman" w:cs="Times New Roman"/>
                <w:sz w:val="26"/>
                <w:szCs w:val="26"/>
              </w:rPr>
              <w:t>se exclude.</w:t>
            </w:r>
          </w:p>
          <w:p w:rsidR="0062206A" w:rsidRPr="00760684" w:rsidRDefault="00E86430"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Concomitent, </w:t>
            </w:r>
            <w:r w:rsidR="0062206A" w:rsidRPr="00760684">
              <w:rPr>
                <w:rFonts w:ascii="Times New Roman" w:hAnsi="Times New Roman" w:cs="Times New Roman"/>
                <w:sz w:val="26"/>
                <w:szCs w:val="26"/>
              </w:rPr>
              <w:t xml:space="preserve">în </w:t>
            </w:r>
            <w:r w:rsidR="00B42093" w:rsidRPr="00760684">
              <w:rPr>
                <w:rFonts w:ascii="Times New Roman" w:hAnsi="Times New Roman" w:cs="Times New Roman"/>
                <w:sz w:val="26"/>
                <w:szCs w:val="26"/>
              </w:rPr>
              <w:t>Secţiunea II „A</w:t>
            </w:r>
            <w:r w:rsidR="0062206A" w:rsidRPr="00760684">
              <w:rPr>
                <w:rFonts w:ascii="Times New Roman" w:hAnsi="Times New Roman" w:cs="Times New Roman"/>
                <w:sz w:val="26"/>
                <w:szCs w:val="26"/>
              </w:rPr>
              <w:t>utorităţi din subordinea (sau de pe lângă) organelor centrale de specialitate ale administraţiei publice şi din subordinea altor autorităţi administrative centrale (aparatul central şi subdiviziunile teritoriale)</w:t>
            </w:r>
            <w:r w:rsidR="00B42093" w:rsidRPr="00760684">
              <w:rPr>
                <w:rFonts w:ascii="Times New Roman" w:hAnsi="Times New Roman" w:cs="Times New Roman"/>
                <w:sz w:val="26"/>
                <w:szCs w:val="26"/>
              </w:rPr>
              <w:t xml:space="preserve">, </w:t>
            </w:r>
            <w:r w:rsidRPr="00760684">
              <w:rPr>
                <w:rFonts w:ascii="Times New Roman" w:hAnsi="Times New Roman" w:cs="Times New Roman"/>
                <w:sz w:val="26"/>
                <w:szCs w:val="26"/>
              </w:rPr>
              <w:t xml:space="preserve">la </w:t>
            </w:r>
            <w:r w:rsidR="00B42093" w:rsidRPr="00760684">
              <w:rPr>
                <w:rFonts w:ascii="Times New Roman" w:hAnsi="Times New Roman" w:cs="Times New Roman"/>
                <w:sz w:val="26"/>
                <w:szCs w:val="26"/>
              </w:rPr>
              <w:t>litera d) „Ministerul Afacerilor Interne”</w:t>
            </w:r>
            <w:r w:rsidR="00132754" w:rsidRPr="00760684">
              <w:rPr>
                <w:rFonts w:ascii="Times New Roman" w:hAnsi="Times New Roman" w:cs="Times New Roman"/>
                <w:sz w:val="26"/>
                <w:szCs w:val="26"/>
              </w:rPr>
              <w:t xml:space="preserve">, </w:t>
            </w:r>
            <w:r w:rsidR="00A75DC3" w:rsidRPr="00760684">
              <w:rPr>
                <w:rFonts w:ascii="Times New Roman" w:hAnsi="Times New Roman" w:cs="Times New Roman"/>
                <w:sz w:val="26"/>
                <w:szCs w:val="26"/>
              </w:rPr>
              <w:t xml:space="preserve">se include </w:t>
            </w:r>
            <w:r w:rsidR="00132754" w:rsidRPr="00760684">
              <w:rPr>
                <w:rFonts w:ascii="Times New Roman" w:hAnsi="Times New Roman" w:cs="Times New Roman"/>
                <w:sz w:val="26"/>
                <w:szCs w:val="26"/>
              </w:rPr>
              <w:t>ca a 6-a autoritate</w:t>
            </w:r>
            <w:r w:rsidR="00A75DC3" w:rsidRPr="00760684">
              <w:rPr>
                <w:rFonts w:ascii="Times New Roman" w:hAnsi="Times New Roman" w:cs="Times New Roman"/>
                <w:sz w:val="26"/>
                <w:szCs w:val="26"/>
              </w:rPr>
              <w:t xml:space="preserve"> din subordinea MAI</w:t>
            </w:r>
            <w:r w:rsidR="00D75A2A">
              <w:rPr>
                <w:rFonts w:ascii="Times New Roman" w:hAnsi="Times New Roman" w:cs="Times New Roman"/>
                <w:sz w:val="26"/>
                <w:szCs w:val="26"/>
              </w:rPr>
              <w:t xml:space="preserve"> Agenţia Rezerve Materiale</w:t>
            </w:r>
            <w:r w:rsidR="0062206A" w:rsidRPr="00760684">
              <w:rPr>
                <w:rFonts w:ascii="Times New Roman" w:hAnsi="Times New Roman" w:cs="Times New Roman"/>
                <w:sz w:val="26"/>
                <w:szCs w:val="26"/>
              </w:rPr>
              <w:t>;</w:t>
            </w:r>
            <w:r w:rsidR="007730F3" w:rsidRPr="00760684">
              <w:rPr>
                <w:rFonts w:ascii="Times New Roman" w:hAnsi="Times New Roman" w:cs="Times New Roman"/>
                <w:sz w:val="26"/>
                <w:szCs w:val="26"/>
              </w:rPr>
              <w:t xml:space="preserve"> </w:t>
            </w:r>
          </w:p>
          <w:p w:rsidR="00C046A8" w:rsidRPr="00760684" w:rsidRDefault="00C046A8" w:rsidP="0062206A">
            <w:pPr>
              <w:spacing w:after="0" w:line="240" w:lineRule="auto"/>
              <w:jc w:val="both"/>
              <w:rPr>
                <w:rFonts w:ascii="Times New Roman" w:hAnsi="Times New Roman" w:cs="Times New Roman"/>
                <w:sz w:val="26"/>
                <w:szCs w:val="26"/>
              </w:rPr>
            </w:pPr>
          </w:p>
          <w:p w:rsidR="0062206A" w:rsidRPr="00760684" w:rsidRDefault="0062206A"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 Hotărârea Guvernului </w:t>
            </w:r>
            <w:r w:rsidRPr="00760684">
              <w:rPr>
                <w:rFonts w:ascii="Times New Roman" w:hAnsi="Times New Roman" w:cs="Times New Roman"/>
                <w:i/>
                <w:sz w:val="26"/>
                <w:szCs w:val="26"/>
              </w:rPr>
              <w:t>nr. 266/2016</w:t>
            </w:r>
            <w:r w:rsidRPr="00760684">
              <w:rPr>
                <w:rFonts w:ascii="Times New Roman" w:hAnsi="Times New Roman" w:cs="Times New Roman"/>
                <w:sz w:val="26"/>
                <w:szCs w:val="26"/>
              </w:rPr>
              <w:t xml:space="preserve"> cu privire la lista serviciilor publice desconcentrate administrate în mod direct/din subordinea ministerelor şi altor autorităţi administrative centrale, </w:t>
            </w:r>
            <w:r w:rsidR="00CB28DA" w:rsidRPr="00760684">
              <w:rPr>
                <w:rFonts w:ascii="Times New Roman" w:hAnsi="Times New Roman" w:cs="Times New Roman"/>
                <w:sz w:val="26"/>
                <w:szCs w:val="26"/>
              </w:rPr>
              <w:t>in care,</w:t>
            </w:r>
            <w:r w:rsidRPr="00760684">
              <w:rPr>
                <w:rFonts w:ascii="Times New Roman" w:hAnsi="Times New Roman" w:cs="Times New Roman"/>
                <w:sz w:val="26"/>
                <w:szCs w:val="26"/>
              </w:rPr>
              <w:t xml:space="preserve"> </w:t>
            </w:r>
            <w:r w:rsidR="00F6278A" w:rsidRPr="00760684">
              <w:rPr>
                <w:rFonts w:ascii="Times New Roman" w:hAnsi="Times New Roman" w:cs="Times New Roman"/>
                <w:sz w:val="26"/>
                <w:szCs w:val="26"/>
              </w:rPr>
              <w:t xml:space="preserve">la </w:t>
            </w:r>
            <w:r w:rsidRPr="00760684">
              <w:rPr>
                <w:rFonts w:ascii="Times New Roman" w:hAnsi="Times New Roman" w:cs="Times New Roman"/>
                <w:sz w:val="26"/>
                <w:szCs w:val="26"/>
              </w:rPr>
              <w:t>anexa nr. 1</w:t>
            </w:r>
            <w:r w:rsidR="00CB28DA" w:rsidRPr="00760684">
              <w:rPr>
                <w:rFonts w:ascii="Times New Roman" w:hAnsi="Times New Roman" w:cs="Times New Roman"/>
                <w:sz w:val="26"/>
                <w:szCs w:val="26"/>
              </w:rPr>
              <w:t>,</w:t>
            </w:r>
            <w:r w:rsidRPr="00760684">
              <w:rPr>
                <w:rFonts w:ascii="Times New Roman" w:hAnsi="Times New Roman" w:cs="Times New Roman"/>
                <w:sz w:val="26"/>
                <w:szCs w:val="26"/>
              </w:rPr>
              <w:t xml:space="preserve"> se propune </w:t>
            </w:r>
            <w:r w:rsidR="00F6278A" w:rsidRPr="00760684">
              <w:rPr>
                <w:rFonts w:ascii="Times New Roman" w:hAnsi="Times New Roman" w:cs="Times New Roman"/>
                <w:sz w:val="26"/>
                <w:szCs w:val="26"/>
              </w:rPr>
              <w:t xml:space="preserve">ca Agenţia Rezerve Materiale </w:t>
            </w:r>
            <w:r w:rsidR="00F6278A" w:rsidRPr="00760684">
              <w:rPr>
                <w:rFonts w:ascii="Times New Roman" w:hAnsi="Times New Roman" w:cs="Times New Roman"/>
                <w:sz w:val="26"/>
                <w:szCs w:val="26"/>
              </w:rPr>
              <w:lastRenderedPageBreak/>
              <w:t xml:space="preserve">să fie exclusă </w:t>
            </w:r>
            <w:r w:rsidR="00E65F0B" w:rsidRPr="00760684">
              <w:rPr>
                <w:rFonts w:ascii="Times New Roman" w:hAnsi="Times New Roman" w:cs="Times New Roman"/>
                <w:sz w:val="26"/>
                <w:szCs w:val="26"/>
              </w:rPr>
              <w:t xml:space="preserve">din </w:t>
            </w:r>
            <w:r w:rsidR="00CB28DA" w:rsidRPr="00760684">
              <w:rPr>
                <w:rFonts w:ascii="Times New Roman" w:hAnsi="Times New Roman" w:cs="Times New Roman"/>
                <w:sz w:val="26"/>
                <w:szCs w:val="26"/>
              </w:rPr>
              <w:t>secţiunea</w:t>
            </w:r>
            <w:r w:rsidR="00E65F0B" w:rsidRPr="00760684">
              <w:rPr>
                <w:rFonts w:ascii="Times New Roman" w:hAnsi="Times New Roman" w:cs="Times New Roman"/>
                <w:sz w:val="26"/>
                <w:szCs w:val="26"/>
              </w:rPr>
              <w:t xml:space="preserve"> „Denumirea autorităţii publice”, inclusiv Baza specială de Aprovizionare Medicală – ca organ central şi bazele teritoriale – ca subdiviziuni teritoriale, Agenţia fiind</w:t>
            </w:r>
            <w:r w:rsidR="00F6278A" w:rsidRPr="00760684">
              <w:rPr>
                <w:rFonts w:ascii="Times New Roman" w:hAnsi="Times New Roman" w:cs="Times New Roman"/>
                <w:sz w:val="26"/>
                <w:szCs w:val="26"/>
              </w:rPr>
              <w:t xml:space="preserve"> inclusă</w:t>
            </w:r>
            <w:r w:rsidR="00CB28DA" w:rsidRPr="00760684">
              <w:rPr>
                <w:rFonts w:ascii="Times New Roman" w:hAnsi="Times New Roman" w:cs="Times New Roman"/>
                <w:sz w:val="26"/>
                <w:szCs w:val="26"/>
              </w:rPr>
              <w:t xml:space="preserve"> la autoritatea publică - Ministerul Afacerilor Interne</w:t>
            </w:r>
            <w:r w:rsidR="00E65F0B" w:rsidRPr="00760684">
              <w:rPr>
                <w:rFonts w:ascii="Times New Roman" w:hAnsi="Times New Roman" w:cs="Times New Roman"/>
                <w:sz w:val="26"/>
                <w:szCs w:val="26"/>
              </w:rPr>
              <w:t>,</w:t>
            </w:r>
            <w:r w:rsidR="00F6278A" w:rsidRPr="00760684">
              <w:rPr>
                <w:rFonts w:ascii="Times New Roman" w:hAnsi="Times New Roman" w:cs="Times New Roman"/>
                <w:sz w:val="26"/>
                <w:szCs w:val="26"/>
              </w:rPr>
              <w:t xml:space="preserve"> </w:t>
            </w:r>
            <w:r w:rsidR="00E65F0B" w:rsidRPr="00760684">
              <w:rPr>
                <w:rFonts w:ascii="Times New Roman" w:hAnsi="Times New Roman" w:cs="Times New Roman"/>
                <w:sz w:val="26"/>
                <w:szCs w:val="26"/>
              </w:rPr>
              <w:t>ca organ central fără subdiviziuni teritoriale</w:t>
            </w:r>
            <w:r w:rsidRPr="00760684">
              <w:rPr>
                <w:rFonts w:ascii="Times New Roman" w:hAnsi="Times New Roman" w:cs="Times New Roman"/>
                <w:sz w:val="26"/>
                <w:szCs w:val="26"/>
              </w:rPr>
              <w:t>.</w:t>
            </w:r>
          </w:p>
          <w:p w:rsidR="00C046A8" w:rsidRPr="00760684" w:rsidRDefault="00C046A8" w:rsidP="0062206A">
            <w:pPr>
              <w:spacing w:after="0" w:line="240" w:lineRule="auto"/>
              <w:jc w:val="both"/>
              <w:rPr>
                <w:rFonts w:ascii="Times New Roman" w:hAnsi="Times New Roman" w:cs="Times New Roman"/>
                <w:sz w:val="26"/>
                <w:szCs w:val="26"/>
              </w:rPr>
            </w:pPr>
          </w:p>
          <w:p w:rsidR="0062206A" w:rsidRPr="00760684" w:rsidRDefault="0062206A" w:rsidP="0062206A">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 xml:space="preserve">În acelaşi timp, Ministerul Afacerilor Interne vine cu propunerea privind modificarea pct. 15 şi pct. 17 din anexa </w:t>
            </w:r>
            <w:r w:rsidR="00150D8B">
              <w:rPr>
                <w:rFonts w:ascii="Times New Roman" w:hAnsi="Times New Roman" w:cs="Times New Roman"/>
                <w:sz w:val="26"/>
                <w:szCs w:val="26"/>
              </w:rPr>
              <w:t xml:space="preserve">la </w:t>
            </w:r>
            <w:r w:rsidRPr="00760684">
              <w:rPr>
                <w:rFonts w:ascii="Times New Roman" w:hAnsi="Times New Roman" w:cs="Times New Roman"/>
                <w:sz w:val="26"/>
                <w:szCs w:val="26"/>
              </w:rPr>
              <w:t>Hotărâr</w:t>
            </w:r>
            <w:r w:rsidR="00150D8B">
              <w:rPr>
                <w:rFonts w:ascii="Times New Roman" w:hAnsi="Times New Roman" w:cs="Times New Roman"/>
                <w:sz w:val="26"/>
                <w:szCs w:val="26"/>
              </w:rPr>
              <w:t>ea</w:t>
            </w:r>
            <w:r w:rsidRPr="00760684">
              <w:rPr>
                <w:rFonts w:ascii="Times New Roman" w:hAnsi="Times New Roman" w:cs="Times New Roman"/>
                <w:sz w:val="26"/>
                <w:szCs w:val="26"/>
              </w:rPr>
              <w:t xml:space="preserve"> Guvernului </w:t>
            </w:r>
            <w:r w:rsidRPr="00760684">
              <w:rPr>
                <w:rFonts w:ascii="Times New Roman" w:hAnsi="Times New Roman" w:cs="Times New Roman"/>
                <w:i/>
                <w:sz w:val="26"/>
                <w:szCs w:val="26"/>
              </w:rPr>
              <w:t>nr. 411/2010</w:t>
            </w:r>
            <w:r w:rsidRPr="00760684">
              <w:rPr>
                <w:rFonts w:ascii="Times New Roman" w:hAnsi="Times New Roman" w:cs="Times New Roman"/>
                <w:sz w:val="26"/>
                <w:szCs w:val="26"/>
              </w:rPr>
              <w:t xml:space="preserve"> „Privind aprobarea Nomenclatorului informaţiilor atribuite la secretul de stat”, unde</w:t>
            </w:r>
            <w:r w:rsidR="00150D8B">
              <w:rPr>
                <w:rFonts w:ascii="Times New Roman" w:hAnsi="Times New Roman" w:cs="Times New Roman"/>
                <w:sz w:val="26"/>
                <w:szCs w:val="26"/>
              </w:rPr>
              <w:t>,</w:t>
            </w:r>
            <w:r w:rsidRPr="00760684">
              <w:rPr>
                <w:rFonts w:ascii="Times New Roman" w:hAnsi="Times New Roman" w:cs="Times New Roman"/>
                <w:sz w:val="26"/>
                <w:szCs w:val="26"/>
              </w:rPr>
              <w:t xml:space="preserve"> </w:t>
            </w:r>
            <w:r w:rsidR="006E4747" w:rsidRPr="00760684">
              <w:rPr>
                <w:rFonts w:ascii="Times New Roman" w:hAnsi="Times New Roman" w:cs="Times New Roman"/>
                <w:sz w:val="26"/>
                <w:szCs w:val="26"/>
              </w:rPr>
              <w:t>din</w:t>
            </w:r>
            <w:r w:rsidRPr="00760684">
              <w:rPr>
                <w:rFonts w:ascii="Times New Roman" w:hAnsi="Times New Roman" w:cs="Times New Roman"/>
                <w:sz w:val="26"/>
                <w:szCs w:val="26"/>
              </w:rPr>
              <w:t xml:space="preserve"> pct. 15 „Autorităţile administraţiei publice centrale şi locale, alte persoane juridice de drept public şi privat, învestite să dispună, în limita competenţei, de informaţiile în cauză” textul „Agenţia Rezerve Materiale” se exclude, iar în pct. 17 textul „Agenţia Rezerve Materiale” </w:t>
            </w:r>
            <w:r w:rsidR="006E4747" w:rsidRPr="00760684">
              <w:rPr>
                <w:rFonts w:ascii="Times New Roman" w:hAnsi="Times New Roman" w:cs="Times New Roman"/>
                <w:sz w:val="26"/>
                <w:szCs w:val="26"/>
              </w:rPr>
              <w:t xml:space="preserve">- </w:t>
            </w:r>
            <w:r w:rsidRPr="00760684">
              <w:rPr>
                <w:rFonts w:ascii="Times New Roman" w:hAnsi="Times New Roman" w:cs="Times New Roman"/>
                <w:sz w:val="26"/>
                <w:szCs w:val="26"/>
              </w:rPr>
              <w:t>se substituie cu textul „Ministerul Afacerilor Interne”.</w:t>
            </w:r>
          </w:p>
          <w:p w:rsidR="00004B19" w:rsidRPr="00760684" w:rsidRDefault="0062206A" w:rsidP="00790351">
            <w:pPr>
              <w:spacing w:after="0" w:line="240" w:lineRule="auto"/>
              <w:jc w:val="both"/>
              <w:rPr>
                <w:rFonts w:ascii="Times New Roman" w:hAnsi="Times New Roman" w:cs="Times New Roman"/>
                <w:color w:val="FF0000"/>
                <w:sz w:val="26"/>
                <w:szCs w:val="26"/>
              </w:rPr>
            </w:pPr>
            <w:r w:rsidRPr="00760684">
              <w:rPr>
                <w:rFonts w:ascii="Times New Roman" w:hAnsi="Times New Roman" w:cs="Times New Roman"/>
                <w:sz w:val="26"/>
                <w:szCs w:val="26"/>
              </w:rPr>
              <w:t xml:space="preserve">Această modificare reiese din faptul, că din 12 martie 2018, Agenţia Rezerve Materiale din autoritate administrativă centrală din subordinea Guvernului, </w:t>
            </w:r>
            <w:r w:rsidR="006E4747" w:rsidRPr="00760684">
              <w:rPr>
                <w:rFonts w:ascii="Times New Roman" w:hAnsi="Times New Roman" w:cs="Times New Roman"/>
                <w:sz w:val="26"/>
                <w:szCs w:val="26"/>
              </w:rPr>
              <w:t>a devenit</w:t>
            </w:r>
            <w:r w:rsidRPr="00760684">
              <w:rPr>
                <w:rFonts w:ascii="Times New Roman" w:hAnsi="Times New Roman" w:cs="Times New Roman"/>
                <w:sz w:val="26"/>
                <w:szCs w:val="26"/>
              </w:rPr>
              <w:t xml:space="preserve"> autoritate administrativă în subordinea Ministerului Afacerilor Interne.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lastRenderedPageBreak/>
              <w:t>5. Fundamentarea economico-financiară</w:t>
            </w:r>
          </w:p>
        </w:tc>
      </w:tr>
      <w:tr w:rsidR="00004B19" w:rsidRPr="00760684" w:rsidTr="00290ABF">
        <w:tc>
          <w:tcPr>
            <w:tcW w:w="5000" w:type="pct"/>
          </w:tcPr>
          <w:p w:rsidR="00004B19" w:rsidRPr="00760684" w:rsidRDefault="002A4209" w:rsidP="002A4209">
            <w:pPr>
              <w:spacing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Implementarea prevederilor proiectului nu necesită cheltuieli financiare suplimentare şi alocarea mijloacelor financiare.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6. Modul de încorporare a actului în cadrul normativ în vigoare</w:t>
            </w:r>
          </w:p>
        </w:tc>
      </w:tr>
      <w:tr w:rsidR="00004B19" w:rsidRPr="00760684" w:rsidTr="00290ABF">
        <w:tc>
          <w:tcPr>
            <w:tcW w:w="5000" w:type="pct"/>
          </w:tcPr>
          <w:p w:rsidR="00DC7F14" w:rsidRPr="00760684" w:rsidRDefault="00063128" w:rsidP="00063128">
            <w:pPr>
              <w:spacing w:after="0" w:line="240" w:lineRule="auto"/>
              <w:jc w:val="both"/>
              <w:rPr>
                <w:rFonts w:ascii="Times New Roman" w:hAnsi="Times New Roman" w:cs="Times New Roman"/>
                <w:sz w:val="26"/>
                <w:szCs w:val="26"/>
              </w:rPr>
            </w:pPr>
            <w:r w:rsidRPr="00760684">
              <w:rPr>
                <w:rFonts w:ascii="Times New Roman" w:hAnsi="Times New Roman" w:cs="Times New Roman"/>
                <w:sz w:val="26"/>
                <w:szCs w:val="26"/>
              </w:rPr>
              <w:tab/>
              <w:t>Urmare adoptării prezentului proiect, se abrogă Hotărârea Guvernului nr. 813/2015 cu privire la aprobarea componenţei nominale a Colegiului Agenţiei Rezerve Materiale.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7. Avizarea şi consultarea publică a proiectului</w:t>
            </w:r>
          </w:p>
        </w:tc>
      </w:tr>
      <w:tr w:rsidR="00004B19" w:rsidRPr="00760684" w:rsidTr="00290ABF">
        <w:tc>
          <w:tcPr>
            <w:tcW w:w="5000" w:type="pct"/>
          </w:tcPr>
          <w:p w:rsidR="003442B1" w:rsidRPr="00760684" w:rsidRDefault="003442B1"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 xml:space="preserve">Anunţul privind iniţierea procesului de elaborare a proiectului </w:t>
            </w:r>
            <w:r w:rsidR="006E4665">
              <w:rPr>
                <w:rFonts w:ascii="Times New Roman" w:hAnsi="Times New Roman" w:cs="Times New Roman"/>
                <w:sz w:val="26"/>
                <w:szCs w:val="26"/>
              </w:rPr>
              <w:t xml:space="preserve">de </w:t>
            </w:r>
            <w:r w:rsidRPr="00760684">
              <w:rPr>
                <w:rFonts w:ascii="Times New Roman" w:hAnsi="Times New Roman" w:cs="Times New Roman"/>
                <w:sz w:val="26"/>
                <w:szCs w:val="26"/>
              </w:rPr>
              <w:t>hotărâr</w:t>
            </w:r>
            <w:r w:rsidR="006E4665">
              <w:rPr>
                <w:rFonts w:ascii="Times New Roman" w:hAnsi="Times New Roman" w:cs="Times New Roman"/>
                <w:sz w:val="26"/>
                <w:szCs w:val="26"/>
              </w:rPr>
              <w:t>e a</w:t>
            </w:r>
            <w:r w:rsidRPr="00760684">
              <w:rPr>
                <w:rFonts w:ascii="Times New Roman" w:hAnsi="Times New Roman" w:cs="Times New Roman"/>
                <w:sz w:val="26"/>
                <w:szCs w:val="26"/>
              </w:rPr>
              <w:t xml:space="preserve"> Guvernului a fost plasat pe pagina web a Ministerului Afacerilor Interne (directoriul „Transparenţa decizională”, compartimentul „Consultări publice”), proiectul urm</w:t>
            </w:r>
            <w:r w:rsidR="00FD77D8" w:rsidRPr="00760684">
              <w:rPr>
                <w:rFonts w:ascii="Times New Roman" w:hAnsi="Times New Roman" w:cs="Times New Roman"/>
                <w:sz w:val="26"/>
                <w:szCs w:val="26"/>
              </w:rPr>
              <w:t>ând</w:t>
            </w:r>
            <w:r w:rsidRPr="00760684">
              <w:rPr>
                <w:rFonts w:ascii="Times New Roman" w:hAnsi="Times New Roman" w:cs="Times New Roman"/>
                <w:sz w:val="26"/>
                <w:szCs w:val="26"/>
              </w:rPr>
              <w:t xml:space="preserve"> a fi ulterior plasat, în scopul respectării prevederilor Legii nr. 239/2008 privind transparenţa în procesul decizional.</w:t>
            </w:r>
          </w:p>
          <w:p w:rsidR="00004B19" w:rsidRPr="00760684" w:rsidRDefault="003442B1"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Concomitent, proiectul</w:t>
            </w:r>
            <w:r w:rsidR="00CE108F" w:rsidRPr="00760684">
              <w:rPr>
                <w:rFonts w:ascii="Times New Roman" w:hAnsi="Times New Roman" w:cs="Times New Roman"/>
                <w:sz w:val="26"/>
                <w:szCs w:val="26"/>
              </w:rPr>
              <w:t xml:space="preserve"> urmează a fi avizat</w:t>
            </w:r>
            <w:r w:rsidRPr="00760684">
              <w:rPr>
                <w:rFonts w:ascii="Times New Roman" w:hAnsi="Times New Roman" w:cs="Times New Roman"/>
                <w:sz w:val="26"/>
                <w:szCs w:val="26"/>
              </w:rPr>
              <w:t xml:space="preserve"> </w:t>
            </w:r>
            <w:r w:rsidR="007E7283" w:rsidRPr="00760684">
              <w:rPr>
                <w:rFonts w:ascii="Times New Roman" w:hAnsi="Times New Roman" w:cs="Times New Roman"/>
                <w:sz w:val="26"/>
                <w:szCs w:val="26"/>
              </w:rPr>
              <w:t>de către:</w:t>
            </w:r>
          </w:p>
          <w:p w:rsidR="007E7283" w:rsidRPr="00760684" w:rsidRDefault="007E7283"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Cancelaria de stat;</w:t>
            </w:r>
          </w:p>
          <w:p w:rsidR="007E7283" w:rsidRPr="00760684" w:rsidRDefault="007E7283"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Ministerul Finanţelor;</w:t>
            </w:r>
          </w:p>
          <w:p w:rsidR="007E7283" w:rsidRPr="00760684" w:rsidRDefault="007E7283"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Centrul Naţional Anticorupţie;</w:t>
            </w:r>
          </w:p>
          <w:p w:rsidR="007E7283" w:rsidRPr="00760684" w:rsidRDefault="007E7283" w:rsidP="007E7283">
            <w:pPr>
              <w:spacing w:after="0" w:line="240" w:lineRule="auto"/>
              <w:ind w:firstLine="709"/>
              <w:jc w:val="both"/>
              <w:rPr>
                <w:rFonts w:ascii="Times New Roman" w:hAnsi="Times New Roman" w:cs="Times New Roman"/>
                <w:sz w:val="26"/>
                <w:szCs w:val="26"/>
              </w:rPr>
            </w:pPr>
            <w:r w:rsidRPr="00760684">
              <w:rPr>
                <w:rFonts w:ascii="Times New Roman" w:hAnsi="Times New Roman" w:cs="Times New Roman"/>
                <w:sz w:val="26"/>
                <w:szCs w:val="26"/>
              </w:rPr>
              <w:t>Ministerul Justiţiei</w:t>
            </w:r>
            <w:r w:rsidR="00FD77D8" w:rsidRPr="00760684">
              <w:rPr>
                <w:rFonts w:ascii="Times New Roman" w:hAnsi="Times New Roman" w:cs="Times New Roman"/>
                <w:sz w:val="26"/>
                <w:szCs w:val="26"/>
              </w:rPr>
              <w:t>.</w:t>
            </w:r>
          </w:p>
        </w:tc>
      </w:tr>
      <w:tr w:rsidR="00004B19" w:rsidRPr="000149B3" w:rsidTr="00290ABF">
        <w:tc>
          <w:tcPr>
            <w:tcW w:w="5000" w:type="pct"/>
          </w:tcPr>
          <w:p w:rsidR="00004B19" w:rsidRPr="000149B3" w:rsidRDefault="00004B19" w:rsidP="007E7283">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8. Constatările expertizei anticorupție</w:t>
            </w:r>
          </w:p>
        </w:tc>
      </w:tr>
      <w:tr w:rsidR="00004B19" w:rsidRPr="00760684" w:rsidTr="00290ABF">
        <w:tc>
          <w:tcPr>
            <w:tcW w:w="5000" w:type="pct"/>
          </w:tcPr>
          <w:p w:rsidR="00004B19" w:rsidRPr="00760684" w:rsidRDefault="00CF67C9" w:rsidP="00290ABF">
            <w:pPr>
              <w:tabs>
                <w:tab w:val="left" w:pos="884"/>
                <w:tab w:val="left" w:pos="1196"/>
              </w:tabs>
              <w:spacing w:after="0" w:line="240" w:lineRule="auto"/>
              <w:jc w:val="both"/>
              <w:rPr>
                <w:rFonts w:ascii="Times New Roman" w:hAnsi="Times New Roman" w:cs="Times New Roman"/>
                <w:sz w:val="26"/>
                <w:szCs w:val="26"/>
                <w:lang w:val="ro-MO"/>
              </w:rPr>
            </w:pPr>
            <w:r w:rsidRPr="00760684">
              <w:rPr>
                <w:rFonts w:ascii="Times New Roman" w:hAnsi="Times New Roman" w:cs="Times New Roman"/>
                <w:sz w:val="26"/>
                <w:szCs w:val="26"/>
                <w:lang w:val="ro-MO"/>
              </w:rPr>
              <w:t>expertiza anticorupţie urmează a fi efectuată</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9. Constatările expertizei de compatibilitate</w:t>
            </w:r>
          </w:p>
        </w:tc>
      </w:tr>
      <w:tr w:rsidR="00004B19" w:rsidRPr="00760684" w:rsidTr="00290ABF">
        <w:tc>
          <w:tcPr>
            <w:tcW w:w="5000" w:type="pct"/>
          </w:tcPr>
          <w:p w:rsidR="00004B19" w:rsidRPr="00760684" w:rsidRDefault="00CF67C9" w:rsidP="00290ABF">
            <w:pPr>
              <w:tabs>
                <w:tab w:val="left" w:pos="884"/>
                <w:tab w:val="left" w:pos="1196"/>
              </w:tabs>
              <w:spacing w:after="0" w:line="240" w:lineRule="auto"/>
              <w:jc w:val="both"/>
              <w:rPr>
                <w:rFonts w:ascii="Times New Roman" w:hAnsi="Times New Roman" w:cs="Times New Roman"/>
                <w:sz w:val="26"/>
                <w:szCs w:val="26"/>
                <w:lang w:val="ro-MO"/>
              </w:rPr>
            </w:pPr>
            <w:r w:rsidRPr="00760684">
              <w:rPr>
                <w:rFonts w:ascii="Times New Roman" w:hAnsi="Times New Roman" w:cs="Times New Roman"/>
                <w:sz w:val="26"/>
                <w:szCs w:val="26"/>
                <w:lang w:val="ro-MO"/>
              </w:rPr>
              <w:t>nu este necesară efectuarea unei asemenea expertize</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10. Constatările expertizei juridice</w:t>
            </w:r>
          </w:p>
        </w:tc>
      </w:tr>
      <w:tr w:rsidR="00004B19" w:rsidRPr="00760684" w:rsidTr="00290ABF">
        <w:tc>
          <w:tcPr>
            <w:tcW w:w="5000" w:type="pct"/>
          </w:tcPr>
          <w:p w:rsidR="00004B19" w:rsidRPr="00760684" w:rsidRDefault="00CF67C9" w:rsidP="00290ABF">
            <w:pPr>
              <w:tabs>
                <w:tab w:val="left" w:pos="884"/>
                <w:tab w:val="left" w:pos="1196"/>
              </w:tabs>
              <w:spacing w:after="0" w:line="240" w:lineRule="auto"/>
              <w:jc w:val="both"/>
              <w:rPr>
                <w:rFonts w:ascii="Times New Roman" w:hAnsi="Times New Roman" w:cs="Times New Roman"/>
                <w:sz w:val="26"/>
                <w:szCs w:val="26"/>
                <w:lang w:val="ro-MO"/>
              </w:rPr>
            </w:pPr>
            <w:r w:rsidRPr="00760684">
              <w:rPr>
                <w:rFonts w:ascii="Times New Roman" w:hAnsi="Times New Roman" w:cs="Times New Roman"/>
                <w:sz w:val="26"/>
                <w:szCs w:val="26"/>
                <w:lang w:val="ro-MO"/>
              </w:rPr>
              <w:t>expertiza juridică urmează a fi efectuată</w:t>
            </w:r>
          </w:p>
        </w:tc>
      </w:tr>
      <w:tr w:rsidR="00004B19" w:rsidRPr="000149B3" w:rsidTr="00290ABF">
        <w:tc>
          <w:tcPr>
            <w:tcW w:w="5000" w:type="pct"/>
          </w:tcPr>
          <w:p w:rsidR="00004B19" w:rsidRPr="000149B3" w:rsidRDefault="00004B19" w:rsidP="00290ABF">
            <w:pPr>
              <w:tabs>
                <w:tab w:val="left" w:pos="884"/>
                <w:tab w:val="left" w:pos="1196"/>
              </w:tabs>
              <w:spacing w:after="0" w:line="240" w:lineRule="auto"/>
              <w:jc w:val="both"/>
              <w:rPr>
                <w:rFonts w:ascii="Times New Roman" w:hAnsi="Times New Roman" w:cs="Times New Roman"/>
                <w:b/>
                <w:sz w:val="24"/>
                <w:szCs w:val="24"/>
                <w:lang w:val="ro-MO"/>
              </w:rPr>
            </w:pPr>
            <w:r w:rsidRPr="000149B3">
              <w:rPr>
                <w:rFonts w:ascii="Times New Roman" w:hAnsi="Times New Roman" w:cs="Times New Roman"/>
                <w:b/>
                <w:sz w:val="24"/>
                <w:szCs w:val="24"/>
                <w:lang w:val="ro-MO"/>
              </w:rPr>
              <w:t>11. Constatările altor expertize</w:t>
            </w:r>
          </w:p>
        </w:tc>
      </w:tr>
      <w:tr w:rsidR="00004B19" w:rsidRPr="000149B3" w:rsidTr="00290ABF">
        <w:tc>
          <w:tcPr>
            <w:tcW w:w="5000" w:type="pct"/>
          </w:tcPr>
          <w:p w:rsidR="00004B19" w:rsidRPr="000149B3" w:rsidRDefault="00583B8B" w:rsidP="00290ABF">
            <w:pPr>
              <w:tabs>
                <w:tab w:val="left" w:pos="884"/>
                <w:tab w:val="left" w:pos="1196"/>
              </w:tabs>
              <w:spacing w:after="0" w:line="240" w:lineRule="auto"/>
              <w:jc w:val="both"/>
              <w:rPr>
                <w:rFonts w:ascii="Times New Roman" w:hAnsi="Times New Roman" w:cs="Times New Roman"/>
                <w:sz w:val="24"/>
                <w:szCs w:val="24"/>
                <w:lang w:val="ro-MO"/>
              </w:rPr>
            </w:pPr>
            <w:r>
              <w:rPr>
                <w:rFonts w:ascii="Times New Roman" w:hAnsi="Times New Roman" w:cs="Times New Roman"/>
                <w:sz w:val="24"/>
                <w:szCs w:val="24"/>
                <w:lang w:val="ro-MO"/>
              </w:rPr>
              <w:t>-----</w:t>
            </w:r>
          </w:p>
        </w:tc>
      </w:tr>
    </w:tbl>
    <w:p w:rsidR="00004B19" w:rsidRDefault="00004B19" w:rsidP="00004B19">
      <w:pPr>
        <w:tabs>
          <w:tab w:val="left" w:pos="884"/>
          <w:tab w:val="left" w:pos="1196"/>
        </w:tabs>
        <w:spacing w:after="0" w:line="240" w:lineRule="auto"/>
        <w:jc w:val="both"/>
        <w:rPr>
          <w:rFonts w:ascii="Times New Roman" w:hAnsi="Times New Roman" w:cs="Times New Roman"/>
          <w:bCs/>
          <w:sz w:val="24"/>
          <w:szCs w:val="24"/>
          <w:vertAlign w:val="superscript"/>
          <w:lang w:val="ro-MO"/>
        </w:rPr>
      </w:pPr>
    </w:p>
    <w:p w:rsidR="00980F91" w:rsidRDefault="00980F91" w:rsidP="00004B19">
      <w:pPr>
        <w:tabs>
          <w:tab w:val="left" w:pos="884"/>
          <w:tab w:val="left" w:pos="1196"/>
        </w:tabs>
        <w:spacing w:after="0" w:line="240" w:lineRule="auto"/>
        <w:jc w:val="both"/>
        <w:rPr>
          <w:rFonts w:ascii="Times New Roman" w:hAnsi="Times New Roman" w:cs="Times New Roman"/>
          <w:bCs/>
          <w:sz w:val="24"/>
          <w:szCs w:val="24"/>
          <w:vertAlign w:val="superscript"/>
          <w:lang w:val="ro-MO"/>
        </w:rPr>
      </w:pPr>
    </w:p>
    <w:p w:rsidR="00232D6A" w:rsidRPr="000149B3" w:rsidRDefault="00232D6A" w:rsidP="00004B19">
      <w:pPr>
        <w:tabs>
          <w:tab w:val="left" w:pos="884"/>
          <w:tab w:val="left" w:pos="1196"/>
        </w:tabs>
        <w:spacing w:after="0" w:line="240" w:lineRule="auto"/>
        <w:jc w:val="both"/>
        <w:rPr>
          <w:rFonts w:ascii="Times New Roman" w:hAnsi="Times New Roman" w:cs="Times New Roman"/>
          <w:bCs/>
          <w:sz w:val="24"/>
          <w:szCs w:val="24"/>
          <w:vertAlign w:val="superscript"/>
          <w:lang w:val="ro-MO"/>
        </w:rPr>
      </w:pPr>
    </w:p>
    <w:p w:rsidR="00290ABF" w:rsidRPr="000149B3" w:rsidRDefault="00205C72" w:rsidP="00CE76A4">
      <w:pPr>
        <w:rPr>
          <w:rFonts w:ascii="Times New Roman" w:hAnsi="Times New Roman" w:cs="Times New Roman"/>
          <w:b/>
          <w:sz w:val="28"/>
          <w:szCs w:val="28"/>
        </w:rPr>
      </w:pPr>
      <w:r w:rsidRPr="000149B3">
        <w:rPr>
          <w:rFonts w:ascii="Times New Roman" w:hAnsi="Times New Roman" w:cs="Times New Roman"/>
          <w:b/>
          <w:sz w:val="28"/>
          <w:szCs w:val="28"/>
        </w:rPr>
        <w:t>Ministru</w:t>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00CE76A4" w:rsidRPr="000149B3">
        <w:rPr>
          <w:rFonts w:ascii="Times New Roman" w:hAnsi="Times New Roman" w:cs="Times New Roman"/>
          <w:b/>
          <w:sz w:val="28"/>
          <w:szCs w:val="28"/>
        </w:rPr>
        <w:tab/>
      </w:r>
      <w:r w:rsidRPr="000149B3">
        <w:rPr>
          <w:rFonts w:ascii="Times New Roman" w:hAnsi="Times New Roman" w:cs="Times New Roman"/>
          <w:b/>
          <w:sz w:val="28"/>
          <w:szCs w:val="28"/>
        </w:rPr>
        <w:tab/>
        <w:t xml:space="preserve">      Alexandru JIZDAN</w:t>
      </w:r>
    </w:p>
    <w:p w:rsidR="004C02CC" w:rsidRPr="000149B3" w:rsidRDefault="004C02CC" w:rsidP="00CE76A4">
      <w:pPr>
        <w:rPr>
          <w:rFonts w:ascii="Times New Roman" w:hAnsi="Times New Roman" w:cs="Times New Roman"/>
          <w:b/>
          <w:sz w:val="28"/>
          <w:szCs w:val="28"/>
        </w:rPr>
      </w:pPr>
    </w:p>
    <w:p w:rsidR="004C02CC" w:rsidRPr="000149B3" w:rsidRDefault="004C02CC" w:rsidP="00CE76A4">
      <w:pPr>
        <w:rPr>
          <w:rFonts w:ascii="Times New Roman" w:hAnsi="Times New Roman" w:cs="Times New Roman"/>
          <w:b/>
          <w:sz w:val="28"/>
          <w:szCs w:val="28"/>
        </w:rPr>
      </w:pPr>
    </w:p>
    <w:sectPr w:rsidR="004C02CC" w:rsidRPr="000149B3" w:rsidSect="00A2186B">
      <w:footerReference w:type="default" r:id="rId8"/>
      <w:pgSz w:w="11906" w:h="16838"/>
      <w:pgMar w:top="709" w:right="850" w:bottom="851" w:left="1701" w:header="0" w:footer="397"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7AD" w:rsidRDefault="00AB67AD" w:rsidP="006C6201">
      <w:pPr>
        <w:spacing w:after="0" w:line="240" w:lineRule="auto"/>
      </w:pPr>
      <w:r>
        <w:separator/>
      </w:r>
    </w:p>
  </w:endnote>
  <w:endnote w:type="continuationSeparator" w:id="0">
    <w:p w:rsidR="00AB67AD" w:rsidRDefault="00AB67AD" w:rsidP="006C6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BF" w:rsidRDefault="00290ABF">
    <w:pPr>
      <w:pStyle w:val="Subsol"/>
      <w:jc w:val="center"/>
    </w:pPr>
  </w:p>
  <w:p w:rsidR="00290ABF" w:rsidRDefault="00290AB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7AD" w:rsidRDefault="00AB67AD" w:rsidP="006C6201">
      <w:pPr>
        <w:spacing w:after="0" w:line="240" w:lineRule="auto"/>
      </w:pPr>
      <w:r>
        <w:separator/>
      </w:r>
    </w:p>
  </w:footnote>
  <w:footnote w:type="continuationSeparator" w:id="0">
    <w:p w:rsidR="00AB67AD" w:rsidRDefault="00AB67AD" w:rsidP="006C62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1280A"/>
    <w:rsid w:val="00004B19"/>
    <w:rsid w:val="000149B3"/>
    <w:rsid w:val="0002090C"/>
    <w:rsid w:val="00020C8E"/>
    <w:rsid w:val="0002395C"/>
    <w:rsid w:val="00036223"/>
    <w:rsid w:val="00037B9E"/>
    <w:rsid w:val="0004052F"/>
    <w:rsid w:val="00063128"/>
    <w:rsid w:val="00074411"/>
    <w:rsid w:val="00074981"/>
    <w:rsid w:val="00074AA2"/>
    <w:rsid w:val="000753F3"/>
    <w:rsid w:val="00075577"/>
    <w:rsid w:val="000A4A97"/>
    <w:rsid w:val="000A5981"/>
    <w:rsid w:val="000B2A50"/>
    <w:rsid w:val="000C11EB"/>
    <w:rsid w:val="000F0058"/>
    <w:rsid w:val="000F2C74"/>
    <w:rsid w:val="001137C7"/>
    <w:rsid w:val="0012158B"/>
    <w:rsid w:val="00132754"/>
    <w:rsid w:val="0013690B"/>
    <w:rsid w:val="00143D20"/>
    <w:rsid w:val="00150D8B"/>
    <w:rsid w:val="00156194"/>
    <w:rsid w:val="00156E27"/>
    <w:rsid w:val="0016112D"/>
    <w:rsid w:val="001810CD"/>
    <w:rsid w:val="00182DFE"/>
    <w:rsid w:val="0018585B"/>
    <w:rsid w:val="001A69EF"/>
    <w:rsid w:val="001A7DF0"/>
    <w:rsid w:val="001C2DB6"/>
    <w:rsid w:val="001C5CDD"/>
    <w:rsid w:val="001C7198"/>
    <w:rsid w:val="001E1173"/>
    <w:rsid w:val="001F21D0"/>
    <w:rsid w:val="00205C72"/>
    <w:rsid w:val="002146D7"/>
    <w:rsid w:val="00226231"/>
    <w:rsid w:val="00232D6A"/>
    <w:rsid w:val="002544D7"/>
    <w:rsid w:val="0025704E"/>
    <w:rsid w:val="00267550"/>
    <w:rsid w:val="0027042A"/>
    <w:rsid w:val="002767A1"/>
    <w:rsid w:val="00285A9F"/>
    <w:rsid w:val="00290ABF"/>
    <w:rsid w:val="002A016F"/>
    <w:rsid w:val="002A4209"/>
    <w:rsid w:val="002C66AE"/>
    <w:rsid w:val="002E56B6"/>
    <w:rsid w:val="002F0B1C"/>
    <w:rsid w:val="002F2EF5"/>
    <w:rsid w:val="002F43AE"/>
    <w:rsid w:val="002F4CF9"/>
    <w:rsid w:val="003027E7"/>
    <w:rsid w:val="00306FBC"/>
    <w:rsid w:val="00316C5C"/>
    <w:rsid w:val="00330580"/>
    <w:rsid w:val="003375CC"/>
    <w:rsid w:val="003442B1"/>
    <w:rsid w:val="003458F3"/>
    <w:rsid w:val="003531F8"/>
    <w:rsid w:val="00354545"/>
    <w:rsid w:val="0036311A"/>
    <w:rsid w:val="0036545D"/>
    <w:rsid w:val="00380A49"/>
    <w:rsid w:val="00381475"/>
    <w:rsid w:val="00394370"/>
    <w:rsid w:val="003A56F8"/>
    <w:rsid w:val="003C0676"/>
    <w:rsid w:val="003D44DE"/>
    <w:rsid w:val="003D4AFE"/>
    <w:rsid w:val="003E1BFF"/>
    <w:rsid w:val="003F6C6A"/>
    <w:rsid w:val="0040446E"/>
    <w:rsid w:val="00412140"/>
    <w:rsid w:val="004171E9"/>
    <w:rsid w:val="004177A7"/>
    <w:rsid w:val="00424382"/>
    <w:rsid w:val="004333F6"/>
    <w:rsid w:val="00434250"/>
    <w:rsid w:val="00435E81"/>
    <w:rsid w:val="00436152"/>
    <w:rsid w:val="00443A1D"/>
    <w:rsid w:val="0044710C"/>
    <w:rsid w:val="0044722E"/>
    <w:rsid w:val="00447CCF"/>
    <w:rsid w:val="00454358"/>
    <w:rsid w:val="00470F15"/>
    <w:rsid w:val="0048059F"/>
    <w:rsid w:val="004822E3"/>
    <w:rsid w:val="00482D61"/>
    <w:rsid w:val="00493366"/>
    <w:rsid w:val="004C02CC"/>
    <w:rsid w:val="004C192E"/>
    <w:rsid w:val="004C66E4"/>
    <w:rsid w:val="004D2D31"/>
    <w:rsid w:val="004D3D24"/>
    <w:rsid w:val="004D5B17"/>
    <w:rsid w:val="004D6496"/>
    <w:rsid w:val="004F2768"/>
    <w:rsid w:val="0050017B"/>
    <w:rsid w:val="00501BAB"/>
    <w:rsid w:val="00504527"/>
    <w:rsid w:val="005231B3"/>
    <w:rsid w:val="00523F61"/>
    <w:rsid w:val="005269A2"/>
    <w:rsid w:val="005273B8"/>
    <w:rsid w:val="005365F0"/>
    <w:rsid w:val="00563EC7"/>
    <w:rsid w:val="00567B36"/>
    <w:rsid w:val="00576AA9"/>
    <w:rsid w:val="00583B8B"/>
    <w:rsid w:val="005910BF"/>
    <w:rsid w:val="005B2E57"/>
    <w:rsid w:val="005D2566"/>
    <w:rsid w:val="005D5E34"/>
    <w:rsid w:val="005D62F1"/>
    <w:rsid w:val="005F40E1"/>
    <w:rsid w:val="005F63F7"/>
    <w:rsid w:val="005F704C"/>
    <w:rsid w:val="0061017F"/>
    <w:rsid w:val="0062206A"/>
    <w:rsid w:val="006421DC"/>
    <w:rsid w:val="00660211"/>
    <w:rsid w:val="00664440"/>
    <w:rsid w:val="006667A6"/>
    <w:rsid w:val="00667F99"/>
    <w:rsid w:val="006727CA"/>
    <w:rsid w:val="00677F04"/>
    <w:rsid w:val="006940A3"/>
    <w:rsid w:val="00694C49"/>
    <w:rsid w:val="006C6201"/>
    <w:rsid w:val="006C6B6C"/>
    <w:rsid w:val="006E4665"/>
    <w:rsid w:val="006E4747"/>
    <w:rsid w:val="006F683A"/>
    <w:rsid w:val="00703B13"/>
    <w:rsid w:val="00712E9F"/>
    <w:rsid w:val="00720E4C"/>
    <w:rsid w:val="00721204"/>
    <w:rsid w:val="00721913"/>
    <w:rsid w:val="00726A7B"/>
    <w:rsid w:val="00731A9B"/>
    <w:rsid w:val="00760684"/>
    <w:rsid w:val="00761E5A"/>
    <w:rsid w:val="00771B4D"/>
    <w:rsid w:val="007730F3"/>
    <w:rsid w:val="00775F76"/>
    <w:rsid w:val="00781968"/>
    <w:rsid w:val="00790351"/>
    <w:rsid w:val="007B5C8E"/>
    <w:rsid w:val="007C29B6"/>
    <w:rsid w:val="007D1D72"/>
    <w:rsid w:val="007D626B"/>
    <w:rsid w:val="007E7283"/>
    <w:rsid w:val="007F0F6B"/>
    <w:rsid w:val="008345CA"/>
    <w:rsid w:val="00834AE8"/>
    <w:rsid w:val="00840736"/>
    <w:rsid w:val="00861811"/>
    <w:rsid w:val="00875621"/>
    <w:rsid w:val="00882A42"/>
    <w:rsid w:val="008B455B"/>
    <w:rsid w:val="008C21FB"/>
    <w:rsid w:val="008E4D91"/>
    <w:rsid w:val="008F2C05"/>
    <w:rsid w:val="008F494D"/>
    <w:rsid w:val="00905FC0"/>
    <w:rsid w:val="00911781"/>
    <w:rsid w:val="00920A06"/>
    <w:rsid w:val="0093553F"/>
    <w:rsid w:val="00953DC2"/>
    <w:rsid w:val="00961CD4"/>
    <w:rsid w:val="00973CE1"/>
    <w:rsid w:val="00980F91"/>
    <w:rsid w:val="0098531A"/>
    <w:rsid w:val="009A4A3F"/>
    <w:rsid w:val="009A7B36"/>
    <w:rsid w:val="009C582F"/>
    <w:rsid w:val="009D5C87"/>
    <w:rsid w:val="009F2F0E"/>
    <w:rsid w:val="00A151E7"/>
    <w:rsid w:val="00A2186B"/>
    <w:rsid w:val="00A30AB2"/>
    <w:rsid w:val="00A33198"/>
    <w:rsid w:val="00A75DC3"/>
    <w:rsid w:val="00A7780D"/>
    <w:rsid w:val="00A8149C"/>
    <w:rsid w:val="00AB67AD"/>
    <w:rsid w:val="00AC10D6"/>
    <w:rsid w:val="00AC30F4"/>
    <w:rsid w:val="00AD22CF"/>
    <w:rsid w:val="00AD24A6"/>
    <w:rsid w:val="00AE6B86"/>
    <w:rsid w:val="00AF1705"/>
    <w:rsid w:val="00B22DC7"/>
    <w:rsid w:val="00B348AA"/>
    <w:rsid w:val="00B34B4B"/>
    <w:rsid w:val="00B40E5E"/>
    <w:rsid w:val="00B42093"/>
    <w:rsid w:val="00B4487B"/>
    <w:rsid w:val="00B71C59"/>
    <w:rsid w:val="00BB1930"/>
    <w:rsid w:val="00BB287F"/>
    <w:rsid w:val="00BC6E39"/>
    <w:rsid w:val="00BD301A"/>
    <w:rsid w:val="00BD4C14"/>
    <w:rsid w:val="00BF2733"/>
    <w:rsid w:val="00BF7448"/>
    <w:rsid w:val="00C046A8"/>
    <w:rsid w:val="00C07119"/>
    <w:rsid w:val="00C1110E"/>
    <w:rsid w:val="00C471A8"/>
    <w:rsid w:val="00C81AEC"/>
    <w:rsid w:val="00C82435"/>
    <w:rsid w:val="00C87F80"/>
    <w:rsid w:val="00C94864"/>
    <w:rsid w:val="00CA7223"/>
    <w:rsid w:val="00CB28DA"/>
    <w:rsid w:val="00CC6210"/>
    <w:rsid w:val="00CC7A81"/>
    <w:rsid w:val="00CD7C09"/>
    <w:rsid w:val="00CE108F"/>
    <w:rsid w:val="00CE3149"/>
    <w:rsid w:val="00CE4B8E"/>
    <w:rsid w:val="00CE6C38"/>
    <w:rsid w:val="00CE76A4"/>
    <w:rsid w:val="00CF095B"/>
    <w:rsid w:val="00CF67C9"/>
    <w:rsid w:val="00D01D14"/>
    <w:rsid w:val="00D1280A"/>
    <w:rsid w:val="00D3326E"/>
    <w:rsid w:val="00D35288"/>
    <w:rsid w:val="00D52096"/>
    <w:rsid w:val="00D6467A"/>
    <w:rsid w:val="00D7324E"/>
    <w:rsid w:val="00D75A2A"/>
    <w:rsid w:val="00DA0E40"/>
    <w:rsid w:val="00DA3E4B"/>
    <w:rsid w:val="00DA72D5"/>
    <w:rsid w:val="00DC0F29"/>
    <w:rsid w:val="00DC7F14"/>
    <w:rsid w:val="00DE3D3E"/>
    <w:rsid w:val="00E03E58"/>
    <w:rsid w:val="00E0520D"/>
    <w:rsid w:val="00E20579"/>
    <w:rsid w:val="00E3268F"/>
    <w:rsid w:val="00E379AC"/>
    <w:rsid w:val="00E43622"/>
    <w:rsid w:val="00E45412"/>
    <w:rsid w:val="00E50FF8"/>
    <w:rsid w:val="00E5464B"/>
    <w:rsid w:val="00E556EC"/>
    <w:rsid w:val="00E61D5C"/>
    <w:rsid w:val="00E65EFA"/>
    <w:rsid w:val="00E65F0B"/>
    <w:rsid w:val="00E70D9E"/>
    <w:rsid w:val="00E74D06"/>
    <w:rsid w:val="00E75AA1"/>
    <w:rsid w:val="00E86430"/>
    <w:rsid w:val="00E92A46"/>
    <w:rsid w:val="00E92B06"/>
    <w:rsid w:val="00EB31B6"/>
    <w:rsid w:val="00EC52EA"/>
    <w:rsid w:val="00ED7471"/>
    <w:rsid w:val="00EF43D9"/>
    <w:rsid w:val="00EF764E"/>
    <w:rsid w:val="00F170EC"/>
    <w:rsid w:val="00F4282C"/>
    <w:rsid w:val="00F53B06"/>
    <w:rsid w:val="00F54A51"/>
    <w:rsid w:val="00F6278A"/>
    <w:rsid w:val="00F7151F"/>
    <w:rsid w:val="00F76F80"/>
    <w:rsid w:val="00FA66F5"/>
    <w:rsid w:val="00FB3296"/>
    <w:rsid w:val="00FC0492"/>
    <w:rsid w:val="00FC105F"/>
    <w:rsid w:val="00FC7E57"/>
    <w:rsid w:val="00FD711A"/>
    <w:rsid w:val="00FD77D8"/>
    <w:rsid w:val="00FF1FDF"/>
    <w:rsid w:val="00FF27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2E"/>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6C6201"/>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6C6201"/>
  </w:style>
  <w:style w:type="paragraph" w:styleId="Subsol">
    <w:name w:val="footer"/>
    <w:basedOn w:val="Normal"/>
    <w:link w:val="SubsolCaracter"/>
    <w:uiPriority w:val="99"/>
    <w:unhideWhenUsed/>
    <w:rsid w:val="006C620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6C6201"/>
  </w:style>
  <w:style w:type="paragraph" w:styleId="NormalWeb">
    <w:name w:val="Normal (Web)"/>
    <w:basedOn w:val="Normal"/>
    <w:uiPriority w:val="99"/>
    <w:unhideWhenUsed/>
    <w:rsid w:val="00EF764E"/>
    <w:pPr>
      <w:spacing w:after="0" w:line="240" w:lineRule="auto"/>
      <w:ind w:firstLine="567"/>
      <w:jc w:val="both"/>
    </w:pPr>
    <w:rPr>
      <w:rFonts w:ascii="Times New Roman" w:eastAsia="Times New Roman" w:hAnsi="Times New Roman" w:cs="Times New Roman"/>
      <w:sz w:val="24"/>
      <w:szCs w:val="24"/>
      <w:lang w:val="ru-RU" w:eastAsia="ru-RU"/>
    </w:rPr>
  </w:style>
  <w:style w:type="paragraph" w:styleId="TextnBalon">
    <w:name w:val="Balloon Text"/>
    <w:basedOn w:val="Normal"/>
    <w:link w:val="TextnBalonCaracter"/>
    <w:uiPriority w:val="99"/>
    <w:semiHidden/>
    <w:unhideWhenUsed/>
    <w:rsid w:val="0027042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70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2DFDA-8E5A-4BDB-991D-40AA86AE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860</Words>
  <Characters>4991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User</cp:lastModifiedBy>
  <cp:revision>26</cp:revision>
  <cp:lastPrinted>2018-11-27T07:19:00Z</cp:lastPrinted>
  <dcterms:created xsi:type="dcterms:W3CDTF">2018-11-14T11:30:00Z</dcterms:created>
  <dcterms:modified xsi:type="dcterms:W3CDTF">2018-12-13T11:52:00Z</dcterms:modified>
</cp:coreProperties>
</file>