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28" w:rsidRDefault="00F83528" w:rsidP="00F83528">
      <w:pPr>
        <w:tabs>
          <w:tab w:val="left" w:pos="567"/>
        </w:tabs>
        <w:ind w:right="175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bookmarkStart w:id="0" w:name="_GoBack"/>
      <w:bookmarkEnd w:id="0"/>
    </w:p>
    <w:p w:rsidR="00F83528" w:rsidRDefault="00F83528" w:rsidP="00F83528">
      <w:pPr>
        <w:tabs>
          <w:tab w:val="left" w:pos="567"/>
        </w:tabs>
        <w:ind w:right="175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</w:p>
    <w:p w:rsidR="00C337E2" w:rsidRPr="00C337E2" w:rsidRDefault="00C337E2" w:rsidP="00C337E2">
      <w:pPr>
        <w:tabs>
          <w:tab w:val="left" w:pos="567"/>
        </w:tabs>
        <w:ind w:right="175"/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337E2">
        <w:rPr>
          <w:rFonts w:ascii="Times New Roman" w:hAnsi="Times New Roman" w:cs="Times New Roman"/>
          <w:bCs/>
          <w:i/>
          <w:color w:val="000000"/>
          <w:sz w:val="28"/>
          <w:szCs w:val="28"/>
        </w:rPr>
        <w:t>proiect</w:t>
      </w:r>
    </w:p>
    <w:p w:rsidR="00C337E2" w:rsidRPr="00C337E2" w:rsidRDefault="00C337E2" w:rsidP="00C337E2">
      <w:pPr>
        <w:tabs>
          <w:tab w:val="left" w:pos="567"/>
        </w:tabs>
        <w:ind w:left="540" w:right="175" w:firstLine="567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37E2" w:rsidRPr="00C337E2" w:rsidRDefault="00C337E2" w:rsidP="00C337E2">
      <w:pPr>
        <w:tabs>
          <w:tab w:val="left" w:pos="567"/>
        </w:tabs>
        <w:ind w:left="540" w:right="175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GUVERNUL REPUBLICII MOLDOVA</w:t>
      </w:r>
    </w:p>
    <w:p w:rsidR="00C337E2" w:rsidRPr="00C337E2" w:rsidRDefault="00C337E2" w:rsidP="00C337E2">
      <w:pPr>
        <w:tabs>
          <w:tab w:val="left" w:pos="567"/>
        </w:tabs>
        <w:spacing w:before="240" w:after="60" w:line="240" w:lineRule="auto"/>
        <w:ind w:right="175" w:firstLine="567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HOTĂRÎRE  nr.______</w:t>
      </w:r>
    </w:p>
    <w:p w:rsidR="00C337E2" w:rsidRPr="00C337E2" w:rsidRDefault="00C337E2" w:rsidP="00C337E2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E2">
        <w:rPr>
          <w:rFonts w:ascii="Times New Roman" w:hAnsi="Times New Roman" w:cs="Times New Roman"/>
          <w:b/>
          <w:color w:val="000000"/>
          <w:sz w:val="28"/>
          <w:szCs w:val="28"/>
        </w:rPr>
        <w:t>din ______________________2018</w:t>
      </w:r>
    </w:p>
    <w:p w:rsidR="00C337E2" w:rsidRPr="00C337E2" w:rsidRDefault="00C337E2" w:rsidP="00C337E2">
      <w:pPr>
        <w:tabs>
          <w:tab w:val="left" w:pos="567"/>
        </w:tabs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337E2" w:rsidRPr="00C337E2" w:rsidRDefault="00C337E2" w:rsidP="00C337E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proofErr w:type="spellStart"/>
      <w:proofErr w:type="gramStart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pentru</w:t>
      </w:r>
      <w:proofErr w:type="spellEnd"/>
      <w:proofErr w:type="gramEnd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modificarea</w:t>
      </w:r>
      <w:proofErr w:type="spellEnd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unor</w:t>
      </w:r>
      <w:proofErr w:type="spellEnd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hotărîri</w:t>
      </w:r>
      <w:proofErr w:type="spellEnd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ale </w:t>
      </w:r>
      <w:proofErr w:type="spellStart"/>
      <w:r w:rsidRPr="00C337E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Guvernului</w:t>
      </w:r>
      <w:proofErr w:type="spellEnd"/>
    </w:p>
    <w:p w:rsidR="00C337E2" w:rsidRPr="00C337E2" w:rsidRDefault="00C337E2" w:rsidP="00C337E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C337E2" w:rsidRPr="00C337E2" w:rsidRDefault="00C337E2" w:rsidP="00C337E2">
      <w:pPr>
        <w:tabs>
          <w:tab w:val="left" w:pos="567"/>
        </w:tabs>
        <w:ind w:right="17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E2">
        <w:rPr>
          <w:rFonts w:ascii="Times New Roman" w:hAnsi="Times New Roman" w:cs="Times New Roman"/>
          <w:color w:val="000000"/>
          <w:sz w:val="28"/>
          <w:szCs w:val="28"/>
        </w:rPr>
        <w:t xml:space="preserve">Guvernul </w:t>
      </w:r>
      <w:r w:rsidRPr="00C337E2">
        <w:rPr>
          <w:rFonts w:ascii="Times New Roman" w:hAnsi="Times New Roman" w:cs="Times New Roman"/>
          <w:b/>
          <w:color w:val="000000"/>
          <w:sz w:val="28"/>
          <w:szCs w:val="28"/>
        </w:rPr>
        <w:t>HOTĂRĂŞTE:</w:t>
      </w:r>
    </w:p>
    <w:p w:rsidR="00C337E2" w:rsidRPr="00C337E2" w:rsidRDefault="00C337E2" w:rsidP="00C337E2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1.</w:t>
      </w:r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Anexa</w:t>
      </w:r>
      <w:proofErr w:type="gram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nr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proofErr w:type="gram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proofErr w:type="gram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la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Hotărârea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Guvernului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nr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965 din 17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noiembrie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2014 „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Pentru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aprobarea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Regulamentului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privind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organizarea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funcţionarea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Sistemului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automatizat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supraveghere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circulaţiei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rutiere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„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Controlul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traficului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”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şi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modificarea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Concepţiei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Sistemului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automatizat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supraveghere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circulaţiei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rutiere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„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Controlul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traficului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 (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Monitorul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Oficial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Republicii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Moldova, 2014,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nr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352-357, art. 1043) se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modifică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după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cum </w:t>
      </w:r>
      <w:proofErr w:type="spellStart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urmează</w:t>
      </w:r>
      <w:proofErr w:type="spellEnd"/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C337E2" w:rsidRPr="00C337E2" w:rsidRDefault="00C337E2" w:rsidP="00C337E2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1)La punctul 2:</w:t>
      </w:r>
    </w:p>
    <w:p w:rsidR="00C337E2" w:rsidRPr="00C337E2" w:rsidRDefault="00C337E2" w:rsidP="00C337E2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a) la noțiunea ,,</w:t>
      </w:r>
      <w:r w:rsidRPr="00C33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administrator </w:t>
      </w:r>
      <w:proofErr w:type="spellStart"/>
      <w:r w:rsidRPr="00C33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tehnico</w:t>
      </w:r>
      <w:proofErr w:type="spellEnd"/>
      <w:r w:rsidRPr="00C33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-tehnologic al Sistemului”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, cuvintele „în baza contractelor încheiate cu posesorul”, se completează cu textul 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precum și 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public-privat”;</w:t>
      </w:r>
    </w:p>
    <w:p w:rsidR="00C337E2" w:rsidRPr="00C337E2" w:rsidRDefault="00C337E2" w:rsidP="00C337E2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b) la noțiunea ,,</w:t>
      </w:r>
      <w:r w:rsidRPr="00C33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furnizor de infrastructură”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, cuvintele „instituțiile publice autonome”, se completează cu textul 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precum și 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37E2" w:rsidRPr="00C337E2" w:rsidRDefault="00C337E2" w:rsidP="00C337E2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c) noțiunea </w:t>
      </w:r>
      <w:r w:rsidRPr="00C33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„operator”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, se completează cu textul 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precum și 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37E2" w:rsidRPr="00C337E2" w:rsidRDefault="00C337E2" w:rsidP="00C337E2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d) noțiunea „</w:t>
      </w:r>
      <w:proofErr w:type="spellStart"/>
      <w:r w:rsidRPr="00C33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subregistrator</w:t>
      </w:r>
      <w:proofErr w:type="spellEnd"/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” se completează cu textul 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precum și 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37E2" w:rsidRPr="00C337E2" w:rsidRDefault="00C337E2" w:rsidP="00EC128D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e) noțiunea „</w:t>
      </w:r>
      <w:r w:rsidRPr="00C337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utilizator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”, se completează cu textul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precum și 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public-privat”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128D" w:rsidRPr="00C337E2" w:rsidRDefault="00C337E2" w:rsidP="00EC128D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E2">
        <w:rPr>
          <w:rFonts w:ascii="Times New Roman" w:hAnsi="Times New Roman" w:cs="Times New Roman"/>
          <w:sz w:val="28"/>
          <w:szCs w:val="28"/>
        </w:rPr>
        <w:t>2) La pct. 8, textul ,,Deținătorul și registratorul Sistemului este Serviciul Tehnologii informaționale”, se completează cu textul</w:t>
      </w:r>
      <w:r w:rsidR="00EC128D">
        <w:rPr>
          <w:rFonts w:ascii="Times New Roman" w:hAnsi="Times New Roman" w:cs="Times New Roman"/>
          <w:sz w:val="28"/>
          <w:szCs w:val="28"/>
        </w:rPr>
        <w:t xml:space="preserve"> 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inclusiv și 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public-privat”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37E2" w:rsidRPr="00C337E2" w:rsidRDefault="00C337E2" w:rsidP="00C337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37E2" w:rsidRPr="00C337E2" w:rsidRDefault="00C337E2" w:rsidP="00C337E2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337E2">
        <w:rPr>
          <w:rFonts w:ascii="Times New Roman" w:hAnsi="Times New Roman" w:cs="Times New Roman"/>
          <w:sz w:val="28"/>
          <w:szCs w:val="28"/>
        </w:rPr>
        <w:tab/>
      </w:r>
      <w:r w:rsidRPr="00C337E2">
        <w:rPr>
          <w:rFonts w:ascii="Times New Roman" w:hAnsi="Times New Roman" w:cs="Times New Roman"/>
          <w:b/>
          <w:sz w:val="28"/>
          <w:szCs w:val="28"/>
        </w:rPr>
        <w:t>2.</w:t>
      </w:r>
      <w:r w:rsidRPr="00C337E2">
        <w:rPr>
          <w:rFonts w:ascii="Times New Roman" w:hAnsi="Times New Roman" w:cs="Times New Roman"/>
          <w:sz w:val="28"/>
          <w:szCs w:val="28"/>
        </w:rPr>
        <w:t xml:space="preserve"> Punctul 11 din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Concepţia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 Sistemului automatizat de supraveghere a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circulaţiei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 rutiere „Controlul traficului”, aprobată prin Hotărârea Guvernului nr. 40 din 17 ianuarie 2012 (Monitorul Oficial al Republicii Moldova, 2012, nr. 21-24, art. 61), se modifică după cum urmează:</w:t>
      </w:r>
    </w:p>
    <w:p w:rsidR="00C337E2" w:rsidRPr="00C337E2" w:rsidRDefault="00C337E2" w:rsidP="00C3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7E2" w:rsidRPr="00C337E2" w:rsidRDefault="00C337E2" w:rsidP="00C337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28D" w:rsidRDefault="00C337E2" w:rsidP="00EC128D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37E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37E2" w:rsidRPr="00C337E2" w:rsidRDefault="00C337E2" w:rsidP="00EC128D">
      <w:pPr>
        <w:tabs>
          <w:tab w:val="left" w:pos="567"/>
          <w:tab w:val="left" w:pos="822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7E2">
        <w:rPr>
          <w:rFonts w:ascii="Times New Roman" w:hAnsi="Times New Roman" w:cs="Times New Roman"/>
          <w:sz w:val="28"/>
          <w:szCs w:val="28"/>
        </w:rPr>
        <w:t xml:space="preserve"> 1) Alineatul unu se completează cu textul, 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inclusiv și 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public-privat”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37E2" w:rsidRPr="00C337E2" w:rsidRDefault="00C337E2" w:rsidP="00C337E2">
      <w:pPr>
        <w:jc w:val="both"/>
        <w:rPr>
          <w:rFonts w:ascii="Times New Roman" w:hAnsi="Times New Roman" w:cs="Times New Roman"/>
          <w:sz w:val="28"/>
          <w:szCs w:val="28"/>
        </w:rPr>
      </w:pPr>
      <w:r w:rsidRPr="00C337E2">
        <w:rPr>
          <w:rFonts w:ascii="Times New Roman" w:hAnsi="Times New Roman" w:cs="Times New Roman"/>
          <w:sz w:val="28"/>
          <w:szCs w:val="28"/>
        </w:rPr>
        <w:t xml:space="preserve">      </w:t>
      </w:r>
      <w:r w:rsidR="00EC128D">
        <w:rPr>
          <w:rFonts w:ascii="Times New Roman" w:hAnsi="Times New Roman" w:cs="Times New Roman"/>
          <w:sz w:val="28"/>
          <w:szCs w:val="28"/>
        </w:rPr>
        <w:tab/>
      </w:r>
      <w:r w:rsidRPr="00C337E2">
        <w:rPr>
          <w:rFonts w:ascii="Times New Roman" w:hAnsi="Times New Roman" w:cs="Times New Roman"/>
          <w:sz w:val="28"/>
          <w:szCs w:val="28"/>
        </w:rPr>
        <w:t xml:space="preserve">2) Alineatul al doilea va avea următorul cuprins: „Serviciul tehnologii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informaţionale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 din subordinea Ministerului Afacerilor Interne,</w:t>
      </w:r>
      <w:r w:rsidR="00EC128D" w:rsidRP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inclusiv și 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partenerii </w:t>
      </w:r>
      <w:r w:rsidR="00EC128D">
        <w:rPr>
          <w:rFonts w:ascii="Times New Roman" w:eastAsia="Times New Roman" w:hAnsi="Times New Roman" w:cs="Times New Roman"/>
          <w:sz w:val="28"/>
          <w:szCs w:val="28"/>
          <w:lang w:eastAsia="ru-RU"/>
        </w:rPr>
        <w:t>în cadrul proiectelor de parteneriat</w:t>
      </w:r>
      <w:r w:rsidR="00EC128D" w:rsidRPr="00C33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public-privat</w:t>
      </w:r>
      <w:r w:rsidRPr="00C337E2">
        <w:rPr>
          <w:rFonts w:ascii="Times New Roman" w:hAnsi="Times New Roman" w:cs="Times New Roman"/>
          <w:sz w:val="28"/>
          <w:szCs w:val="28"/>
        </w:rPr>
        <w:t xml:space="preserve">, în calitate de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deţinători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, realizează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atribuţiile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 privind asigurarea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funcţionalităţii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 întregului Sistem, prin crearea, implementarea,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ţinerea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, dezvoltarea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7E2">
        <w:rPr>
          <w:rFonts w:ascii="Times New Roman" w:hAnsi="Times New Roman" w:cs="Times New Roman"/>
          <w:sz w:val="28"/>
          <w:szCs w:val="28"/>
        </w:rPr>
        <w:t>mentenanţa</w:t>
      </w:r>
      <w:proofErr w:type="spellEnd"/>
      <w:r w:rsidRPr="00C337E2">
        <w:rPr>
          <w:rFonts w:ascii="Times New Roman" w:hAnsi="Times New Roman" w:cs="Times New Roman"/>
          <w:sz w:val="28"/>
          <w:szCs w:val="28"/>
        </w:rPr>
        <w:t xml:space="preserve"> acestuia”.</w:t>
      </w:r>
    </w:p>
    <w:p w:rsidR="00C337E2" w:rsidRPr="00C337E2" w:rsidRDefault="00C337E2" w:rsidP="00C337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37E2" w:rsidRPr="00C337E2" w:rsidRDefault="00C337E2" w:rsidP="00C337E2">
      <w:pPr>
        <w:keepNext/>
        <w:keepLines/>
        <w:tabs>
          <w:tab w:val="left" w:pos="567"/>
        </w:tabs>
        <w:spacing w:before="200" w:after="0" w:line="240" w:lineRule="auto"/>
        <w:ind w:right="-1" w:firstLine="567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337E2" w:rsidRPr="00C337E2" w:rsidRDefault="00C337E2" w:rsidP="00C337E2">
      <w:pPr>
        <w:keepNext/>
        <w:keepLines/>
        <w:tabs>
          <w:tab w:val="left" w:pos="567"/>
        </w:tabs>
        <w:spacing w:before="200" w:after="0" w:line="240" w:lineRule="auto"/>
        <w:ind w:right="-1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PRIM-MINISTRU</w:t>
      </w: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             Pavel FILIP</w:t>
      </w:r>
    </w:p>
    <w:p w:rsidR="00C337E2" w:rsidRPr="00C337E2" w:rsidRDefault="00C337E2" w:rsidP="00C337E2">
      <w:pPr>
        <w:tabs>
          <w:tab w:val="left" w:pos="567"/>
        </w:tabs>
        <w:ind w:left="540" w:right="17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7E2" w:rsidRPr="00C337E2" w:rsidRDefault="00C337E2" w:rsidP="00C337E2">
      <w:pPr>
        <w:tabs>
          <w:tab w:val="left" w:pos="567"/>
        </w:tabs>
        <w:ind w:right="175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37E2" w:rsidRPr="00C337E2" w:rsidRDefault="00C337E2" w:rsidP="00C337E2">
      <w:pPr>
        <w:tabs>
          <w:tab w:val="left" w:pos="567"/>
        </w:tabs>
        <w:ind w:right="175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337E2">
        <w:rPr>
          <w:rFonts w:ascii="Times New Roman" w:hAnsi="Times New Roman" w:cs="Times New Roman"/>
          <w:b/>
          <w:color w:val="000000"/>
          <w:sz w:val="28"/>
          <w:szCs w:val="28"/>
        </w:rPr>
        <w:t>Contrasemnează:</w:t>
      </w:r>
    </w:p>
    <w:p w:rsidR="00C337E2" w:rsidRPr="00C337E2" w:rsidRDefault="00C337E2" w:rsidP="00C337E2">
      <w:pPr>
        <w:tabs>
          <w:tab w:val="left" w:pos="567"/>
        </w:tabs>
        <w:ind w:right="175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7E2" w:rsidRPr="00C337E2" w:rsidRDefault="00C337E2" w:rsidP="00C337E2">
      <w:pPr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E2">
        <w:rPr>
          <w:rFonts w:ascii="Times New Roman" w:hAnsi="Times New Roman" w:cs="Times New Roman"/>
          <w:color w:val="000000"/>
          <w:sz w:val="28"/>
          <w:szCs w:val="28"/>
        </w:rPr>
        <w:t xml:space="preserve">Ministrul afacerilor interne </w:t>
      </w:r>
      <w:r w:rsidRPr="00C33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7E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337E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Alexandru JIZDAN</w:t>
      </w:r>
    </w:p>
    <w:p w:rsidR="00C337E2" w:rsidRPr="00C337E2" w:rsidRDefault="00C337E2" w:rsidP="00C337E2">
      <w:pPr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337E2" w:rsidRPr="00C337E2" w:rsidRDefault="00C337E2" w:rsidP="00C337E2">
      <w:pPr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7E2">
        <w:rPr>
          <w:rFonts w:ascii="Times New Roman" w:hAnsi="Times New Roman" w:cs="Times New Roman"/>
          <w:color w:val="000000"/>
          <w:sz w:val="28"/>
          <w:szCs w:val="28"/>
        </w:rPr>
        <w:t xml:space="preserve">Ministrul economiei și infrastructurii                            Chiril GABURICI    </w:t>
      </w: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C337E2" w:rsidRDefault="00C337E2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EC128D" w:rsidRDefault="00EC128D" w:rsidP="00C337E2">
      <w:pPr>
        <w:autoSpaceDE w:val="0"/>
        <w:autoSpaceDN w:val="0"/>
        <w:adjustRightInd w:val="0"/>
        <w:spacing w:before="65" w:after="0" w:line="319" w:lineRule="exact"/>
        <w:ind w:firstLine="20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o-RO"/>
        </w:rPr>
      </w:pPr>
    </w:p>
    <w:p w:rsidR="00F83528" w:rsidRDefault="00F83528" w:rsidP="00F83528">
      <w:pPr>
        <w:autoSpaceDE w:val="0"/>
        <w:autoSpaceDN w:val="0"/>
        <w:adjustRightInd w:val="0"/>
        <w:spacing w:before="65" w:after="0" w:line="319" w:lineRule="exac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</w:pPr>
      <w:r w:rsidRPr="00C337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  <w:t>NOTĂ INFORMATIVĂ</w:t>
      </w:r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</w:pPr>
      <w:proofErr w:type="gram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la</w:t>
      </w:r>
      <w:proofErr w:type="gramEnd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proiectul</w:t>
      </w:r>
      <w:proofErr w:type="spellEnd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hotărârii</w:t>
      </w:r>
      <w:proofErr w:type="spellEnd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Guvernului</w:t>
      </w:r>
      <w:proofErr w:type="spellEnd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pentru</w:t>
      </w:r>
      <w:proofErr w:type="spellEnd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modificarea</w:t>
      </w:r>
      <w:proofErr w:type="spellEnd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unor</w:t>
      </w:r>
      <w:proofErr w:type="spellEnd"/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</w:pPr>
      <w:proofErr w:type="spellStart"/>
      <w:proofErr w:type="gram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hotărîri</w:t>
      </w:r>
      <w:proofErr w:type="spellEnd"/>
      <w:proofErr w:type="gramEnd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ale </w:t>
      </w:r>
      <w:proofErr w:type="spellStart"/>
      <w:r w:rsidRPr="00C337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Guvernului</w:t>
      </w:r>
      <w:proofErr w:type="spellEnd"/>
    </w:p>
    <w:p w:rsidR="00C337E2" w:rsidRPr="00C337E2" w:rsidRDefault="00C337E2" w:rsidP="00C337E2">
      <w:pPr>
        <w:autoSpaceDE w:val="0"/>
        <w:autoSpaceDN w:val="0"/>
        <w:adjustRightInd w:val="0"/>
        <w:spacing w:before="65" w:after="0" w:line="319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</w:pPr>
    </w:p>
    <w:tbl>
      <w:tblPr>
        <w:tblW w:w="4941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9"/>
      </w:tblGrid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1.</w:t>
            </w: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Denumirea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autorului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după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caz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, 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participanţilor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la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elaborarea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Ministerul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Afacerilor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Interne</w:t>
            </w:r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2.</w:t>
            </w: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Condiţiile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au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impus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elaborarea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de act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normativ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finalităţile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urmărite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tabs>
                <w:tab w:val="left" w:leader="underscore" w:pos="3119"/>
                <w:tab w:val="left" w:leader="underscore" w:pos="8789"/>
              </w:tabs>
              <w:autoSpaceDE w:val="0"/>
              <w:autoSpaceDN w:val="0"/>
              <w:adjustRightInd w:val="0"/>
              <w:spacing w:before="82" w:after="0" w:line="319" w:lineRule="exact"/>
              <w:ind w:right="8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Proiectul actului normativ a fost elaborat în scopul </w:t>
            </w:r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implementării Legii nr. 179-XVI din 10 iunie 2008 cu privire la parteneriatul public-privat și implică r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ealizarea proiectului privind </w:t>
            </w:r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 xml:space="preserve">Crearea Sistemului Automatizat de Supraveghere 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>Siguranţei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 xml:space="preserve"> Publice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 xml:space="preserve"> Rutiere în Republica Moldova” (SASSPR)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, prin modalitatea </w:t>
            </w:r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Project-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Build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-Operate-Transfer (PBOT)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, prin care proiectarea,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construcţia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operarea obiectului parteneriatului public-privat, vor fi transferate către partenerul public după finalizarea parteneriatului. </w:t>
            </w:r>
          </w:p>
          <w:p w:rsidR="00C337E2" w:rsidRPr="00C337E2" w:rsidRDefault="00C337E2" w:rsidP="00C337E2">
            <w:pPr>
              <w:tabs>
                <w:tab w:val="left" w:leader="underscore" w:pos="3119"/>
                <w:tab w:val="left" w:leader="underscore" w:pos="8789"/>
              </w:tabs>
              <w:autoSpaceDE w:val="0"/>
              <w:autoSpaceDN w:val="0"/>
              <w:adjustRightInd w:val="0"/>
              <w:spacing w:before="82" w:after="0" w:line="319" w:lineRule="exact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     Analizând cadrul normativ, implicit Legea nr. 133 din 08 iulie 2011 privind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protecţia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datelor cu caracter personal, Legea nr. 71 din 22 martie 2007 cu privire la registre, se atestă faptul că la momentul actual prevederile Regulamentului privind organizarea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funcţionarea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Sistemului automatizat de supraveghere a circulației rutiere ,,Controlul traficului”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modificarea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Concepţiei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Sistemului automatizat de supraveghere 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circulaţiei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rutiere ,,Controlul traficului”, aprobat prin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Hotărîrea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Guvernului nr. 965 din 17 noiembrie 2014, necesită a fi ajustate la prevederile Legilor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menţionate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.</w:t>
            </w:r>
          </w:p>
          <w:p w:rsidR="00C337E2" w:rsidRPr="00C337E2" w:rsidRDefault="00C337E2" w:rsidP="00C337E2">
            <w:pPr>
              <w:tabs>
                <w:tab w:val="left" w:leader="underscore" w:pos="3119"/>
                <w:tab w:val="left" w:leader="underscore" w:pos="8789"/>
              </w:tabs>
              <w:autoSpaceDE w:val="0"/>
              <w:autoSpaceDN w:val="0"/>
              <w:adjustRightInd w:val="0"/>
              <w:spacing w:before="82" w:after="0" w:line="319" w:lineRule="exact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     Astfel, în temeiul art. 3 din Legea nr. 133/2011 privind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protecţia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datelor cu caracter personal, reținem că </w:t>
            </w:r>
            <w:r w:rsidRPr="00C33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operator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este persoana fizică sau persoana juridică de drept public sau privat, inclusiv autoritatea publică, orice altă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instituţie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ori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organizaţie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care, în mod individual sau împreună cu altele,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stabileşte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scopurile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mijloacele de prelucrare a datelor cu caracter personal prevăzute în mod expres de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legislaţia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în vigoare, iar </w:t>
            </w:r>
            <w:r w:rsidRPr="00C337E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  <w:t xml:space="preserve">persoană împuternicită de către operator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denotă persoana fizică sau juridică de drept public ori de drept privat, inclusiv autoritatea publică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subdiviziunile ei teritoriale, care prelucrează date cu caracter personal în numele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pe seama operatorului, pe baza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instrucţiunilor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primite de la operator. </w:t>
            </w:r>
          </w:p>
          <w:p w:rsidR="00C337E2" w:rsidRPr="00C337E2" w:rsidRDefault="00C337E2" w:rsidP="00C337E2">
            <w:pPr>
              <w:tabs>
                <w:tab w:val="left" w:leader="underscore" w:pos="3119"/>
                <w:tab w:val="left" w:leader="underscore" w:pos="8789"/>
              </w:tabs>
              <w:autoSpaceDE w:val="0"/>
              <w:autoSpaceDN w:val="0"/>
              <w:adjustRightInd w:val="0"/>
              <w:spacing w:before="82" w:after="0" w:line="319" w:lineRule="exact"/>
              <w:ind w:right="85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 xml:space="preserve">      Prin urmare, persoana fizică sau </w:t>
            </w:r>
            <w:r w:rsidRPr="00C337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o-RO"/>
              </w:rPr>
              <w:t>persoana juridică de drept privat</w:t>
            </w:r>
            <w:r w:rsidRPr="00C337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o-RO"/>
              </w:rPr>
              <w:t xml:space="preserve"> poate fi operator al datelor cu caracter personal.</w:t>
            </w:r>
          </w:p>
          <w:p w:rsidR="00C337E2" w:rsidRPr="00C337E2" w:rsidRDefault="00C337E2" w:rsidP="00C337E2">
            <w:pPr>
              <w:tabs>
                <w:tab w:val="left" w:leader="underscore" w:pos="3119"/>
                <w:tab w:val="left" w:leader="underscore" w:pos="8789"/>
              </w:tabs>
              <w:autoSpaceDE w:val="0"/>
              <w:autoSpaceDN w:val="0"/>
              <w:adjustRightInd w:val="0"/>
              <w:spacing w:before="82" w:after="0" w:line="319" w:lineRule="exact"/>
              <w:ind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     Concomitent,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ţinem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să reliefăm prevederile art. 11 alin.(3) din Legea nr 71/2007 cu privire la registre, care la rândul lor reglementează expres faptul că, posesorul registrului poate delega o serie de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funcţii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privind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ţinerea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registrului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deţinătorului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registrului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/sau registratorului. Delimitarea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atribuţiilor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între posesor și registrator se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stabileşte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în regulamentul registrului respectiv.</w:t>
            </w:r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3.</w:t>
            </w: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Principalele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prevederi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evidenţierea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elementelor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noi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337E2" w:rsidRPr="00C337E2" w:rsidRDefault="00C337E2" w:rsidP="00C337E2">
            <w:pPr>
              <w:tabs>
                <w:tab w:val="left" w:leader="underscore" w:pos="3119"/>
                <w:tab w:val="left" w:pos="9017"/>
              </w:tabs>
              <w:autoSpaceDE w:val="0"/>
              <w:autoSpaceDN w:val="0"/>
              <w:adjustRightInd w:val="0"/>
              <w:spacing w:before="82" w:after="0" w:line="319" w:lineRule="exact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    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Pentru asigurarea implementării proiectului de parteneriat public - privat, se impune amendarea anexei nr. 1 la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Hotărîrea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Guvernului nr. 965/2014, în partea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lastRenderedPageBreak/>
              <w:t xml:space="preserve">ce ține de pct. 2 și pct. 8 al acesteia. Operarea modificărilor se va realiza implicit la noțiunile </w:t>
            </w:r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>,,</w:t>
            </w:r>
            <w:r w:rsidRPr="00C337E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o-RO"/>
              </w:rPr>
              <w:t xml:space="preserve">furnizor de infrastructură”, </w:t>
            </w:r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>„operator”, ,,administrator”, ,,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>subregistrator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o-RO"/>
              </w:rPr>
              <w:t>”, ,,utilizator”,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noțiuni care se vor completa cu textul </w:t>
            </w:r>
            <w:r w:rsidR="00EC1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„precum </w:t>
            </w:r>
            <w:r w:rsidR="00EC1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și </w:t>
            </w:r>
            <w:r w:rsidR="00EC128D"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partenerii </w:t>
            </w:r>
            <w:r w:rsidR="00EC1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în cadrul proiectelor de parteneriat</w:t>
            </w:r>
            <w:r w:rsidR="00EC128D"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public-privat</w:t>
            </w:r>
            <w:r w:rsidR="00F83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”,</w:t>
            </w:r>
            <w:r w:rsidR="00EC128D"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și 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Concepţiei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Sistemului automatizat de supraveghere 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circulaţiei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rutiere „Controlul traficului”, aprobată prin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Hotărîrea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Guvernului nr. 40 din 17 ianuarie 2012. </w:t>
            </w:r>
          </w:p>
          <w:p w:rsidR="00C337E2" w:rsidRPr="00C337E2" w:rsidRDefault="00C337E2" w:rsidP="00C337E2">
            <w:pPr>
              <w:tabs>
                <w:tab w:val="left" w:pos="8823"/>
                <w:tab w:val="left" w:pos="9017"/>
              </w:tabs>
              <w:spacing w:after="0" w:line="240" w:lineRule="auto"/>
              <w:ind w:right="8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     De altfel, lipsa completărilor în cauză face imposibilă dezvoltarea cu succes a unui parteneriat public – privat, în partea ce ține de </w:t>
            </w:r>
            <w:r w:rsidRPr="00C337E2">
              <w:rPr>
                <w:rFonts w:ascii="Times New Roman" w:hAnsi="Times New Roman" w:cs="Times New Roman"/>
                <w:sz w:val="28"/>
                <w:szCs w:val="28"/>
              </w:rPr>
              <w:t xml:space="preserve">implementarea infrastructurii </w:t>
            </w:r>
            <w:proofErr w:type="spellStart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>tehnico-informaţionale</w:t>
            </w:r>
            <w:proofErr w:type="spellEnd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 xml:space="preserve"> necesare supravegherii tehnice a traficului rutier </w:t>
            </w:r>
            <w:proofErr w:type="spellStart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>şi</w:t>
            </w:r>
            <w:proofErr w:type="spellEnd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 xml:space="preserve"> acumularea </w:t>
            </w:r>
            <w:proofErr w:type="spellStart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>informaţiilor</w:t>
            </w:r>
            <w:proofErr w:type="spellEnd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 xml:space="preserve"> privind încălcările </w:t>
            </w:r>
            <w:proofErr w:type="spellStart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>circulaţiei</w:t>
            </w:r>
            <w:proofErr w:type="spellEnd"/>
            <w:r w:rsidRPr="00C337E2">
              <w:rPr>
                <w:rFonts w:ascii="Times New Roman" w:hAnsi="Times New Roman" w:cs="Times New Roman"/>
                <w:sz w:val="28"/>
                <w:szCs w:val="28"/>
              </w:rPr>
              <w:t xml:space="preserve"> rutier în timp real, fapt pentru care este imperativă amendarea în cauză. </w:t>
            </w:r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lastRenderedPageBreak/>
              <w:t>4.</w:t>
            </w: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Fundamentarea</w:t>
            </w: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economico-financiară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F83528" w:rsidP="00C337E2">
            <w:pPr>
              <w:tabs>
                <w:tab w:val="left" w:leader="underscore" w:pos="3119"/>
                <w:tab w:val="left" w:leader="underscore" w:pos="8169"/>
                <w:tab w:val="left" w:pos="8469"/>
                <w:tab w:val="left" w:pos="9017"/>
                <w:tab w:val="left" w:pos="9159"/>
              </w:tabs>
              <w:autoSpaceDE w:val="0"/>
              <w:autoSpaceDN w:val="0"/>
              <w:adjustRightInd w:val="0"/>
              <w:spacing w:before="82" w:after="0" w:line="319" w:lineRule="exact"/>
              <w:ind w:right="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Implementarea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prezentului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proiect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nu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necesită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alocarea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mijloacelor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financiare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suplimentare</w:t>
            </w:r>
            <w:proofErr w:type="spellEnd"/>
            <w:r w:rsidR="00C337E2" w:rsidRPr="00C337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5.</w:t>
            </w: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Modul de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încorporare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actului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în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cadrul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normative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în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vigoare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 w:rsidRPr="00C337E2">
              <w:rPr>
                <w:rFonts w:ascii="Times New Roman" w:hAnsi="Times New Roman" w:cs="Times New Roman"/>
                <w:sz w:val="28"/>
                <w:szCs w:val="28"/>
              </w:rPr>
              <w:t>Prezentul proiect, se încadrează perfect în cadrul normativ în vigoare.</w:t>
            </w:r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6.</w:t>
            </w: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Avizarea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şi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consultarea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publică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proiectului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tabs>
                <w:tab w:val="left" w:leader="underscore" w:pos="3119"/>
              </w:tabs>
              <w:autoSpaceDE w:val="0"/>
              <w:autoSpaceDN w:val="0"/>
              <w:adjustRightInd w:val="0"/>
              <w:spacing w:after="0" w:line="324" w:lineRule="exact"/>
              <w:ind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    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În scopul respectării prevederilor Legii nr. 239-XVI din 13 noiembrie 2008 privind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transparenţa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în procesul decizional,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anunţul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privind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iniţierea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procesului de elaborare a proiectului hotărârii Guvernului pentru modificarea unor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hotărîri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ale Guvernului, urmează a fi plasat pe pagina oficială a Ministerului Afacerilor Interne, în directoriul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Transparenţa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decizională/Consultări publice.</w:t>
            </w:r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Constatările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expertizei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anticorupţie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F83528">
            <w:pPr>
              <w:tabs>
                <w:tab w:val="left" w:leader="underscore" w:pos="2448"/>
                <w:tab w:val="left" w:leader="underscore" w:pos="3119"/>
                <w:tab w:val="left" w:leader="underscore" w:pos="8213"/>
              </w:tabs>
              <w:autoSpaceDE w:val="0"/>
              <w:autoSpaceDN w:val="0"/>
              <w:adjustRightInd w:val="0"/>
              <w:spacing w:before="2" w:after="0" w:line="324" w:lineRule="exact"/>
              <w:ind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Proiectul </w:t>
            </w:r>
            <w:r w:rsidR="00F8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</w:t>
            </w:r>
            <w:r w:rsidR="00F8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fost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expediat Centrului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Naţional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Anticorupţie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pentru efectuarea expertizei anticorupție.</w:t>
            </w:r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C3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C337E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.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Constatările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expertizei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juridice</w:t>
            </w:r>
            <w:proofErr w:type="spellEnd"/>
          </w:p>
        </w:tc>
      </w:tr>
      <w:tr w:rsidR="00C337E2" w:rsidRPr="00C337E2" w:rsidTr="00FD0522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337E2" w:rsidRPr="00C337E2" w:rsidRDefault="00C337E2" w:rsidP="00F83528">
            <w:pPr>
              <w:tabs>
                <w:tab w:val="left" w:leader="underscore" w:pos="3119"/>
                <w:tab w:val="left" w:leader="underscore" w:pos="8172"/>
              </w:tabs>
              <w:autoSpaceDE w:val="0"/>
              <w:autoSpaceDN w:val="0"/>
              <w:adjustRightInd w:val="0"/>
              <w:spacing w:after="0" w:line="324" w:lineRule="exact"/>
              <w:ind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C337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     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Proiectul </w:t>
            </w:r>
            <w:r w:rsidR="00F835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a fost</w:t>
            </w:r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remis Ministerului </w:t>
            </w:r>
            <w:proofErr w:type="spellStart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>Justiţiei</w:t>
            </w:r>
            <w:proofErr w:type="spellEnd"/>
            <w:r w:rsidRPr="00C337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o-RO"/>
              </w:rPr>
              <w:t xml:space="preserve"> pentru efectuarea expertizei juridice.</w:t>
            </w:r>
          </w:p>
        </w:tc>
      </w:tr>
    </w:tbl>
    <w:p w:rsidR="00C337E2" w:rsidRPr="00C337E2" w:rsidRDefault="00C337E2" w:rsidP="00C337E2">
      <w:pPr>
        <w:tabs>
          <w:tab w:val="left" w:leader="underscore" w:pos="3119"/>
          <w:tab w:val="left" w:leader="underscore" w:pos="8789"/>
        </w:tabs>
        <w:autoSpaceDE w:val="0"/>
        <w:autoSpaceDN w:val="0"/>
        <w:adjustRightInd w:val="0"/>
        <w:spacing w:before="82" w:after="0" w:line="319" w:lineRule="exact"/>
        <w:ind w:right="-486" w:firstLine="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</w:p>
    <w:p w:rsidR="00C337E2" w:rsidRPr="00C337E2" w:rsidRDefault="00C337E2" w:rsidP="00C337E2">
      <w:pPr>
        <w:tabs>
          <w:tab w:val="left" w:leader="underscore" w:pos="3119"/>
          <w:tab w:val="left" w:leader="underscore" w:pos="8182"/>
        </w:tabs>
        <w:autoSpaceDE w:val="0"/>
        <w:autoSpaceDN w:val="0"/>
        <w:adjustRightInd w:val="0"/>
        <w:spacing w:after="0" w:line="324" w:lineRule="exact"/>
        <w:jc w:val="both"/>
        <w:rPr>
          <w:rFonts w:ascii="Corbel" w:eastAsia="Times New Roman" w:hAnsi="Corbel" w:cs="Corbel"/>
          <w:color w:val="000000"/>
          <w:sz w:val="8"/>
          <w:szCs w:val="8"/>
          <w:lang w:eastAsia="ro-RO"/>
        </w:rPr>
      </w:pPr>
    </w:p>
    <w:p w:rsidR="00C337E2" w:rsidRPr="00C337E2" w:rsidRDefault="00C337E2" w:rsidP="00C337E2">
      <w:pPr>
        <w:tabs>
          <w:tab w:val="left" w:leader="underscore" w:pos="3119"/>
          <w:tab w:val="left" w:leader="underscore" w:pos="8182"/>
        </w:tabs>
        <w:autoSpaceDE w:val="0"/>
        <w:autoSpaceDN w:val="0"/>
        <w:adjustRightInd w:val="0"/>
        <w:spacing w:after="0" w:line="324" w:lineRule="exact"/>
        <w:jc w:val="both"/>
        <w:rPr>
          <w:rFonts w:ascii="Corbel" w:eastAsia="Times New Roman" w:hAnsi="Corbel" w:cs="Corbel"/>
          <w:color w:val="000000"/>
          <w:sz w:val="8"/>
          <w:szCs w:val="8"/>
          <w:lang w:eastAsia="ro-RO"/>
        </w:rPr>
      </w:pPr>
    </w:p>
    <w:p w:rsidR="00C337E2" w:rsidRPr="00C337E2" w:rsidRDefault="00C337E2" w:rsidP="00C337E2">
      <w:pPr>
        <w:tabs>
          <w:tab w:val="left" w:leader="underscore" w:pos="3119"/>
          <w:tab w:val="left" w:leader="underscore" w:pos="8182"/>
        </w:tabs>
        <w:autoSpaceDE w:val="0"/>
        <w:autoSpaceDN w:val="0"/>
        <w:adjustRightInd w:val="0"/>
        <w:spacing w:after="0" w:line="324" w:lineRule="exact"/>
        <w:jc w:val="both"/>
        <w:rPr>
          <w:rFonts w:ascii="Corbel" w:eastAsia="Times New Roman" w:hAnsi="Corbel" w:cs="Corbel"/>
          <w:color w:val="000000"/>
          <w:sz w:val="8"/>
          <w:szCs w:val="8"/>
          <w:lang w:eastAsia="ro-RO"/>
        </w:rPr>
      </w:pPr>
    </w:p>
    <w:p w:rsidR="00C337E2" w:rsidRPr="00C337E2" w:rsidRDefault="00C337E2" w:rsidP="00C337E2">
      <w:pPr>
        <w:tabs>
          <w:tab w:val="left" w:leader="underscore" w:pos="3119"/>
          <w:tab w:val="left" w:leader="underscore" w:pos="8172"/>
        </w:tabs>
        <w:autoSpaceDE w:val="0"/>
        <w:autoSpaceDN w:val="0"/>
        <w:adjustRightInd w:val="0"/>
        <w:spacing w:after="0" w:line="324" w:lineRule="exact"/>
        <w:ind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o-RO"/>
        </w:rPr>
      </w:pPr>
      <w:r w:rsidRPr="00C337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Ministru                                                                                    Alexandru JIZDAN</w:t>
      </w:r>
    </w:p>
    <w:p w:rsidR="00C337E2" w:rsidRPr="00C337E2" w:rsidRDefault="00C337E2" w:rsidP="00C337E2">
      <w:pPr>
        <w:autoSpaceDE w:val="0"/>
        <w:autoSpaceDN w:val="0"/>
        <w:adjustRightInd w:val="0"/>
        <w:spacing w:before="53" w:after="0" w:line="240" w:lineRule="auto"/>
        <w:ind w:left="400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53" w:after="0" w:line="240" w:lineRule="auto"/>
        <w:ind w:left="400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>
      <w:pPr>
        <w:autoSpaceDE w:val="0"/>
        <w:autoSpaceDN w:val="0"/>
        <w:adjustRightInd w:val="0"/>
        <w:spacing w:before="53" w:after="0" w:line="240" w:lineRule="auto"/>
        <w:ind w:left="400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o-RO"/>
        </w:rPr>
      </w:pPr>
    </w:p>
    <w:p w:rsidR="00C337E2" w:rsidRPr="00C337E2" w:rsidRDefault="00C337E2" w:rsidP="00C337E2"/>
    <w:p w:rsidR="00C337E2" w:rsidRPr="00C337E2" w:rsidRDefault="00C337E2" w:rsidP="00C337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337E2" w:rsidRPr="00C337E2" w:rsidSect="00EC1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FE"/>
    <w:rsid w:val="007B2EA0"/>
    <w:rsid w:val="00B07945"/>
    <w:rsid w:val="00C246DF"/>
    <w:rsid w:val="00C337E2"/>
    <w:rsid w:val="00D823FE"/>
    <w:rsid w:val="00EC128D"/>
    <w:rsid w:val="00F15FDF"/>
    <w:rsid w:val="00F8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FCC9D-B5C7-44DC-BA63-852FA7BB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945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46DF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2018-04-21T10:22:00Z</cp:lastPrinted>
  <dcterms:created xsi:type="dcterms:W3CDTF">2018-12-17T12:11:00Z</dcterms:created>
  <dcterms:modified xsi:type="dcterms:W3CDTF">2018-12-17T13:09:00Z</dcterms:modified>
</cp:coreProperties>
</file>