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07" w:rsidRPr="009719AF" w:rsidRDefault="004F7907" w:rsidP="004F7907">
      <w:pPr>
        <w:pStyle w:val="Frspaiere"/>
        <w:jc w:val="center"/>
        <w:rPr>
          <w:b/>
          <w:sz w:val="28"/>
          <w:szCs w:val="28"/>
          <w:lang w:val="ro-RO"/>
        </w:rPr>
      </w:pPr>
      <w:r w:rsidRPr="009719AF">
        <w:rPr>
          <w:b/>
          <w:sz w:val="28"/>
          <w:szCs w:val="28"/>
          <w:lang w:val="ro-RO"/>
        </w:rPr>
        <w:t>Notă informativă</w:t>
      </w:r>
    </w:p>
    <w:p w:rsidR="004F7907" w:rsidRPr="009719AF" w:rsidRDefault="004F7907" w:rsidP="004F7907">
      <w:pPr>
        <w:pStyle w:val="Frspaiere"/>
        <w:jc w:val="center"/>
        <w:rPr>
          <w:b/>
          <w:sz w:val="28"/>
          <w:szCs w:val="28"/>
          <w:lang w:val="ro-RO"/>
        </w:rPr>
      </w:pPr>
      <w:r w:rsidRPr="009719AF">
        <w:rPr>
          <w:b/>
          <w:sz w:val="28"/>
          <w:szCs w:val="28"/>
          <w:lang w:val="ro-RO"/>
        </w:rPr>
        <w:t xml:space="preserve">la proiectul </w:t>
      </w:r>
      <w:proofErr w:type="spellStart"/>
      <w:r w:rsidRPr="009719AF">
        <w:rPr>
          <w:b/>
          <w:sz w:val="28"/>
          <w:szCs w:val="28"/>
          <w:lang w:val="ro-RO"/>
        </w:rPr>
        <w:t>hotărîrii</w:t>
      </w:r>
      <w:proofErr w:type="spellEnd"/>
      <w:r w:rsidRPr="009719AF">
        <w:rPr>
          <w:b/>
          <w:sz w:val="28"/>
          <w:szCs w:val="28"/>
          <w:lang w:val="ro-RO"/>
        </w:rPr>
        <w:t xml:space="preserve"> Guvernului</w:t>
      </w:r>
    </w:p>
    <w:p w:rsidR="004F7907" w:rsidRPr="009719AF" w:rsidRDefault="004F7907" w:rsidP="004F7907">
      <w:pPr>
        <w:pStyle w:val="Frspaiere"/>
        <w:jc w:val="center"/>
        <w:rPr>
          <w:b/>
          <w:sz w:val="28"/>
          <w:szCs w:val="28"/>
          <w:lang w:val="ro-RO"/>
        </w:rPr>
      </w:pPr>
      <w:r w:rsidRPr="009719AF">
        <w:rPr>
          <w:b/>
          <w:sz w:val="28"/>
          <w:szCs w:val="28"/>
          <w:lang w:val="ro-RO"/>
        </w:rPr>
        <w:t>,,Cu privire la transmiterea unor bunuri imobile”</w:t>
      </w:r>
    </w:p>
    <w:p w:rsidR="004F7907" w:rsidRPr="009719AF" w:rsidRDefault="004F7907" w:rsidP="004F7907">
      <w:pPr>
        <w:pStyle w:val="Frspaiere"/>
        <w:jc w:val="center"/>
        <w:rPr>
          <w:w w:val="105"/>
          <w:sz w:val="28"/>
          <w:szCs w:val="28"/>
          <w:lang w:val="ro-RO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/>
              <w:ind w:left="0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Denumirea autorului şi, după caz, a participanţilor la elaborarea proiectului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BC7BD5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de </w:t>
            </w:r>
            <w:proofErr w:type="spellStart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a Guvernului ,,Cu privire la transmiterea unor bunuri imobile”</w:t>
            </w:r>
            <w:r w:rsidRPr="009719AF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 xml:space="preserve"> 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(în continuare – proiect) este elaborat de Ministerul Sănătă</w:t>
            </w:r>
            <w:r w:rsidRPr="009719AF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ii, Muncii </w:t>
            </w:r>
            <w:r w:rsidRPr="009719AF">
              <w:rPr>
                <w:rFonts w:ascii="Cambria Math" w:hAnsi="Cambria Math" w:cs="Cambria Math"/>
                <w:sz w:val="28"/>
                <w:szCs w:val="28"/>
              </w:rPr>
              <w:t>ș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i Protec</w:t>
            </w:r>
            <w:r w:rsidRPr="009719AF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iei Sociale.</w:t>
            </w:r>
          </w:p>
        </w:tc>
      </w:tr>
      <w:tr w:rsidR="004F7907" w:rsidRPr="009719AF" w:rsidTr="00B11892">
        <w:trPr>
          <w:trHeight w:val="773"/>
        </w:trPr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2. Condiţiile ce au impus elaborarea proiectului de act normativ şi finalităţile urmărite</w:t>
            </w:r>
          </w:p>
        </w:tc>
      </w:tr>
      <w:tr w:rsidR="004F7907" w:rsidRPr="009719AF" w:rsidTr="00B11892">
        <w:tc>
          <w:tcPr>
            <w:tcW w:w="5000" w:type="pct"/>
          </w:tcPr>
          <w:p w:rsidR="00B11892" w:rsidRPr="009719AF" w:rsidRDefault="004F7907" w:rsidP="00C32FF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Proiectul </w:t>
            </w:r>
            <w:r w:rsidRPr="009719AF">
              <w:rPr>
                <w:rFonts w:ascii="Times New Roman" w:eastAsia="Calibri" w:hAnsi="Times New Roman" w:cs="Times New Roman"/>
                <w:sz w:val="28"/>
                <w:szCs w:val="28"/>
                <w:lang w:eastAsia="ja-JP"/>
              </w:rPr>
              <w:t>prenotat</w:t>
            </w: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 este elaborat în baza prevederilor 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art. 14 alin. (1) lit. c) din Legea nr. 121-XVI din 4 mai 2007</w:t>
            </w:r>
            <w:r w:rsid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privind administrarea şi </w:t>
            </w:r>
            <w:proofErr w:type="spellStart"/>
            <w:r w:rsid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>deetat</w:t>
            </w:r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>izarea</w:t>
            </w:r>
            <w:proofErr w:type="spellEnd"/>
            <w:r w:rsidRPr="009719A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proprietăţii publice (Monitorul Oficial al Republicii Moldova, 2007, nr. 90-93, art. 401)</w:t>
            </w:r>
            <w:r w:rsidR="00BC7BD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F7907" w:rsidRPr="00B11892" w:rsidRDefault="004F7907" w:rsidP="00A17813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Proiectul de act normativ </w:t>
            </w:r>
            <w:r w:rsidR="00BC7BD5">
              <w:rPr>
                <w:rFonts w:ascii="Times New Roman" w:hAnsi="Times New Roman" w:cs="Times New Roman"/>
                <w:sz w:val="28"/>
                <w:szCs w:val="28"/>
              </w:rPr>
              <w:t xml:space="preserve">stabileşte transmiterea </w:t>
            </w:r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încăperilor cu suprafața de 252 m.p. din construcția nr. cadastral 1001206.318.09, amplasată or. Anenii Noi, </w:t>
            </w:r>
            <w:proofErr w:type="spellStart"/>
            <w:r w:rsidR="00CF55BE">
              <w:rPr>
                <w:rFonts w:ascii="Times New Roman" w:hAnsi="Times New Roman" w:cs="Times New Roman"/>
                <w:sz w:val="28"/>
                <w:szCs w:val="28"/>
              </w:rPr>
              <w:t>str-la</w:t>
            </w:r>
            <w:proofErr w:type="spellEnd"/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 Uzinelor 30, care sunt înregistrate în Registrul bunurilor imobile cu drept de proprietate Republica Moldova, gestiunea I.M.S.P. Stația Z</w:t>
            </w:r>
            <w:r w:rsidR="00A17813">
              <w:rPr>
                <w:rFonts w:ascii="Times New Roman" w:hAnsi="Times New Roman" w:cs="Times New Roman"/>
                <w:sz w:val="28"/>
                <w:szCs w:val="28"/>
              </w:rPr>
              <w:t>onală de Asistență Medicală U</w:t>
            </w:r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rgentă „Centru” în temeiul </w:t>
            </w:r>
            <w:proofErr w:type="spellStart"/>
            <w:r w:rsidR="00CF55BE">
              <w:rPr>
                <w:rFonts w:ascii="Times New Roman" w:hAnsi="Times New Roman" w:cs="Times New Roman"/>
                <w:sz w:val="28"/>
                <w:szCs w:val="28"/>
              </w:rPr>
              <w:t>Hotărîrii</w:t>
            </w:r>
            <w:proofErr w:type="spellEnd"/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 Guvernului nr. 351 din 23.03.2005, cu privire la aprobarea listelor  bunurilor imobile proprietate publică a statului. Potrivit anexei nr. 17 la </w:t>
            </w:r>
            <w:proofErr w:type="spellStart"/>
            <w:r w:rsidR="00CF55BE">
              <w:rPr>
                <w:rFonts w:ascii="Times New Roman" w:hAnsi="Times New Roman" w:cs="Times New Roman"/>
                <w:sz w:val="28"/>
                <w:szCs w:val="28"/>
              </w:rPr>
              <w:t>Hotărîrea</w:t>
            </w:r>
            <w:proofErr w:type="spellEnd"/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 Guvernului nr. 351 din 23.03.2005, </w:t>
            </w:r>
            <w:r w:rsidR="00A17813">
              <w:rPr>
                <w:rFonts w:ascii="Times New Roman" w:hAnsi="Times New Roman" w:cs="Times New Roman"/>
                <w:sz w:val="28"/>
                <w:szCs w:val="28"/>
              </w:rPr>
              <w:t>poziția</w:t>
            </w:r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 163, bunul imobil indicat </w:t>
            </w:r>
            <w:r w:rsidR="00A17813">
              <w:rPr>
                <w:rFonts w:ascii="Times New Roman" w:hAnsi="Times New Roman" w:cs="Times New Roman"/>
                <w:sz w:val="28"/>
                <w:szCs w:val="28"/>
              </w:rPr>
              <w:t xml:space="preserve">este </w:t>
            </w:r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în administrarea </w:t>
            </w:r>
            <w:r w:rsidR="00A17813">
              <w:rPr>
                <w:rFonts w:ascii="Times New Roman" w:hAnsi="Times New Roman" w:cs="Times New Roman"/>
                <w:sz w:val="28"/>
                <w:szCs w:val="28"/>
              </w:rPr>
              <w:t>Ministerului Sănătății, Muncii și Protecției Sociale. Se solicită transmiterea</w:t>
            </w:r>
            <w:r w:rsidR="00CF55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BD5">
              <w:rPr>
                <w:rFonts w:ascii="Times New Roman" w:hAnsi="Times New Roman" w:cs="Times New Roman"/>
                <w:sz w:val="28"/>
                <w:szCs w:val="28"/>
              </w:rPr>
              <w:t>clădirilor</w:t>
            </w: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>situate pe adresa Anenii Noi str.</w:t>
            </w:r>
            <w:r w:rsidR="00B118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Uzinelor 30, </w:t>
            </w: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>din administrarea Ministerului Sănătă</w:t>
            </w:r>
            <w:r w:rsidRPr="00B11892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ii, Muncii </w:t>
            </w:r>
            <w:r w:rsidRPr="00B11892">
              <w:rPr>
                <w:rFonts w:ascii="Cambria Math" w:hAnsi="Cambria Math" w:cs="Cambria Math"/>
                <w:sz w:val="28"/>
                <w:szCs w:val="28"/>
              </w:rPr>
              <w:t>ș</w:t>
            </w: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>i Protec</w:t>
            </w:r>
            <w:r w:rsidRPr="00B11892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11892">
              <w:rPr>
                <w:rFonts w:ascii="Times New Roman" w:hAnsi="Times New Roman" w:cs="Times New Roman"/>
                <w:sz w:val="28"/>
                <w:szCs w:val="28"/>
              </w:rPr>
              <w:t>iei Sociale,</w:t>
            </w:r>
            <w:r w:rsidRP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gestionar 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>IMSP Sta</w:t>
            </w:r>
            <w:r w:rsidR="00B11892" w:rsidRPr="00B11892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>ia</w:t>
            </w:r>
            <w:r w:rsidR="00B11892">
              <w:rPr>
                <w:rFonts w:ascii="Times New Roman" w:hAnsi="Times New Roman" w:cs="Times New Roman"/>
                <w:sz w:val="28"/>
                <w:szCs w:val="28"/>
              </w:rPr>
              <w:t xml:space="preserve"> Zonală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 AMU Cent</w:t>
            </w:r>
            <w:r w:rsidR="00B11892">
              <w:rPr>
                <w:rFonts w:ascii="Times New Roman" w:hAnsi="Times New Roman" w:cs="Times New Roman"/>
                <w:sz w:val="28"/>
                <w:szCs w:val="28"/>
              </w:rPr>
              <w:t xml:space="preserve">ru 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>al Substa</w:t>
            </w:r>
            <w:r w:rsidR="00B11892" w:rsidRPr="00B11892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B11892" w:rsidRPr="00B11892">
              <w:rPr>
                <w:rFonts w:ascii="Times New Roman" w:hAnsi="Times New Roman" w:cs="Times New Roman"/>
                <w:sz w:val="28"/>
                <w:szCs w:val="28"/>
              </w:rPr>
              <w:t xml:space="preserve">iei AMU Anenii Noi </w:t>
            </w:r>
            <w:r w:rsidRP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>în administrarea Consiliului Raional</w:t>
            </w:r>
            <w:r w:rsidR="00B11892" w:rsidRP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Anenii Noi</w:t>
            </w:r>
            <w:r w:rsidRPr="00B1189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BC7BD5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BD5">
              <w:rPr>
                <w:rFonts w:ascii="Times New Roman" w:hAnsi="Times New Roman" w:cs="Times New Roman"/>
                <w:b/>
                <w:sz w:val="28"/>
                <w:szCs w:val="28"/>
              </w:rPr>
              <w:t>4. Principalele prevederi ale proiectului şi evidenţierea elementelor noi</w:t>
            </w:r>
          </w:p>
        </w:tc>
      </w:tr>
      <w:tr w:rsidR="004F7907" w:rsidRPr="009719AF" w:rsidTr="00A17813">
        <w:trPr>
          <w:trHeight w:val="350"/>
        </w:trPr>
        <w:tc>
          <w:tcPr>
            <w:tcW w:w="5000" w:type="pct"/>
          </w:tcPr>
          <w:p w:rsidR="004F7907" w:rsidRPr="00BC7BD5" w:rsidRDefault="004F7907" w:rsidP="00C32FFE">
            <w:pPr>
              <w:pStyle w:val="Frspaiere"/>
              <w:ind w:firstLine="708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Prezenta </w:t>
            </w:r>
            <w:r w:rsidR="00BC7BD5" w:rsidRPr="00BC7BD5">
              <w:rPr>
                <w:rFonts w:eastAsia="Calibri"/>
                <w:sz w:val="28"/>
                <w:szCs w:val="28"/>
                <w:lang w:val="ro-RO"/>
              </w:rPr>
              <w:t>hotărârea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 de Guvern are ca scop efectuarea transmiterii cu titlu gratuit</w:t>
            </w:r>
            <w:r w:rsidRPr="00BC7BD5">
              <w:rPr>
                <w:sz w:val="28"/>
                <w:szCs w:val="28"/>
                <w:lang w:val="ro-RO"/>
              </w:rPr>
              <w:t xml:space="preserve"> a clădiri</w:t>
            </w:r>
            <w:r w:rsidR="00387E19" w:rsidRPr="00BC7BD5">
              <w:rPr>
                <w:sz w:val="28"/>
                <w:szCs w:val="28"/>
                <w:lang w:val="ro-RO"/>
              </w:rPr>
              <w:t>i</w:t>
            </w:r>
            <w:r w:rsidRPr="00BC7BD5">
              <w:rPr>
                <w:sz w:val="28"/>
                <w:szCs w:val="28"/>
                <w:lang w:val="ro-RO"/>
              </w:rPr>
              <w:t xml:space="preserve">, situate pe adresa: </w:t>
            </w:r>
            <w:r w:rsidR="00387E19" w:rsidRPr="00BC7BD5">
              <w:rPr>
                <w:sz w:val="28"/>
                <w:szCs w:val="28"/>
                <w:lang w:val="ro-RO"/>
              </w:rPr>
              <w:t xml:space="preserve">Anenii Noi str. Uzinelor 30, </w:t>
            </w:r>
            <w:r w:rsidRPr="00BC7BD5">
              <w:rPr>
                <w:sz w:val="28"/>
                <w:szCs w:val="28"/>
                <w:lang w:val="ro-RO"/>
              </w:rPr>
              <w:t xml:space="preserve">din administrarea Ministerului Sănătății, Muncii și Protecției Sociale, </w:t>
            </w:r>
            <w:r w:rsidR="00BC7BD5" w:rsidRPr="00BC7BD5">
              <w:rPr>
                <w:sz w:val="28"/>
                <w:szCs w:val="28"/>
                <w:lang w:val="ro-RO"/>
              </w:rPr>
              <w:t>gestionar</w:t>
            </w:r>
            <w:r w:rsidR="002D21A9" w:rsidRPr="00BC7BD5">
              <w:rPr>
                <w:sz w:val="28"/>
                <w:szCs w:val="28"/>
                <w:lang w:val="ro-RO"/>
              </w:rPr>
              <w:t xml:space="preserve"> IMSP Sta</w:t>
            </w:r>
            <w:r w:rsidR="002D21A9" w:rsidRPr="00BC7BD5">
              <w:rPr>
                <w:rFonts w:ascii="Cambria Math" w:hAnsi="Cambria Math" w:cs="Cambria Math"/>
                <w:sz w:val="28"/>
                <w:szCs w:val="28"/>
                <w:lang w:val="ro-RO"/>
              </w:rPr>
              <w:t>ț</w:t>
            </w:r>
            <w:r w:rsidR="002D21A9" w:rsidRPr="00BC7BD5">
              <w:rPr>
                <w:sz w:val="28"/>
                <w:szCs w:val="28"/>
                <w:lang w:val="ro-RO"/>
              </w:rPr>
              <w:t>ia Zonală AMU Centru al Substa</w:t>
            </w:r>
            <w:r w:rsidR="002D21A9" w:rsidRPr="00BC7BD5">
              <w:rPr>
                <w:rFonts w:ascii="Cambria Math" w:hAnsi="Cambria Math" w:cs="Cambria Math"/>
                <w:sz w:val="28"/>
                <w:szCs w:val="28"/>
                <w:lang w:val="ro-RO"/>
              </w:rPr>
              <w:t>ț</w:t>
            </w:r>
            <w:r w:rsidR="002D21A9" w:rsidRPr="00BC7BD5">
              <w:rPr>
                <w:sz w:val="28"/>
                <w:szCs w:val="28"/>
                <w:lang w:val="ro-RO"/>
              </w:rPr>
              <w:t xml:space="preserve">iei AMU Anenii Noi în administrarea Consiliului Raional Anenii Noi, 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>din lipsa necesității acestor unități. La moment clădir</w:t>
            </w:r>
            <w:r w:rsidR="00387E19" w:rsidRPr="00BC7BD5">
              <w:rPr>
                <w:rFonts w:eastAsia="Calibri"/>
                <w:sz w:val="28"/>
                <w:szCs w:val="28"/>
                <w:lang w:val="ro-RO"/>
              </w:rPr>
              <w:t>ea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2D21A9" w:rsidRPr="00BC7BD5">
              <w:rPr>
                <w:rFonts w:eastAsia="Calibri"/>
                <w:sz w:val="28"/>
                <w:szCs w:val="28"/>
                <w:lang w:val="ro-RO"/>
              </w:rPr>
              <w:t>primită în gestiune și amplasată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 în or.</w:t>
            </w:r>
            <w:r w:rsidR="00387E19" w:rsidRPr="00BC7BD5">
              <w:rPr>
                <w:sz w:val="28"/>
                <w:szCs w:val="28"/>
                <w:lang w:val="ro-RO"/>
              </w:rPr>
              <w:t xml:space="preserve"> Anenii Noi str. Uzinelor 30, 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nu </w:t>
            </w:r>
            <w:r w:rsidR="002D21A9" w:rsidRPr="00BC7BD5">
              <w:rPr>
                <w:rFonts w:eastAsia="Calibri"/>
                <w:sz w:val="28"/>
                <w:szCs w:val="28"/>
                <w:lang w:val="ro-RO"/>
              </w:rPr>
              <w:t>este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2D21A9" w:rsidRPr="00BC7BD5">
              <w:rPr>
                <w:rFonts w:eastAsia="Calibri"/>
                <w:sz w:val="28"/>
                <w:szCs w:val="28"/>
                <w:lang w:val="ro-RO"/>
              </w:rPr>
              <w:t>utilizată</w:t>
            </w:r>
            <w:r w:rsidRPr="00BC7BD5">
              <w:rPr>
                <w:sz w:val="28"/>
                <w:szCs w:val="28"/>
                <w:lang w:val="ro-RO"/>
              </w:rPr>
              <w:t>.</w:t>
            </w:r>
            <w:r w:rsidRPr="00BC7BD5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</w:p>
          <w:p w:rsidR="004F7907" w:rsidRPr="00BC7BD5" w:rsidRDefault="002D21A9" w:rsidP="00BC7BD5">
            <w:pPr>
              <w:pStyle w:val="Bodytext20"/>
              <w:shd w:val="clear" w:color="auto" w:fill="auto"/>
              <w:spacing w:before="0" w:after="734" w:line="240" w:lineRule="auto"/>
              <w:ind w:firstLine="900"/>
              <w:jc w:val="both"/>
              <w:rPr>
                <w:sz w:val="28"/>
                <w:szCs w:val="28"/>
              </w:rPr>
            </w:pPr>
            <w:r w:rsidRPr="00BC7BD5">
              <w:rPr>
                <w:sz w:val="28"/>
                <w:szCs w:val="28"/>
              </w:rPr>
              <w:t>În prezent suprafa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 xml:space="preserve">a susnumita este necesară pentru amplasarea serviciului </w:t>
            </w:r>
            <w:proofErr w:type="spellStart"/>
            <w:r w:rsidRPr="00BC7BD5">
              <w:rPr>
                <w:sz w:val="28"/>
                <w:szCs w:val="28"/>
              </w:rPr>
              <w:t>ftiziopulmonologic</w:t>
            </w:r>
            <w:proofErr w:type="spellEnd"/>
            <w:r w:rsidRPr="00BC7BD5">
              <w:rPr>
                <w:sz w:val="28"/>
                <w:szCs w:val="28"/>
              </w:rPr>
              <w:t>, Centrul de suport al tratamentului pacien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ilor cu tuberculoza in condi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 xml:space="preserve">ii de </w:t>
            </w:r>
            <w:proofErr w:type="spellStart"/>
            <w:r w:rsidRPr="00BC7BD5">
              <w:rPr>
                <w:sz w:val="28"/>
                <w:szCs w:val="28"/>
              </w:rPr>
              <w:t>ambulator</w:t>
            </w:r>
            <w:proofErr w:type="spellEnd"/>
            <w:r w:rsidRPr="00BC7BD5">
              <w:rPr>
                <w:sz w:val="28"/>
                <w:szCs w:val="28"/>
              </w:rPr>
              <w:t xml:space="preserve"> (finan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at de cutre PAS cu 5 specialişti, conform Ordinului MS MPS Nr. 320 din 28.04.2017) şi cabinetului medicului infec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ionist din sec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ia consultativă, întru îmbunătă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irea condi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iilor de lucru a angaja</w:t>
            </w:r>
            <w:r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Pr="00BC7BD5">
              <w:rPr>
                <w:sz w:val="28"/>
                <w:szCs w:val="28"/>
              </w:rPr>
              <w:t>ilor</w:t>
            </w:r>
            <w:r w:rsidR="00BC7BD5" w:rsidRPr="00BC7BD5">
              <w:rPr>
                <w:sz w:val="28"/>
                <w:szCs w:val="28"/>
              </w:rPr>
              <w:t xml:space="preserve"> şi îmbunătă</w:t>
            </w:r>
            <w:r w:rsidR="00BC7BD5"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BC7BD5" w:rsidRPr="00BC7BD5">
              <w:rPr>
                <w:sz w:val="28"/>
                <w:szCs w:val="28"/>
              </w:rPr>
              <w:t>irii</w:t>
            </w:r>
            <w:r w:rsidRPr="00BC7BD5">
              <w:rPr>
                <w:sz w:val="28"/>
                <w:szCs w:val="28"/>
              </w:rPr>
              <w:t xml:space="preserve"> asistentei medicale </w:t>
            </w:r>
            <w:r w:rsidR="00BC7BD5" w:rsidRPr="00BC7BD5">
              <w:rPr>
                <w:sz w:val="28"/>
                <w:szCs w:val="28"/>
              </w:rPr>
              <w:t>pacien</w:t>
            </w:r>
            <w:r w:rsidR="00BC7BD5" w:rsidRPr="00BC7BD5">
              <w:rPr>
                <w:rFonts w:ascii="Cambria Math" w:hAnsi="Cambria Math" w:cs="Cambria Math"/>
                <w:sz w:val="28"/>
                <w:szCs w:val="28"/>
              </w:rPr>
              <w:t>ț</w:t>
            </w:r>
            <w:r w:rsidR="00BC7BD5" w:rsidRPr="00BC7BD5">
              <w:rPr>
                <w:sz w:val="28"/>
                <w:szCs w:val="28"/>
              </w:rPr>
              <w:t>ilor din raion ş</w:t>
            </w:r>
            <w:r w:rsidRPr="00BC7BD5">
              <w:rPr>
                <w:sz w:val="28"/>
                <w:szCs w:val="28"/>
              </w:rPr>
              <w:t xml:space="preserve">i regiunea </w:t>
            </w:r>
            <w:r w:rsidRPr="00BC7BD5">
              <w:rPr>
                <w:sz w:val="28"/>
                <w:szCs w:val="28"/>
              </w:rPr>
              <w:lastRenderedPageBreak/>
              <w:t xml:space="preserve">Transnistreana, </w:t>
            </w:r>
            <w:r w:rsidR="00BC7BD5" w:rsidRPr="00BC7BD5">
              <w:rPr>
                <w:sz w:val="28"/>
                <w:szCs w:val="28"/>
              </w:rPr>
              <w:t>numărul</w:t>
            </w:r>
            <w:r w:rsidRPr="00BC7BD5">
              <w:rPr>
                <w:sz w:val="28"/>
                <w:szCs w:val="28"/>
              </w:rPr>
              <w:t xml:space="preserve"> </w:t>
            </w:r>
            <w:r w:rsidR="00BC7BD5" w:rsidRPr="00BC7BD5">
              <w:rPr>
                <w:sz w:val="28"/>
                <w:szCs w:val="28"/>
              </w:rPr>
              <w:t>cărora</w:t>
            </w:r>
            <w:r w:rsidRPr="00BC7BD5">
              <w:rPr>
                <w:sz w:val="28"/>
                <w:szCs w:val="28"/>
              </w:rPr>
              <w:t xml:space="preserve"> s-a majorat in ultimii ani.</w:t>
            </w:r>
          </w:p>
        </w:tc>
      </w:tr>
      <w:tr w:rsidR="004F7907" w:rsidRPr="009719AF" w:rsidTr="00B11892">
        <w:trPr>
          <w:trHeight w:val="287"/>
        </w:trPr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 Fundamentarea economico-financiară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CB008A" w:rsidP="00C32FFE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Implementarea prezentului proiect de </w:t>
            </w:r>
            <w:proofErr w:type="spellStart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>hotărîre</w:t>
            </w:r>
            <w:proofErr w:type="spellEnd"/>
            <w:r w:rsidRPr="00EB46CC">
              <w:rPr>
                <w:rFonts w:ascii="Times New Roman" w:hAnsi="Times New Roman" w:cs="Times New Roman"/>
                <w:sz w:val="28"/>
                <w:szCs w:val="28"/>
              </w:rPr>
              <w:t xml:space="preserve"> de Guvern nu implică cheltuieli financiare suplimentare din bugetul de stat”.</w:t>
            </w:r>
            <w:bookmarkStart w:id="0" w:name="_GoBack"/>
            <w:bookmarkEnd w:id="0"/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6. Modul de încorporare a actului în cadrul normativ în vigoare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Aprobarea proiectului nu va </w:t>
            </w:r>
            <w:r w:rsidRPr="009719AF">
              <w:rPr>
                <w:rFonts w:ascii="Times New Roman" w:hAnsi="Times New Roman" w:cs="Times New Roman"/>
                <w:sz w:val="28"/>
                <w:szCs w:val="28"/>
                <w:lang w:eastAsia="zh-TW" w:bidi="en-US"/>
              </w:rPr>
              <w:t>genera modificări și în textul altor acte normative.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7. Avizarea şi consultarea publică a proiectului</w:t>
            </w:r>
          </w:p>
        </w:tc>
      </w:tr>
      <w:tr w:rsidR="004F7907" w:rsidRPr="009719AF" w:rsidTr="00B11892">
        <w:trPr>
          <w:trHeight w:val="1907"/>
        </w:trPr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Proiectul este plasat pe portalul guvernamental (</w:t>
            </w:r>
            <w:hyperlink r:id="rId7" w:history="1">
              <w:r w:rsidRPr="009719A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www.particip.gov.md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>) precum și pe pagina –web oficială a Ministerului Sănătății, Muncii și Protecției Sociale, (</w:t>
            </w:r>
            <w:hyperlink r:id="rId8" w:history="1">
              <w:r w:rsidRPr="009719AF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www.msmps.gov.md</w:t>
              </w:r>
            </w:hyperlink>
            <w:r w:rsidRPr="009719AF">
              <w:rPr>
                <w:rFonts w:ascii="Times New Roman" w:hAnsi="Times New Roman" w:cs="Times New Roman"/>
                <w:sz w:val="28"/>
                <w:szCs w:val="28"/>
              </w:rPr>
              <w:t xml:space="preserve">) la compartimentul „Transparență decizională” și a fost transmis spre consultare autorităților publice responsabile, conform procedurii stabilite de legislația în vigoare. 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8. Constatările expertizei anticorupție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9. Constatările expertizei de compatibilitate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10. Constatările expertizei juridice</w:t>
            </w:r>
          </w:p>
        </w:tc>
      </w:tr>
      <w:tr w:rsidR="004F7907" w:rsidRPr="009719AF" w:rsidTr="00B11892">
        <w:tc>
          <w:tcPr>
            <w:tcW w:w="5000" w:type="pct"/>
          </w:tcPr>
          <w:p w:rsidR="004F7907" w:rsidRPr="009719AF" w:rsidRDefault="004F7907" w:rsidP="00C32FFE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9AF">
              <w:rPr>
                <w:rFonts w:ascii="Times New Roman" w:hAnsi="Times New Roman" w:cs="Times New Roman"/>
                <w:b/>
                <w:sz w:val="28"/>
                <w:szCs w:val="28"/>
              </w:rPr>
              <w:t>11. Constatările altor expertize</w:t>
            </w:r>
          </w:p>
        </w:tc>
      </w:tr>
    </w:tbl>
    <w:p w:rsidR="004F7907" w:rsidRDefault="004F7907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13" w:rsidRDefault="00A17813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7813" w:rsidRPr="009719AF" w:rsidRDefault="00A17813" w:rsidP="004F79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7907" w:rsidRPr="009719AF" w:rsidRDefault="00BC7BD5" w:rsidP="00BC7BD5">
      <w:pPr>
        <w:rPr>
          <w:rFonts w:ascii="Times New Roman" w:hAnsi="Times New Roman" w:cs="Times New Roman"/>
          <w:b/>
          <w:sz w:val="28"/>
          <w:szCs w:val="28"/>
        </w:rPr>
      </w:pPr>
      <w:r w:rsidRPr="009719AF">
        <w:rPr>
          <w:rFonts w:ascii="Times New Roman" w:hAnsi="Times New Roman" w:cs="Times New Roman"/>
          <w:b/>
          <w:sz w:val="28"/>
          <w:szCs w:val="28"/>
        </w:rPr>
        <w:t xml:space="preserve">SECRETAR GENERAL DE STAT                                      </w:t>
      </w:r>
      <w:r w:rsidR="004F7907" w:rsidRPr="009719AF">
        <w:rPr>
          <w:rFonts w:ascii="Times New Roman" w:hAnsi="Times New Roman" w:cs="Times New Roman"/>
          <w:b/>
          <w:sz w:val="28"/>
          <w:szCs w:val="28"/>
        </w:rPr>
        <w:t>Boris GÎLCA</w:t>
      </w:r>
    </w:p>
    <w:p w:rsidR="004F7907" w:rsidRPr="009719AF" w:rsidRDefault="004F7907" w:rsidP="004F7907">
      <w:pPr>
        <w:pStyle w:val="Frspaiere"/>
        <w:rPr>
          <w:sz w:val="16"/>
          <w:szCs w:val="16"/>
          <w:lang w:val="ro-RO"/>
        </w:rPr>
      </w:pPr>
    </w:p>
    <w:p w:rsidR="004F7907" w:rsidRPr="009719AF" w:rsidRDefault="004F7907" w:rsidP="004F7907">
      <w:pPr>
        <w:pStyle w:val="Frspaiere"/>
        <w:rPr>
          <w:sz w:val="16"/>
          <w:szCs w:val="16"/>
          <w:lang w:val="ro-RO"/>
        </w:rPr>
      </w:pPr>
    </w:p>
    <w:p w:rsidR="004F7907" w:rsidRDefault="004F7907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Default="00BC7BD5" w:rsidP="004F7907">
      <w:pPr>
        <w:pStyle w:val="Frspaiere"/>
        <w:rPr>
          <w:sz w:val="16"/>
          <w:szCs w:val="16"/>
          <w:lang w:val="ro-RO"/>
        </w:rPr>
      </w:pPr>
    </w:p>
    <w:p w:rsidR="00BC7BD5" w:rsidRPr="009719AF" w:rsidRDefault="00BC7BD5" w:rsidP="004F7907">
      <w:pPr>
        <w:pStyle w:val="Frspaiere"/>
        <w:rPr>
          <w:sz w:val="16"/>
          <w:szCs w:val="16"/>
          <w:lang w:val="ro-RO"/>
        </w:rPr>
      </w:pPr>
    </w:p>
    <w:p w:rsidR="004F7907" w:rsidRPr="009719AF" w:rsidRDefault="004F7907" w:rsidP="004F7907">
      <w:pPr>
        <w:pStyle w:val="Frspaiere"/>
        <w:rPr>
          <w:sz w:val="16"/>
          <w:szCs w:val="16"/>
          <w:lang w:val="ro-RO"/>
        </w:rPr>
      </w:pPr>
      <w:r w:rsidRPr="009719AF">
        <w:rPr>
          <w:sz w:val="16"/>
          <w:szCs w:val="16"/>
          <w:lang w:val="ro-RO"/>
        </w:rPr>
        <w:t>Ex. Vlad Carp</w:t>
      </w:r>
    </w:p>
    <w:p w:rsidR="0010604D" w:rsidRPr="004F7907" w:rsidRDefault="004F7907" w:rsidP="00A17813">
      <w:pPr>
        <w:pStyle w:val="Frspaiere"/>
      </w:pPr>
      <w:r w:rsidRPr="009719AF">
        <w:rPr>
          <w:sz w:val="16"/>
          <w:szCs w:val="16"/>
          <w:lang w:val="ro-RO"/>
        </w:rPr>
        <w:t>Tel. 022 26 88 06</w:t>
      </w:r>
    </w:p>
    <w:sectPr w:rsidR="0010604D" w:rsidRPr="004F7907" w:rsidSect="009719AF">
      <w:pgSz w:w="11906" w:h="16838"/>
      <w:pgMar w:top="864" w:right="850" w:bottom="864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07"/>
    <w:rsid w:val="0010604D"/>
    <w:rsid w:val="002D21A9"/>
    <w:rsid w:val="00387E19"/>
    <w:rsid w:val="004F7907"/>
    <w:rsid w:val="007F3A0C"/>
    <w:rsid w:val="00A17813"/>
    <w:rsid w:val="00B11892"/>
    <w:rsid w:val="00BC7BD5"/>
    <w:rsid w:val="00CB008A"/>
    <w:rsid w:val="00C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07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F7907"/>
    <w:rPr>
      <w:color w:val="0000FF"/>
      <w:u w:val="single"/>
    </w:rPr>
  </w:style>
  <w:style w:type="paragraph" w:styleId="Frspaiere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centuat">
    <w:name w:val="Emphasis"/>
    <w:basedOn w:val="Fontdeparagrafimplicit"/>
    <w:uiPriority w:val="20"/>
    <w:qFormat/>
    <w:rsid w:val="004F7907"/>
    <w:rPr>
      <w:i/>
      <w:iCs/>
    </w:rPr>
  </w:style>
  <w:style w:type="character" w:customStyle="1" w:styleId="Bodytext2">
    <w:name w:val="Body text (2)_"/>
    <w:basedOn w:val="Fontdeparagrafimplicit"/>
    <w:link w:val="Bodytext20"/>
    <w:locked/>
    <w:rsid w:val="00B11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11892"/>
    <w:pPr>
      <w:widowControl w:val="0"/>
      <w:shd w:val="clear" w:color="auto" w:fill="FFFFFF"/>
      <w:spacing w:before="460" w:after="460" w:line="475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907"/>
    <w:rPr>
      <w:rFonts w:eastAsiaTheme="minorEastAsia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4F7907"/>
    <w:rPr>
      <w:color w:val="0000FF"/>
      <w:u w:val="single"/>
    </w:rPr>
  </w:style>
  <w:style w:type="paragraph" w:styleId="Frspaiere">
    <w:name w:val="No Spacing"/>
    <w:uiPriority w:val="1"/>
    <w:qFormat/>
    <w:rsid w:val="004F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centuat">
    <w:name w:val="Emphasis"/>
    <w:basedOn w:val="Fontdeparagrafimplicit"/>
    <w:uiPriority w:val="20"/>
    <w:qFormat/>
    <w:rsid w:val="004F7907"/>
    <w:rPr>
      <w:i/>
      <w:iCs/>
    </w:rPr>
  </w:style>
  <w:style w:type="character" w:customStyle="1" w:styleId="Bodytext2">
    <w:name w:val="Body text (2)_"/>
    <w:basedOn w:val="Fontdeparagrafimplicit"/>
    <w:link w:val="Bodytext20"/>
    <w:locked/>
    <w:rsid w:val="00B11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11892"/>
    <w:pPr>
      <w:widowControl w:val="0"/>
      <w:shd w:val="clear" w:color="auto" w:fill="FFFFFF"/>
      <w:spacing w:before="460" w:after="460" w:line="475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ps.gov.md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rticip.gov.m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5C438-BCD3-475C-A376-5026F1937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Carp Vladimir</dc:creator>
  <cp:lastModifiedBy>Carp Vladimir</cp:lastModifiedBy>
  <cp:revision>4</cp:revision>
  <cp:lastPrinted>2018-11-05T12:10:00Z</cp:lastPrinted>
  <dcterms:created xsi:type="dcterms:W3CDTF">2018-11-23T12:22:00Z</dcterms:created>
  <dcterms:modified xsi:type="dcterms:W3CDTF">2018-11-30T15:11:00Z</dcterms:modified>
</cp:coreProperties>
</file>