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63" w:rsidRPr="00A3668C" w:rsidRDefault="007B7A63" w:rsidP="007B7A63">
      <w:pPr>
        <w:jc w:val="center"/>
        <w:rPr>
          <w:b/>
          <w:sz w:val="26"/>
          <w:szCs w:val="26"/>
        </w:rPr>
      </w:pPr>
      <w:r w:rsidRPr="00A3668C">
        <w:rPr>
          <w:b/>
          <w:sz w:val="26"/>
          <w:szCs w:val="26"/>
        </w:rPr>
        <w:t>Notă informativă</w:t>
      </w:r>
    </w:p>
    <w:p w:rsidR="00F94347" w:rsidRPr="00F94347" w:rsidRDefault="00F94347" w:rsidP="00F94347">
      <w:pPr>
        <w:jc w:val="center"/>
        <w:rPr>
          <w:bCs/>
          <w:sz w:val="24"/>
          <w:szCs w:val="24"/>
        </w:rPr>
      </w:pPr>
      <w:r w:rsidRPr="00F94347">
        <w:rPr>
          <w:bCs/>
          <w:sz w:val="24"/>
          <w:szCs w:val="24"/>
        </w:rPr>
        <w:t xml:space="preserve">la proiectul hotărârii de Guvern cu privire la aprobarea modificărilor </w:t>
      </w:r>
      <w:proofErr w:type="spellStart"/>
      <w:r w:rsidRPr="00F94347">
        <w:rPr>
          <w:bCs/>
          <w:sz w:val="24"/>
          <w:szCs w:val="24"/>
        </w:rPr>
        <w:t>şi</w:t>
      </w:r>
      <w:proofErr w:type="spellEnd"/>
      <w:r w:rsidRPr="00F94347">
        <w:rPr>
          <w:bCs/>
          <w:sz w:val="24"/>
          <w:szCs w:val="24"/>
        </w:rPr>
        <w:t xml:space="preserve"> completărilor ce se operează în anexa la </w:t>
      </w:r>
      <w:proofErr w:type="spellStart"/>
      <w:r w:rsidRPr="00F94347">
        <w:rPr>
          <w:bCs/>
          <w:sz w:val="24"/>
          <w:szCs w:val="24"/>
        </w:rPr>
        <w:t>Hotărîrea</w:t>
      </w:r>
      <w:proofErr w:type="spellEnd"/>
      <w:r w:rsidRPr="00F94347">
        <w:rPr>
          <w:bCs/>
          <w:sz w:val="24"/>
          <w:szCs w:val="24"/>
        </w:rPr>
        <w:t xml:space="preserve"> Guvernului nr.500/1998</w:t>
      </w:r>
    </w:p>
    <w:p w:rsidR="00D634D7" w:rsidRPr="004704CC" w:rsidRDefault="00D634D7" w:rsidP="00F94347">
      <w:pPr>
        <w:jc w:val="center"/>
        <w:rPr>
          <w:sz w:val="28"/>
          <w:szCs w:val="28"/>
        </w:rPr>
      </w:pPr>
    </w:p>
    <w:p w:rsidR="007B7A63" w:rsidRPr="007B7A63" w:rsidRDefault="007B7A63" w:rsidP="00D634D7">
      <w:pPr>
        <w:jc w:val="center"/>
        <w:rPr>
          <w:b/>
          <w:bCs/>
          <w:sz w:val="26"/>
          <w:szCs w:val="26"/>
          <w:lang w:val="ro-MD"/>
        </w:rPr>
      </w:pPr>
    </w:p>
    <w:p w:rsidR="007B7A63" w:rsidRPr="00A3668C" w:rsidRDefault="007B7A63" w:rsidP="007B7A63">
      <w:pPr>
        <w:spacing w:line="276" w:lineRule="auto"/>
        <w:jc w:val="center"/>
        <w:rPr>
          <w:sz w:val="26"/>
          <w:szCs w:val="26"/>
        </w:rPr>
      </w:pPr>
    </w:p>
    <w:tbl>
      <w:tblPr>
        <w:tblStyle w:val="TableGrid"/>
        <w:tblW w:w="0" w:type="auto"/>
        <w:tblInd w:w="-431" w:type="dxa"/>
        <w:tblLook w:val="04A0" w:firstRow="1" w:lastRow="0" w:firstColumn="1" w:lastColumn="0" w:noHBand="0" w:noVBand="1"/>
      </w:tblPr>
      <w:tblGrid>
        <w:gridCol w:w="710"/>
        <w:gridCol w:w="8635"/>
      </w:tblGrid>
      <w:tr w:rsidR="00DB516A" w:rsidTr="0022364D">
        <w:trPr>
          <w:trHeight w:val="535"/>
        </w:trPr>
        <w:tc>
          <w:tcPr>
            <w:tcW w:w="710" w:type="dxa"/>
            <w:shd w:val="clear" w:color="auto" w:fill="BFBFBF" w:themeFill="background1" w:themeFillShade="BF"/>
          </w:tcPr>
          <w:p w:rsidR="00DB516A" w:rsidRPr="003638BF" w:rsidRDefault="00DB516A" w:rsidP="004E3D1A">
            <w:pPr>
              <w:spacing w:line="276" w:lineRule="auto"/>
              <w:jc w:val="both"/>
              <w:rPr>
                <w:b/>
                <w:sz w:val="26"/>
                <w:szCs w:val="26"/>
              </w:rPr>
            </w:pPr>
            <w:r>
              <w:rPr>
                <w:b/>
                <w:sz w:val="26"/>
                <w:szCs w:val="26"/>
              </w:rPr>
              <w:t>1.</w:t>
            </w:r>
          </w:p>
        </w:tc>
        <w:tc>
          <w:tcPr>
            <w:tcW w:w="8635" w:type="dxa"/>
            <w:shd w:val="clear" w:color="auto" w:fill="BFBFBF" w:themeFill="background1" w:themeFillShade="BF"/>
          </w:tcPr>
          <w:p w:rsidR="00DB516A" w:rsidRPr="000B2E82" w:rsidRDefault="00DB516A" w:rsidP="004E3D1A">
            <w:pPr>
              <w:spacing w:line="276" w:lineRule="auto"/>
              <w:jc w:val="both"/>
              <w:rPr>
                <w:b/>
                <w:sz w:val="26"/>
                <w:szCs w:val="26"/>
              </w:rPr>
            </w:pPr>
            <w:r w:rsidRPr="003638BF">
              <w:rPr>
                <w:b/>
                <w:sz w:val="26"/>
                <w:szCs w:val="26"/>
              </w:rPr>
              <w:t xml:space="preserve">Denumirea autorului </w:t>
            </w:r>
            <w:proofErr w:type="spellStart"/>
            <w:r w:rsidRPr="003638BF">
              <w:rPr>
                <w:b/>
                <w:sz w:val="26"/>
                <w:szCs w:val="26"/>
              </w:rPr>
              <w:t>şi</w:t>
            </w:r>
            <w:proofErr w:type="spellEnd"/>
            <w:r w:rsidRPr="003638BF">
              <w:rPr>
                <w:b/>
                <w:sz w:val="26"/>
                <w:szCs w:val="26"/>
              </w:rPr>
              <w:t xml:space="preserve">, după caz, a </w:t>
            </w:r>
            <w:proofErr w:type="spellStart"/>
            <w:r w:rsidRPr="003638BF">
              <w:rPr>
                <w:b/>
                <w:sz w:val="26"/>
                <w:szCs w:val="26"/>
              </w:rPr>
              <w:t>participanţilor</w:t>
            </w:r>
            <w:proofErr w:type="spellEnd"/>
            <w:r w:rsidRPr="003638BF">
              <w:rPr>
                <w:b/>
                <w:sz w:val="26"/>
                <w:szCs w:val="26"/>
              </w:rPr>
              <w:t xml:space="preserve"> la elaborarea proiectului</w:t>
            </w:r>
          </w:p>
        </w:tc>
      </w:tr>
      <w:tr w:rsidR="00DB516A" w:rsidTr="0022364D">
        <w:trPr>
          <w:trHeight w:val="535"/>
        </w:trPr>
        <w:tc>
          <w:tcPr>
            <w:tcW w:w="710" w:type="dxa"/>
            <w:shd w:val="clear" w:color="auto" w:fill="FFFFFF" w:themeFill="background1"/>
          </w:tcPr>
          <w:p w:rsidR="00DB516A" w:rsidRPr="003638BF" w:rsidRDefault="00DB516A" w:rsidP="004E3D1A">
            <w:pPr>
              <w:spacing w:line="276" w:lineRule="auto"/>
              <w:jc w:val="both"/>
              <w:rPr>
                <w:sz w:val="26"/>
                <w:szCs w:val="26"/>
              </w:rPr>
            </w:pPr>
          </w:p>
        </w:tc>
        <w:tc>
          <w:tcPr>
            <w:tcW w:w="8635" w:type="dxa"/>
            <w:shd w:val="clear" w:color="auto" w:fill="FFFFFF" w:themeFill="background1"/>
          </w:tcPr>
          <w:p w:rsidR="00DB516A" w:rsidRPr="003638BF" w:rsidRDefault="00DB516A" w:rsidP="004E3D1A">
            <w:pPr>
              <w:spacing w:line="276" w:lineRule="auto"/>
              <w:jc w:val="both"/>
              <w:rPr>
                <w:sz w:val="26"/>
                <w:szCs w:val="26"/>
              </w:rPr>
            </w:pPr>
            <w:r w:rsidRPr="003638BF">
              <w:rPr>
                <w:sz w:val="26"/>
                <w:szCs w:val="26"/>
              </w:rPr>
              <w:t>Proiectul a fost elaborat de Ministerul Economiei și Infrastructurii</w:t>
            </w:r>
          </w:p>
        </w:tc>
      </w:tr>
      <w:tr w:rsidR="00DB516A" w:rsidTr="0022364D">
        <w:trPr>
          <w:trHeight w:val="535"/>
        </w:trPr>
        <w:tc>
          <w:tcPr>
            <w:tcW w:w="710" w:type="dxa"/>
            <w:shd w:val="clear" w:color="auto" w:fill="BFBFBF" w:themeFill="background1" w:themeFillShade="BF"/>
          </w:tcPr>
          <w:p w:rsidR="00DB516A" w:rsidRPr="000B2E82" w:rsidRDefault="00DB516A" w:rsidP="004E3D1A">
            <w:pPr>
              <w:spacing w:line="276" w:lineRule="auto"/>
              <w:jc w:val="both"/>
              <w:rPr>
                <w:b/>
                <w:sz w:val="26"/>
                <w:szCs w:val="26"/>
              </w:rPr>
            </w:pPr>
            <w:r>
              <w:rPr>
                <w:b/>
                <w:sz w:val="26"/>
                <w:szCs w:val="26"/>
              </w:rPr>
              <w:t>2.</w:t>
            </w:r>
          </w:p>
        </w:tc>
        <w:tc>
          <w:tcPr>
            <w:tcW w:w="8635" w:type="dxa"/>
            <w:shd w:val="clear" w:color="auto" w:fill="BFBFBF" w:themeFill="background1" w:themeFillShade="BF"/>
          </w:tcPr>
          <w:p w:rsidR="00DB516A" w:rsidRPr="000B2E82" w:rsidRDefault="00DB516A" w:rsidP="004E3D1A">
            <w:pPr>
              <w:spacing w:line="276" w:lineRule="auto"/>
              <w:jc w:val="both"/>
              <w:rPr>
                <w:b/>
                <w:sz w:val="26"/>
                <w:szCs w:val="26"/>
              </w:rPr>
            </w:pPr>
            <w:proofErr w:type="spellStart"/>
            <w:r w:rsidRPr="000B2E82">
              <w:rPr>
                <w:b/>
                <w:sz w:val="26"/>
                <w:szCs w:val="26"/>
              </w:rPr>
              <w:t>Condiţiile</w:t>
            </w:r>
            <w:proofErr w:type="spellEnd"/>
            <w:r w:rsidRPr="000B2E82">
              <w:rPr>
                <w:b/>
                <w:sz w:val="26"/>
                <w:szCs w:val="26"/>
              </w:rPr>
              <w:t xml:space="preserve"> ce au impus elaborarea proiectului de act normativ </w:t>
            </w:r>
            <w:proofErr w:type="spellStart"/>
            <w:r w:rsidRPr="000B2E82">
              <w:rPr>
                <w:b/>
                <w:sz w:val="26"/>
                <w:szCs w:val="26"/>
              </w:rPr>
              <w:t>şi</w:t>
            </w:r>
            <w:proofErr w:type="spellEnd"/>
            <w:r w:rsidRPr="000B2E82">
              <w:rPr>
                <w:b/>
                <w:sz w:val="26"/>
                <w:szCs w:val="26"/>
              </w:rPr>
              <w:t xml:space="preserve"> </w:t>
            </w:r>
            <w:proofErr w:type="spellStart"/>
            <w:r w:rsidRPr="000B2E82">
              <w:rPr>
                <w:b/>
                <w:sz w:val="26"/>
                <w:szCs w:val="26"/>
              </w:rPr>
              <w:t>finalităţile</w:t>
            </w:r>
            <w:proofErr w:type="spellEnd"/>
            <w:r w:rsidRPr="000B2E82">
              <w:rPr>
                <w:b/>
                <w:sz w:val="26"/>
                <w:szCs w:val="26"/>
              </w:rPr>
              <w:t xml:space="preserve"> urmărite </w:t>
            </w:r>
          </w:p>
        </w:tc>
      </w:tr>
      <w:tr w:rsidR="00DB516A" w:rsidTr="0022364D">
        <w:tc>
          <w:tcPr>
            <w:tcW w:w="710" w:type="dxa"/>
          </w:tcPr>
          <w:p w:rsidR="00DB516A" w:rsidRPr="00D004D1" w:rsidRDefault="00DB516A" w:rsidP="0085057A">
            <w:pPr>
              <w:ind w:firstLine="567"/>
              <w:jc w:val="both"/>
              <w:rPr>
                <w:sz w:val="26"/>
                <w:szCs w:val="26"/>
              </w:rPr>
            </w:pPr>
          </w:p>
        </w:tc>
        <w:tc>
          <w:tcPr>
            <w:tcW w:w="8635" w:type="dxa"/>
          </w:tcPr>
          <w:p w:rsidR="008E41A4" w:rsidRPr="008E41A4" w:rsidRDefault="008E41A4" w:rsidP="008E41A4">
            <w:pPr>
              <w:pStyle w:val="NoSpacing"/>
              <w:ind w:firstLine="567"/>
              <w:jc w:val="both"/>
              <w:rPr>
                <w:rFonts w:ascii="Times New Roman" w:hAnsi="Times New Roman"/>
                <w:bCs/>
                <w:iCs/>
                <w:sz w:val="24"/>
                <w:szCs w:val="24"/>
                <w:lang w:val="ro-RO"/>
              </w:rPr>
            </w:pPr>
            <w:r w:rsidRPr="008E41A4">
              <w:rPr>
                <w:rFonts w:ascii="Times New Roman" w:hAnsi="Times New Roman"/>
                <w:bCs/>
                <w:iCs/>
                <w:sz w:val="24"/>
                <w:szCs w:val="24"/>
                <w:lang w:val="ro-RO"/>
              </w:rPr>
              <w:t>Procesul de casare a mijloacelor fixe reglementat de Regulamentul privind casarea bunurilor uzate, raportate la mijloacele fixe aprobat prin Hotărârea de Guvern nr.500 din 12 mai 1998, este unul depășit și deseori creează dificultăți în special în procesul de modernizare, dezvoltare a subiecților de drept reglementate fie ele autorități publice, instituții publice, fie ale agenți economici (întreprinderi de stat, municipale, SA, SRL cu cotă de participațiune a statului sau a administrației publice locale).</w:t>
            </w:r>
          </w:p>
          <w:p w:rsidR="008E41A4" w:rsidRPr="008E41A4" w:rsidRDefault="008E41A4" w:rsidP="008E41A4">
            <w:pPr>
              <w:pStyle w:val="NoSpacing"/>
              <w:ind w:firstLine="567"/>
              <w:jc w:val="both"/>
              <w:rPr>
                <w:rFonts w:ascii="Times New Roman" w:hAnsi="Times New Roman"/>
                <w:bCs/>
                <w:iCs/>
                <w:sz w:val="24"/>
                <w:szCs w:val="24"/>
                <w:lang w:val="ro-RO"/>
              </w:rPr>
            </w:pPr>
            <w:r w:rsidRPr="008E41A4">
              <w:rPr>
                <w:rFonts w:ascii="Times New Roman" w:hAnsi="Times New Roman"/>
                <w:bCs/>
                <w:iCs/>
                <w:sz w:val="24"/>
                <w:szCs w:val="24"/>
                <w:lang w:val="ro-RO"/>
              </w:rPr>
              <w:t xml:space="preserve">Un aspect important fiind modificarea cadrului legislativ primar (Legea nr.246 din 23.11.2017 cu privire la întreprinderea de stat și întreprinderea municipală, Legea nr.1134 din 02.04.1997 privind societățile pe acțiuni, etc.) care stabilește un șir de mecanisme suplimentare de monitorizare a activității acestor subiecți de drept. În special au fost, stabilite atribuții și mecanisme clare pentru activitatea comisiilor de cenzori și a auditului în cadrul întreprinderilor.  </w:t>
            </w:r>
          </w:p>
          <w:p w:rsidR="008E41A4" w:rsidRPr="008E41A4" w:rsidRDefault="008E41A4" w:rsidP="008E41A4">
            <w:pPr>
              <w:pStyle w:val="NoSpacing"/>
              <w:ind w:firstLine="567"/>
              <w:jc w:val="both"/>
              <w:rPr>
                <w:rFonts w:ascii="Times New Roman" w:hAnsi="Times New Roman"/>
                <w:bCs/>
                <w:iCs/>
                <w:sz w:val="24"/>
                <w:szCs w:val="24"/>
                <w:lang w:val="ro-RO"/>
              </w:rPr>
            </w:pPr>
            <w:r w:rsidRPr="008E41A4">
              <w:rPr>
                <w:rFonts w:ascii="Times New Roman" w:hAnsi="Times New Roman"/>
                <w:bCs/>
                <w:iCs/>
                <w:sz w:val="24"/>
                <w:szCs w:val="24"/>
                <w:lang w:val="ro-RO"/>
              </w:rPr>
              <w:t xml:space="preserve">Reieșind din cele menționate, având în vedere că există un mecanism clar de monitorizare a activităților întreprinderilor proiectul își propune simplificarea procedurii de casare a mijloacelor fixe și ulterioara verificare </w:t>
            </w:r>
            <w:r w:rsidR="006B6C9A">
              <w:rPr>
                <w:rFonts w:ascii="Times New Roman" w:hAnsi="Times New Roman"/>
                <w:bCs/>
                <w:iCs/>
                <w:sz w:val="24"/>
                <w:szCs w:val="24"/>
                <w:lang w:val="ro-RO"/>
              </w:rPr>
              <w:t xml:space="preserve">de către organele de conducere (consiliul societății pe acțiuni/întreprinderii de stat, comisia de cenzori, societatea de audit) </w:t>
            </w:r>
            <w:r w:rsidRPr="008E41A4">
              <w:rPr>
                <w:rFonts w:ascii="Times New Roman" w:hAnsi="Times New Roman"/>
                <w:bCs/>
                <w:iCs/>
                <w:sz w:val="24"/>
                <w:szCs w:val="24"/>
                <w:lang w:val="ro-RO"/>
              </w:rPr>
              <w:t xml:space="preserve">a tuturor acțiunilor întreprinse în acest sens. </w:t>
            </w:r>
          </w:p>
          <w:p w:rsidR="008E41A4" w:rsidRPr="008E41A4" w:rsidRDefault="008E41A4" w:rsidP="008E41A4">
            <w:pPr>
              <w:pStyle w:val="NoSpacing"/>
              <w:ind w:firstLine="567"/>
              <w:jc w:val="both"/>
              <w:rPr>
                <w:rFonts w:ascii="Times New Roman" w:hAnsi="Times New Roman"/>
                <w:bCs/>
                <w:iCs/>
                <w:sz w:val="24"/>
                <w:szCs w:val="24"/>
                <w:lang w:val="ro-RO"/>
              </w:rPr>
            </w:pPr>
            <w:r w:rsidRPr="008E41A4">
              <w:rPr>
                <w:rFonts w:ascii="Times New Roman" w:hAnsi="Times New Roman"/>
                <w:bCs/>
                <w:iCs/>
                <w:sz w:val="24"/>
                <w:szCs w:val="24"/>
                <w:lang w:val="ro-RO"/>
              </w:rPr>
              <w:t>T</w:t>
            </w:r>
            <w:r w:rsidRPr="00F749AA">
              <w:rPr>
                <w:rFonts w:ascii="Times New Roman" w:hAnsi="Times New Roman"/>
                <w:bCs/>
                <w:iCs/>
                <w:sz w:val="24"/>
                <w:szCs w:val="24"/>
                <w:lang w:val="ro-RO"/>
              </w:rPr>
              <w:t xml:space="preserve">ergiversarea demolării mijlocului fix duce inevitabil la majorarea pierderilor legate de consumuri de materiale </w:t>
            </w:r>
            <w:r w:rsidRPr="008E41A4">
              <w:rPr>
                <w:rFonts w:ascii="Times New Roman" w:hAnsi="Times New Roman"/>
                <w:bCs/>
                <w:iCs/>
                <w:sz w:val="24"/>
                <w:szCs w:val="24"/>
                <w:lang w:val="ro-RO"/>
              </w:rPr>
              <w:t>ș</w:t>
            </w:r>
            <w:r w:rsidRPr="00F749AA">
              <w:rPr>
                <w:rFonts w:ascii="Times New Roman" w:hAnsi="Times New Roman"/>
                <w:bCs/>
                <w:iCs/>
                <w:sz w:val="24"/>
                <w:szCs w:val="24"/>
                <w:lang w:val="ro-RO"/>
              </w:rPr>
              <w:t>i servicii, care pot fi direc</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ionate la dezvoltarea întreprinderii fie la majorarea obiectului impozabil în cazul impozitului pe venit.</w:t>
            </w:r>
          </w:p>
          <w:p w:rsidR="008E41A4" w:rsidRPr="008E41A4" w:rsidRDefault="008E41A4" w:rsidP="008E41A4">
            <w:pPr>
              <w:pStyle w:val="NoSpacing"/>
              <w:ind w:firstLine="567"/>
              <w:jc w:val="both"/>
              <w:rPr>
                <w:rFonts w:ascii="Times New Roman" w:hAnsi="Times New Roman"/>
                <w:bCs/>
                <w:iCs/>
                <w:sz w:val="24"/>
                <w:szCs w:val="24"/>
                <w:lang w:val="ro-RO"/>
              </w:rPr>
            </w:pPr>
            <w:r w:rsidRPr="00F749AA">
              <w:rPr>
                <w:rFonts w:ascii="Times New Roman" w:hAnsi="Times New Roman"/>
                <w:bCs/>
                <w:iCs/>
                <w:sz w:val="24"/>
                <w:szCs w:val="24"/>
                <w:lang w:val="ro-RO"/>
              </w:rPr>
              <w:t>Procedura anevoioasă de casare a mijloacelor fixe în anumite cazuri presupune încălcarea unor cerin</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 xml:space="preserve">e normativ-tehnice ce </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 xml:space="preserve">ine de calitatea serviciilor </w:t>
            </w:r>
            <w:r w:rsidRPr="008E41A4">
              <w:rPr>
                <w:rFonts w:ascii="Times New Roman" w:hAnsi="Times New Roman"/>
                <w:bCs/>
                <w:iCs/>
                <w:sz w:val="24"/>
                <w:szCs w:val="24"/>
                <w:lang w:val="ro-RO"/>
              </w:rPr>
              <w:t>ș</w:t>
            </w:r>
            <w:r w:rsidRPr="00F749AA">
              <w:rPr>
                <w:rFonts w:ascii="Times New Roman" w:hAnsi="Times New Roman"/>
                <w:bCs/>
                <w:iCs/>
                <w:sz w:val="24"/>
                <w:szCs w:val="24"/>
                <w:lang w:val="ro-RO"/>
              </w:rPr>
              <w:t xml:space="preserve">i/sau bunurilor produse de întreprindere </w:t>
            </w:r>
            <w:r w:rsidR="004C6C68">
              <w:rPr>
                <w:rFonts w:ascii="Times New Roman" w:hAnsi="Times New Roman"/>
                <w:bCs/>
                <w:iCs/>
                <w:sz w:val="24"/>
                <w:szCs w:val="24"/>
                <w:lang w:val="ro-RO"/>
              </w:rPr>
              <w:t xml:space="preserve"> </w:t>
            </w:r>
            <w:r w:rsidRPr="00F749AA">
              <w:rPr>
                <w:rFonts w:ascii="Times New Roman" w:hAnsi="Times New Roman"/>
                <w:bCs/>
                <w:iCs/>
                <w:sz w:val="24"/>
                <w:szCs w:val="24"/>
                <w:lang w:val="ro-RO"/>
              </w:rPr>
              <w:t>diminuând în acest sens poten</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ialul de concuren</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ă al întreprinderilor.</w:t>
            </w:r>
          </w:p>
          <w:p w:rsidR="008E41A4" w:rsidRPr="008E41A4" w:rsidRDefault="008E41A4" w:rsidP="008E41A4">
            <w:pPr>
              <w:pStyle w:val="NoSpacing"/>
              <w:ind w:firstLine="567"/>
              <w:jc w:val="both"/>
              <w:rPr>
                <w:rFonts w:ascii="Times New Roman" w:hAnsi="Times New Roman"/>
                <w:bCs/>
                <w:iCs/>
                <w:sz w:val="24"/>
                <w:szCs w:val="24"/>
                <w:lang w:val="ro-RO"/>
              </w:rPr>
            </w:pPr>
            <w:r w:rsidRPr="008E41A4">
              <w:rPr>
                <w:rFonts w:ascii="Times New Roman" w:hAnsi="Times New Roman"/>
                <w:bCs/>
                <w:iCs/>
                <w:sz w:val="24"/>
                <w:szCs w:val="24"/>
                <w:lang w:val="ro-RO"/>
              </w:rPr>
              <w:t xml:space="preserve">Solicitări privind simplificarea procedurilor de casare a mijloacelor fixe </w:t>
            </w:r>
            <w:r w:rsidRPr="00F749AA">
              <w:rPr>
                <w:rFonts w:ascii="Times New Roman" w:hAnsi="Times New Roman"/>
                <w:bCs/>
                <w:iCs/>
                <w:sz w:val="24"/>
                <w:szCs w:val="24"/>
                <w:lang w:val="ro-RO"/>
              </w:rPr>
              <w:t xml:space="preserve">au fost raportate către Ministerul Economiei </w:t>
            </w:r>
            <w:r w:rsidRPr="008E41A4">
              <w:rPr>
                <w:rFonts w:ascii="Times New Roman" w:hAnsi="Times New Roman"/>
                <w:bCs/>
                <w:iCs/>
                <w:sz w:val="24"/>
                <w:szCs w:val="24"/>
                <w:lang w:val="ro-RO"/>
              </w:rPr>
              <w:t>ș</w:t>
            </w:r>
            <w:r w:rsidRPr="00F749AA">
              <w:rPr>
                <w:rFonts w:ascii="Times New Roman" w:hAnsi="Times New Roman"/>
                <w:bCs/>
                <w:iCs/>
                <w:sz w:val="24"/>
                <w:szCs w:val="24"/>
                <w:lang w:val="ro-RO"/>
              </w:rPr>
              <w:t>i Infrastructurii de întreprinderi, în special, din sectorul energetic care întâmpină dificultă</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i în acest proces.</w:t>
            </w:r>
          </w:p>
          <w:p w:rsidR="00DB516A" w:rsidRPr="008E41A4" w:rsidRDefault="00DB516A" w:rsidP="000578AD">
            <w:pPr>
              <w:ind w:firstLine="596"/>
              <w:jc w:val="both"/>
              <w:rPr>
                <w:rFonts w:eastAsia="Calibri"/>
                <w:bCs/>
                <w:iCs/>
                <w:sz w:val="24"/>
                <w:szCs w:val="24"/>
                <w:lang w:eastAsia="en-US"/>
              </w:rPr>
            </w:pPr>
          </w:p>
        </w:tc>
      </w:tr>
      <w:tr w:rsidR="00DB516A" w:rsidTr="0022364D">
        <w:tc>
          <w:tcPr>
            <w:tcW w:w="710" w:type="dxa"/>
            <w:shd w:val="clear" w:color="auto" w:fill="BFBFBF" w:themeFill="background1" w:themeFillShade="BF"/>
          </w:tcPr>
          <w:p w:rsidR="00DB516A" w:rsidRPr="003443F3" w:rsidRDefault="00DB516A" w:rsidP="007B7A63">
            <w:pPr>
              <w:spacing w:line="276" w:lineRule="auto"/>
              <w:jc w:val="both"/>
              <w:rPr>
                <w:b/>
                <w:sz w:val="26"/>
                <w:szCs w:val="26"/>
                <w:lang w:val="en-GB"/>
              </w:rPr>
            </w:pPr>
            <w:r>
              <w:rPr>
                <w:b/>
                <w:sz w:val="26"/>
                <w:szCs w:val="26"/>
                <w:lang w:val="en-GB"/>
              </w:rPr>
              <w:t>3.</w:t>
            </w:r>
          </w:p>
        </w:tc>
        <w:tc>
          <w:tcPr>
            <w:tcW w:w="8635" w:type="dxa"/>
            <w:shd w:val="clear" w:color="auto" w:fill="BFBFBF" w:themeFill="background1" w:themeFillShade="BF"/>
          </w:tcPr>
          <w:p w:rsidR="00DB516A" w:rsidRPr="003443F3" w:rsidRDefault="00DB516A" w:rsidP="007B7A63">
            <w:pPr>
              <w:spacing w:line="276" w:lineRule="auto"/>
              <w:jc w:val="both"/>
              <w:rPr>
                <w:b/>
                <w:sz w:val="26"/>
                <w:szCs w:val="26"/>
                <w:lang w:val="en-GB"/>
              </w:rPr>
            </w:pPr>
            <w:proofErr w:type="spellStart"/>
            <w:r w:rsidRPr="003443F3">
              <w:rPr>
                <w:b/>
                <w:sz w:val="26"/>
                <w:szCs w:val="26"/>
                <w:lang w:val="en-GB"/>
              </w:rPr>
              <w:t>Descrierea</w:t>
            </w:r>
            <w:proofErr w:type="spellEnd"/>
            <w:r w:rsidRPr="003443F3">
              <w:rPr>
                <w:b/>
                <w:sz w:val="26"/>
                <w:szCs w:val="26"/>
                <w:lang w:val="en-GB"/>
              </w:rPr>
              <w:t xml:space="preserve"> </w:t>
            </w:r>
            <w:proofErr w:type="spellStart"/>
            <w:r w:rsidRPr="003443F3">
              <w:rPr>
                <w:b/>
                <w:sz w:val="26"/>
                <w:szCs w:val="26"/>
                <w:lang w:val="en-GB"/>
              </w:rPr>
              <w:t>gradului</w:t>
            </w:r>
            <w:proofErr w:type="spellEnd"/>
            <w:r w:rsidRPr="003443F3">
              <w:rPr>
                <w:b/>
                <w:sz w:val="26"/>
                <w:szCs w:val="26"/>
                <w:lang w:val="en-GB"/>
              </w:rPr>
              <w:t xml:space="preserve"> de </w:t>
            </w:r>
            <w:proofErr w:type="spellStart"/>
            <w:r w:rsidRPr="003443F3">
              <w:rPr>
                <w:b/>
                <w:sz w:val="26"/>
                <w:szCs w:val="26"/>
                <w:lang w:val="en-GB"/>
              </w:rPr>
              <w:t>compatibilitate</w:t>
            </w:r>
            <w:proofErr w:type="spellEnd"/>
            <w:r w:rsidRPr="003443F3">
              <w:rPr>
                <w:b/>
                <w:sz w:val="26"/>
                <w:szCs w:val="26"/>
                <w:lang w:val="en-GB"/>
              </w:rPr>
              <w:t xml:space="preserve"> a </w:t>
            </w:r>
            <w:proofErr w:type="spellStart"/>
            <w:r w:rsidRPr="003443F3">
              <w:rPr>
                <w:b/>
                <w:sz w:val="26"/>
                <w:szCs w:val="26"/>
                <w:lang w:val="en-GB"/>
              </w:rPr>
              <w:t>prevederilor</w:t>
            </w:r>
            <w:proofErr w:type="spellEnd"/>
            <w:r w:rsidRPr="003443F3">
              <w:rPr>
                <w:b/>
                <w:sz w:val="26"/>
                <w:szCs w:val="26"/>
                <w:lang w:val="en-GB"/>
              </w:rPr>
              <w:t xml:space="preserve"> </w:t>
            </w:r>
            <w:proofErr w:type="spellStart"/>
            <w:r w:rsidRPr="003443F3">
              <w:rPr>
                <w:b/>
                <w:sz w:val="26"/>
                <w:szCs w:val="26"/>
                <w:lang w:val="en-GB"/>
              </w:rPr>
              <w:t>proiectului</w:t>
            </w:r>
            <w:proofErr w:type="spellEnd"/>
            <w:r w:rsidRPr="003443F3">
              <w:rPr>
                <w:b/>
                <w:sz w:val="26"/>
                <w:szCs w:val="26"/>
                <w:lang w:val="en-GB"/>
              </w:rPr>
              <w:t xml:space="preserve"> cu </w:t>
            </w:r>
            <w:proofErr w:type="spellStart"/>
            <w:r w:rsidRPr="003443F3">
              <w:rPr>
                <w:b/>
                <w:sz w:val="26"/>
                <w:szCs w:val="26"/>
                <w:lang w:val="en-GB"/>
              </w:rPr>
              <w:t>legislația</w:t>
            </w:r>
            <w:proofErr w:type="spellEnd"/>
            <w:r w:rsidRPr="003443F3">
              <w:rPr>
                <w:b/>
                <w:sz w:val="26"/>
                <w:szCs w:val="26"/>
                <w:lang w:val="en-GB"/>
              </w:rPr>
              <w:t xml:space="preserve"> </w:t>
            </w:r>
            <w:proofErr w:type="spellStart"/>
            <w:r w:rsidRPr="003443F3">
              <w:rPr>
                <w:b/>
                <w:sz w:val="26"/>
                <w:szCs w:val="26"/>
                <w:lang w:val="en-GB"/>
              </w:rPr>
              <w:t>Uniunii</w:t>
            </w:r>
            <w:proofErr w:type="spellEnd"/>
            <w:r w:rsidRPr="003443F3">
              <w:rPr>
                <w:b/>
                <w:sz w:val="26"/>
                <w:szCs w:val="26"/>
                <w:lang w:val="en-GB"/>
              </w:rPr>
              <w:t xml:space="preserve"> </w:t>
            </w:r>
            <w:proofErr w:type="spellStart"/>
            <w:r w:rsidRPr="003443F3">
              <w:rPr>
                <w:b/>
                <w:sz w:val="26"/>
                <w:szCs w:val="26"/>
                <w:lang w:val="en-GB"/>
              </w:rPr>
              <w:t>Europene</w:t>
            </w:r>
            <w:proofErr w:type="spellEnd"/>
          </w:p>
        </w:tc>
      </w:tr>
      <w:tr w:rsidR="00DB516A" w:rsidTr="0022364D">
        <w:tc>
          <w:tcPr>
            <w:tcW w:w="710" w:type="dxa"/>
          </w:tcPr>
          <w:p w:rsidR="00DB516A" w:rsidRDefault="00DB516A" w:rsidP="007B7A63">
            <w:pPr>
              <w:spacing w:line="276" w:lineRule="auto"/>
              <w:jc w:val="both"/>
              <w:rPr>
                <w:sz w:val="26"/>
                <w:szCs w:val="26"/>
              </w:rPr>
            </w:pPr>
          </w:p>
        </w:tc>
        <w:tc>
          <w:tcPr>
            <w:tcW w:w="8635" w:type="dxa"/>
          </w:tcPr>
          <w:p w:rsidR="00DB516A" w:rsidRDefault="00DB516A" w:rsidP="007B7A63">
            <w:pPr>
              <w:spacing w:line="276" w:lineRule="auto"/>
              <w:jc w:val="both"/>
              <w:rPr>
                <w:sz w:val="26"/>
                <w:szCs w:val="26"/>
              </w:rPr>
            </w:pPr>
            <w:r w:rsidRPr="00FA1CB3">
              <w:rPr>
                <w:rFonts w:eastAsia="Calibri"/>
                <w:bCs/>
                <w:iCs/>
                <w:sz w:val="24"/>
                <w:szCs w:val="24"/>
                <w:lang w:eastAsia="en-US"/>
              </w:rPr>
              <w:t>Prezentul proiect de act normativ nu contravine legislației Uniunii Europene</w:t>
            </w:r>
          </w:p>
        </w:tc>
      </w:tr>
      <w:tr w:rsidR="00DB516A" w:rsidTr="0022364D">
        <w:tc>
          <w:tcPr>
            <w:tcW w:w="710" w:type="dxa"/>
            <w:shd w:val="clear" w:color="auto" w:fill="D9D9D9" w:themeFill="background1" w:themeFillShade="D9"/>
          </w:tcPr>
          <w:p w:rsidR="00DB516A" w:rsidRPr="003638BF" w:rsidRDefault="00DB516A" w:rsidP="007B7A63">
            <w:pPr>
              <w:spacing w:line="276" w:lineRule="auto"/>
              <w:jc w:val="both"/>
              <w:rPr>
                <w:b/>
                <w:sz w:val="26"/>
                <w:szCs w:val="26"/>
                <w:lang w:val="en-GB"/>
              </w:rPr>
            </w:pPr>
            <w:r>
              <w:rPr>
                <w:b/>
                <w:sz w:val="26"/>
                <w:szCs w:val="26"/>
                <w:lang w:val="en-GB"/>
              </w:rPr>
              <w:t>4.</w:t>
            </w:r>
          </w:p>
        </w:tc>
        <w:tc>
          <w:tcPr>
            <w:tcW w:w="8635" w:type="dxa"/>
            <w:shd w:val="clear" w:color="auto" w:fill="D9D9D9" w:themeFill="background1" w:themeFillShade="D9"/>
          </w:tcPr>
          <w:p w:rsidR="00DB516A" w:rsidRDefault="00DB516A" w:rsidP="007B7A63">
            <w:pPr>
              <w:spacing w:line="276" w:lineRule="auto"/>
              <w:jc w:val="both"/>
              <w:rPr>
                <w:sz w:val="26"/>
                <w:szCs w:val="26"/>
              </w:rPr>
            </w:pPr>
            <w:proofErr w:type="spellStart"/>
            <w:r w:rsidRPr="003638BF">
              <w:rPr>
                <w:b/>
                <w:sz w:val="26"/>
                <w:szCs w:val="26"/>
                <w:lang w:val="en-GB"/>
              </w:rPr>
              <w:t>Principalele</w:t>
            </w:r>
            <w:proofErr w:type="spellEnd"/>
            <w:r w:rsidRPr="003638BF">
              <w:rPr>
                <w:b/>
                <w:sz w:val="26"/>
                <w:szCs w:val="26"/>
                <w:lang w:val="en-GB"/>
              </w:rPr>
              <w:t xml:space="preserve"> </w:t>
            </w:r>
            <w:proofErr w:type="spellStart"/>
            <w:r w:rsidRPr="003638BF">
              <w:rPr>
                <w:b/>
                <w:sz w:val="26"/>
                <w:szCs w:val="26"/>
                <w:lang w:val="en-GB"/>
              </w:rPr>
              <w:t>prevederi</w:t>
            </w:r>
            <w:proofErr w:type="spellEnd"/>
            <w:r w:rsidRPr="003638BF">
              <w:rPr>
                <w:b/>
                <w:sz w:val="26"/>
                <w:szCs w:val="26"/>
                <w:lang w:val="en-GB"/>
              </w:rPr>
              <w:t xml:space="preserve"> ale </w:t>
            </w:r>
            <w:proofErr w:type="spellStart"/>
            <w:r w:rsidRPr="003638BF">
              <w:rPr>
                <w:b/>
                <w:sz w:val="26"/>
                <w:szCs w:val="26"/>
                <w:lang w:val="en-GB"/>
              </w:rPr>
              <w:t>proiectului</w:t>
            </w:r>
            <w:proofErr w:type="spellEnd"/>
            <w:r w:rsidRPr="003638BF">
              <w:rPr>
                <w:b/>
                <w:sz w:val="26"/>
                <w:szCs w:val="26"/>
                <w:lang w:val="en-GB"/>
              </w:rPr>
              <w:t xml:space="preserve"> </w:t>
            </w:r>
            <w:proofErr w:type="spellStart"/>
            <w:r w:rsidRPr="003638BF">
              <w:rPr>
                <w:b/>
                <w:sz w:val="26"/>
                <w:szCs w:val="26"/>
                <w:lang w:val="en-GB"/>
              </w:rPr>
              <w:t>şi</w:t>
            </w:r>
            <w:proofErr w:type="spellEnd"/>
            <w:r w:rsidRPr="003638BF">
              <w:rPr>
                <w:b/>
                <w:sz w:val="26"/>
                <w:szCs w:val="26"/>
                <w:lang w:val="en-GB"/>
              </w:rPr>
              <w:t xml:space="preserve"> </w:t>
            </w:r>
            <w:proofErr w:type="spellStart"/>
            <w:r w:rsidRPr="003638BF">
              <w:rPr>
                <w:b/>
                <w:sz w:val="26"/>
                <w:szCs w:val="26"/>
                <w:lang w:val="en-GB"/>
              </w:rPr>
              <w:t>evidenţierea</w:t>
            </w:r>
            <w:proofErr w:type="spellEnd"/>
            <w:r w:rsidRPr="003638BF">
              <w:rPr>
                <w:b/>
                <w:sz w:val="26"/>
                <w:szCs w:val="26"/>
                <w:lang w:val="en-GB"/>
              </w:rPr>
              <w:t xml:space="preserve"> </w:t>
            </w:r>
            <w:proofErr w:type="spellStart"/>
            <w:r w:rsidRPr="003638BF">
              <w:rPr>
                <w:b/>
                <w:sz w:val="26"/>
                <w:szCs w:val="26"/>
                <w:lang w:val="en-GB"/>
              </w:rPr>
              <w:t>elementelor</w:t>
            </w:r>
            <w:proofErr w:type="spellEnd"/>
            <w:r w:rsidRPr="003638BF">
              <w:rPr>
                <w:b/>
                <w:sz w:val="26"/>
                <w:szCs w:val="26"/>
                <w:lang w:val="en-GB"/>
              </w:rPr>
              <w:t xml:space="preserve"> </w:t>
            </w:r>
            <w:proofErr w:type="spellStart"/>
            <w:r w:rsidRPr="003638BF">
              <w:rPr>
                <w:b/>
                <w:sz w:val="26"/>
                <w:szCs w:val="26"/>
                <w:lang w:val="en-GB"/>
              </w:rPr>
              <w:t>noi</w:t>
            </w:r>
            <w:proofErr w:type="spellEnd"/>
          </w:p>
        </w:tc>
      </w:tr>
      <w:tr w:rsidR="00DB516A" w:rsidTr="0022364D">
        <w:tc>
          <w:tcPr>
            <w:tcW w:w="710" w:type="dxa"/>
          </w:tcPr>
          <w:p w:rsidR="00DB516A" w:rsidRDefault="00DB516A" w:rsidP="003638BF">
            <w:pPr>
              <w:ind w:left="29" w:firstLine="709"/>
              <w:jc w:val="both"/>
              <w:rPr>
                <w:sz w:val="26"/>
                <w:szCs w:val="26"/>
              </w:rPr>
            </w:pPr>
          </w:p>
        </w:tc>
        <w:tc>
          <w:tcPr>
            <w:tcW w:w="8635" w:type="dxa"/>
          </w:tcPr>
          <w:p w:rsidR="008E41A4" w:rsidRPr="00F749AA" w:rsidRDefault="008E41A4" w:rsidP="008E41A4">
            <w:pPr>
              <w:pStyle w:val="NoSpacing"/>
              <w:ind w:firstLine="567"/>
              <w:jc w:val="both"/>
              <w:rPr>
                <w:rFonts w:ascii="Times New Roman" w:hAnsi="Times New Roman"/>
                <w:bCs/>
                <w:iCs/>
                <w:sz w:val="24"/>
                <w:szCs w:val="24"/>
                <w:lang w:val="ro-RO"/>
              </w:rPr>
            </w:pPr>
            <w:r w:rsidRPr="00F749AA">
              <w:rPr>
                <w:rFonts w:ascii="Times New Roman" w:hAnsi="Times New Roman"/>
                <w:bCs/>
                <w:iCs/>
                <w:sz w:val="24"/>
                <w:szCs w:val="24"/>
                <w:lang w:val="ro-RO"/>
              </w:rPr>
              <w:t>Întru simplificarea procedurii de casare a mijloacelor fixe se propune modificarea procesului de ob</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inere a autoriza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iei de casare de la autorită</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 xml:space="preserve">ile publice centrale </w:t>
            </w:r>
            <w:r w:rsidRPr="00F749AA">
              <w:rPr>
                <w:rFonts w:ascii="Cambria Math" w:hAnsi="Cambria Math" w:cs="Cambria Math"/>
                <w:bCs/>
                <w:iCs/>
                <w:sz w:val="24"/>
                <w:szCs w:val="24"/>
                <w:lang w:val="ro-RO"/>
              </w:rPr>
              <w:t>ș</w:t>
            </w:r>
            <w:r w:rsidRPr="00F749AA">
              <w:rPr>
                <w:rFonts w:ascii="Times New Roman" w:hAnsi="Times New Roman"/>
                <w:bCs/>
                <w:iCs/>
                <w:sz w:val="24"/>
                <w:szCs w:val="24"/>
                <w:lang w:val="ro-RO"/>
              </w:rPr>
              <w:t>i locale, cu prezentarea doar a registrelor actelor de casare, eventual a altor informa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ii solicitate necesare pentru eliberarea autoriza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 xml:space="preserve">iei de casare cu efectuarea unei verificări selective. </w:t>
            </w:r>
          </w:p>
          <w:p w:rsidR="008E41A4" w:rsidRPr="00F749AA" w:rsidRDefault="008E41A4" w:rsidP="008E41A4">
            <w:pPr>
              <w:pStyle w:val="NoSpacing"/>
              <w:ind w:firstLine="567"/>
              <w:jc w:val="both"/>
              <w:rPr>
                <w:rFonts w:ascii="Times New Roman" w:hAnsi="Times New Roman"/>
                <w:bCs/>
                <w:iCs/>
                <w:sz w:val="24"/>
                <w:szCs w:val="24"/>
                <w:lang w:val="ro-RO"/>
              </w:rPr>
            </w:pPr>
            <w:r w:rsidRPr="00F749AA">
              <w:rPr>
                <w:rFonts w:ascii="Times New Roman" w:hAnsi="Times New Roman"/>
                <w:bCs/>
                <w:iCs/>
                <w:sz w:val="24"/>
                <w:szCs w:val="24"/>
                <w:lang w:val="ro-RO"/>
              </w:rPr>
              <w:t>Verificarea minu</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 xml:space="preserve">ioasă a procedurii de casare fiind efectuată de </w:t>
            </w:r>
            <w:r>
              <w:rPr>
                <w:rFonts w:ascii="Times New Roman" w:hAnsi="Times New Roman"/>
                <w:bCs/>
                <w:iCs/>
                <w:sz w:val="24"/>
                <w:szCs w:val="24"/>
                <w:lang w:val="ro-RO"/>
              </w:rPr>
              <w:t>comisia de casare în componența cărei</w:t>
            </w:r>
            <w:r w:rsidR="006F396B">
              <w:rPr>
                <w:rFonts w:ascii="Times New Roman" w:hAnsi="Times New Roman"/>
                <w:bCs/>
                <w:iCs/>
                <w:sz w:val="24"/>
                <w:szCs w:val="24"/>
                <w:lang w:val="ro-RO"/>
              </w:rPr>
              <w:t>a sunt incluși reprezentanții autorităților publice centrale/</w:t>
            </w:r>
            <w:r w:rsidRPr="00F749AA">
              <w:rPr>
                <w:rFonts w:ascii="Times New Roman" w:hAnsi="Times New Roman"/>
                <w:bCs/>
                <w:iCs/>
                <w:sz w:val="24"/>
                <w:szCs w:val="24"/>
                <w:lang w:val="ro-RO"/>
              </w:rPr>
              <w:t>entită</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 xml:space="preserve">i </w:t>
            </w:r>
            <w:r w:rsidRPr="00F749AA">
              <w:rPr>
                <w:rFonts w:ascii="Times New Roman" w:hAnsi="Times New Roman"/>
                <w:bCs/>
                <w:iCs/>
                <w:sz w:val="24"/>
                <w:szCs w:val="24"/>
                <w:lang w:val="ro-RO"/>
              </w:rPr>
              <w:lastRenderedPageBreak/>
              <w:t xml:space="preserve">specializate precum </w:t>
            </w:r>
            <w:r w:rsidR="00FA1CB3">
              <w:rPr>
                <w:rFonts w:ascii="Times New Roman" w:hAnsi="Times New Roman"/>
                <w:bCs/>
                <w:iCs/>
                <w:sz w:val="24"/>
                <w:szCs w:val="24"/>
                <w:lang w:val="ro-RO"/>
              </w:rPr>
              <w:t xml:space="preserve">și de </w:t>
            </w:r>
            <w:r w:rsidRPr="00F749AA">
              <w:rPr>
                <w:rFonts w:ascii="Times New Roman" w:hAnsi="Times New Roman"/>
                <w:bCs/>
                <w:iCs/>
                <w:sz w:val="24"/>
                <w:szCs w:val="24"/>
                <w:lang w:val="ro-RO"/>
              </w:rPr>
              <w:t xml:space="preserve">comisia de cenzori </w:t>
            </w:r>
            <w:r w:rsidRPr="008E41A4">
              <w:rPr>
                <w:rFonts w:ascii="Times New Roman" w:hAnsi="Times New Roman"/>
                <w:bCs/>
                <w:iCs/>
                <w:sz w:val="24"/>
                <w:szCs w:val="24"/>
                <w:lang w:val="ro-RO"/>
              </w:rPr>
              <w:t>ș</w:t>
            </w:r>
            <w:r w:rsidRPr="00F749AA">
              <w:rPr>
                <w:rFonts w:ascii="Times New Roman" w:hAnsi="Times New Roman"/>
                <w:bCs/>
                <w:iCs/>
                <w:sz w:val="24"/>
                <w:szCs w:val="24"/>
                <w:lang w:val="ro-RO"/>
              </w:rPr>
              <w:t>i/sau auditul, obligatoriu cel pu</w:t>
            </w:r>
            <w:r w:rsidRPr="008E41A4">
              <w:rPr>
                <w:rFonts w:ascii="Times New Roman" w:hAnsi="Times New Roman"/>
                <w:bCs/>
                <w:iCs/>
                <w:sz w:val="24"/>
                <w:szCs w:val="24"/>
                <w:lang w:val="ro-RO"/>
              </w:rPr>
              <w:t>ț</w:t>
            </w:r>
            <w:r w:rsidRPr="00F749AA">
              <w:rPr>
                <w:rFonts w:ascii="Times New Roman" w:hAnsi="Times New Roman"/>
                <w:bCs/>
                <w:iCs/>
                <w:sz w:val="24"/>
                <w:szCs w:val="24"/>
                <w:lang w:val="ro-RO"/>
              </w:rPr>
              <w:t xml:space="preserve">in odată pe an. </w:t>
            </w:r>
          </w:p>
          <w:p w:rsidR="008E41A4" w:rsidRPr="00F749AA" w:rsidRDefault="008E41A4" w:rsidP="008E41A4">
            <w:pPr>
              <w:pStyle w:val="NoSpacing"/>
              <w:ind w:firstLine="567"/>
              <w:jc w:val="both"/>
              <w:rPr>
                <w:rFonts w:ascii="Times New Roman" w:hAnsi="Times New Roman"/>
                <w:bCs/>
                <w:iCs/>
                <w:sz w:val="24"/>
                <w:szCs w:val="24"/>
                <w:lang w:val="ro-RO"/>
              </w:rPr>
            </w:pPr>
            <w:r w:rsidRPr="00F749AA">
              <w:rPr>
                <w:rFonts w:ascii="Times New Roman" w:hAnsi="Times New Roman"/>
                <w:bCs/>
                <w:iCs/>
                <w:sz w:val="24"/>
                <w:szCs w:val="24"/>
                <w:lang w:val="ro-RO"/>
              </w:rPr>
              <w:t xml:space="preserve">Un aspect inovativ, strict necesar în procesul de modernizare </w:t>
            </w:r>
            <w:r w:rsidRPr="00F749AA">
              <w:rPr>
                <w:rFonts w:ascii="Cambria Math" w:hAnsi="Cambria Math" w:cs="Cambria Math"/>
                <w:bCs/>
                <w:iCs/>
                <w:sz w:val="24"/>
                <w:szCs w:val="24"/>
                <w:lang w:val="ro-RO"/>
              </w:rPr>
              <w:t>ș</w:t>
            </w:r>
            <w:r w:rsidRPr="00F749AA">
              <w:rPr>
                <w:rFonts w:ascii="Times New Roman" w:hAnsi="Times New Roman"/>
                <w:bCs/>
                <w:iCs/>
                <w:sz w:val="24"/>
                <w:szCs w:val="24"/>
                <w:lang w:val="ro-RO"/>
              </w:rPr>
              <w:t>i dezvoltare a entită</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 xml:space="preserve">ilor reglementate, fiind posibilitatea de demontare a mijloacelor fixe </w:t>
            </w:r>
            <w:proofErr w:type="spellStart"/>
            <w:r w:rsidRPr="00F749AA">
              <w:rPr>
                <w:rFonts w:ascii="Times New Roman" w:hAnsi="Times New Roman"/>
                <w:bCs/>
                <w:iCs/>
                <w:sz w:val="24"/>
                <w:szCs w:val="24"/>
                <w:lang w:val="ro-RO"/>
              </w:rPr>
              <w:t>pînă</w:t>
            </w:r>
            <w:proofErr w:type="spellEnd"/>
            <w:r w:rsidRPr="00F749AA">
              <w:rPr>
                <w:rFonts w:ascii="Times New Roman" w:hAnsi="Times New Roman"/>
                <w:bCs/>
                <w:iCs/>
                <w:sz w:val="24"/>
                <w:szCs w:val="24"/>
                <w:lang w:val="ro-RO"/>
              </w:rPr>
              <w:t xml:space="preserve"> la ob</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inerea autoriza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iei de casare (în situa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ii expres prevăzute), ori la moment, Regulamentul prevede expres interdic</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 xml:space="preserve">ia de demontare a mijloacelor fixe </w:t>
            </w:r>
            <w:proofErr w:type="spellStart"/>
            <w:r w:rsidRPr="00F749AA">
              <w:rPr>
                <w:rFonts w:ascii="Times New Roman" w:hAnsi="Times New Roman"/>
                <w:bCs/>
                <w:iCs/>
                <w:sz w:val="24"/>
                <w:szCs w:val="24"/>
                <w:lang w:val="ro-RO"/>
              </w:rPr>
              <w:t>pînă</w:t>
            </w:r>
            <w:proofErr w:type="spellEnd"/>
            <w:r w:rsidRPr="00F749AA">
              <w:rPr>
                <w:rFonts w:ascii="Times New Roman" w:hAnsi="Times New Roman"/>
                <w:bCs/>
                <w:iCs/>
                <w:sz w:val="24"/>
                <w:szCs w:val="24"/>
                <w:lang w:val="ro-RO"/>
              </w:rPr>
              <w:t xml:space="preserve"> la ob</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inerea autoriza</w:t>
            </w:r>
            <w:r w:rsidRPr="00F749AA">
              <w:rPr>
                <w:rFonts w:ascii="Cambria Math" w:hAnsi="Cambria Math" w:cs="Cambria Math"/>
                <w:bCs/>
                <w:iCs/>
                <w:sz w:val="24"/>
                <w:szCs w:val="24"/>
                <w:lang w:val="ro-RO"/>
              </w:rPr>
              <w:t>ț</w:t>
            </w:r>
            <w:r w:rsidRPr="00F749AA">
              <w:rPr>
                <w:rFonts w:ascii="Times New Roman" w:hAnsi="Times New Roman"/>
                <w:bCs/>
                <w:iCs/>
                <w:sz w:val="24"/>
                <w:szCs w:val="24"/>
                <w:lang w:val="ro-RO"/>
              </w:rPr>
              <w:t>iei de casare (p.14)</w:t>
            </w:r>
          </w:p>
          <w:p w:rsidR="00DB516A" w:rsidRDefault="00DB516A" w:rsidP="003638BF">
            <w:pPr>
              <w:ind w:left="29" w:firstLine="709"/>
              <w:jc w:val="both"/>
              <w:rPr>
                <w:sz w:val="26"/>
                <w:szCs w:val="26"/>
              </w:rPr>
            </w:pPr>
          </w:p>
        </w:tc>
      </w:tr>
      <w:tr w:rsidR="00DB516A" w:rsidTr="0022364D">
        <w:tc>
          <w:tcPr>
            <w:tcW w:w="710" w:type="dxa"/>
            <w:shd w:val="clear" w:color="auto" w:fill="BFBFBF" w:themeFill="background1" w:themeFillShade="BF"/>
          </w:tcPr>
          <w:p w:rsidR="00DB516A" w:rsidRPr="003443F3" w:rsidRDefault="00CA3617" w:rsidP="007B7A63">
            <w:pPr>
              <w:spacing w:line="276" w:lineRule="auto"/>
              <w:jc w:val="both"/>
              <w:rPr>
                <w:b/>
                <w:sz w:val="26"/>
                <w:szCs w:val="26"/>
                <w:lang w:val="en-GB"/>
              </w:rPr>
            </w:pPr>
            <w:r>
              <w:rPr>
                <w:b/>
                <w:sz w:val="26"/>
                <w:szCs w:val="26"/>
                <w:lang w:val="en-GB"/>
              </w:rPr>
              <w:lastRenderedPageBreak/>
              <w:t>5</w:t>
            </w:r>
            <w:r w:rsidR="00DB516A">
              <w:rPr>
                <w:b/>
                <w:sz w:val="26"/>
                <w:szCs w:val="26"/>
                <w:lang w:val="en-GB"/>
              </w:rPr>
              <w:t>.</w:t>
            </w:r>
          </w:p>
        </w:tc>
        <w:tc>
          <w:tcPr>
            <w:tcW w:w="8635" w:type="dxa"/>
            <w:shd w:val="clear" w:color="auto" w:fill="BFBFBF" w:themeFill="background1" w:themeFillShade="BF"/>
          </w:tcPr>
          <w:p w:rsidR="00DB516A" w:rsidRPr="003443F3" w:rsidRDefault="00DB516A" w:rsidP="007B7A63">
            <w:pPr>
              <w:spacing w:line="276" w:lineRule="auto"/>
              <w:jc w:val="both"/>
              <w:rPr>
                <w:b/>
                <w:sz w:val="26"/>
                <w:szCs w:val="26"/>
              </w:rPr>
            </w:pPr>
            <w:proofErr w:type="spellStart"/>
            <w:r w:rsidRPr="003443F3">
              <w:rPr>
                <w:b/>
                <w:sz w:val="26"/>
                <w:szCs w:val="26"/>
                <w:lang w:val="en-GB"/>
              </w:rPr>
              <w:t>Fundamentarea</w:t>
            </w:r>
            <w:proofErr w:type="spellEnd"/>
            <w:r w:rsidRPr="003443F3">
              <w:rPr>
                <w:b/>
                <w:sz w:val="26"/>
                <w:szCs w:val="26"/>
                <w:lang w:val="en-GB"/>
              </w:rPr>
              <w:t xml:space="preserve"> </w:t>
            </w:r>
            <w:proofErr w:type="spellStart"/>
            <w:r w:rsidRPr="003443F3">
              <w:rPr>
                <w:b/>
                <w:sz w:val="26"/>
                <w:szCs w:val="26"/>
                <w:lang w:val="en-GB"/>
              </w:rPr>
              <w:t>economico-financiară</w:t>
            </w:r>
            <w:proofErr w:type="spellEnd"/>
          </w:p>
        </w:tc>
      </w:tr>
      <w:tr w:rsidR="00DB516A" w:rsidTr="0022364D">
        <w:tc>
          <w:tcPr>
            <w:tcW w:w="710" w:type="dxa"/>
            <w:shd w:val="clear" w:color="auto" w:fill="FFFFFF" w:themeFill="background1"/>
          </w:tcPr>
          <w:p w:rsidR="00DB516A" w:rsidRPr="00261FF4" w:rsidRDefault="00DB516A" w:rsidP="00236C19">
            <w:pPr>
              <w:spacing w:line="276" w:lineRule="auto"/>
              <w:ind w:firstLine="738"/>
              <w:jc w:val="both"/>
              <w:rPr>
                <w:sz w:val="26"/>
                <w:szCs w:val="26"/>
                <w:lang w:val="en-GB"/>
              </w:rPr>
            </w:pPr>
          </w:p>
        </w:tc>
        <w:tc>
          <w:tcPr>
            <w:tcW w:w="8635" w:type="dxa"/>
            <w:shd w:val="clear" w:color="auto" w:fill="FFFFFF" w:themeFill="background1"/>
          </w:tcPr>
          <w:p w:rsidR="00DB516A" w:rsidRPr="00261FF4" w:rsidRDefault="00DB516A" w:rsidP="00FA1CB3">
            <w:pPr>
              <w:spacing w:line="276" w:lineRule="auto"/>
              <w:ind w:firstLine="738"/>
              <w:jc w:val="both"/>
              <w:rPr>
                <w:sz w:val="26"/>
                <w:szCs w:val="26"/>
                <w:lang w:val="en-GB"/>
              </w:rPr>
            </w:pPr>
            <w:r w:rsidRPr="00FA1CB3">
              <w:rPr>
                <w:rFonts w:eastAsia="Calibri"/>
                <w:bCs/>
                <w:iCs/>
                <w:sz w:val="24"/>
                <w:szCs w:val="24"/>
                <w:lang w:eastAsia="en-US"/>
              </w:rPr>
              <w:t>Realizarea proiectului dat nu implică cheltuieli financiare publice</w:t>
            </w:r>
          </w:p>
        </w:tc>
      </w:tr>
      <w:tr w:rsidR="00DB516A" w:rsidTr="0022364D">
        <w:tc>
          <w:tcPr>
            <w:tcW w:w="710" w:type="dxa"/>
            <w:shd w:val="clear" w:color="auto" w:fill="D9D9D9" w:themeFill="background1" w:themeFillShade="D9"/>
          </w:tcPr>
          <w:p w:rsidR="00DB516A" w:rsidRPr="00236C19" w:rsidRDefault="00CA3617" w:rsidP="00236C19">
            <w:pPr>
              <w:spacing w:line="276" w:lineRule="auto"/>
              <w:rPr>
                <w:b/>
                <w:sz w:val="26"/>
                <w:szCs w:val="26"/>
                <w:lang w:val="en-GB"/>
              </w:rPr>
            </w:pPr>
            <w:r>
              <w:rPr>
                <w:b/>
                <w:sz w:val="26"/>
                <w:szCs w:val="26"/>
                <w:lang w:val="en-GB"/>
              </w:rPr>
              <w:t>6.</w:t>
            </w:r>
          </w:p>
        </w:tc>
        <w:tc>
          <w:tcPr>
            <w:tcW w:w="8635" w:type="dxa"/>
            <w:shd w:val="clear" w:color="auto" w:fill="D9D9D9" w:themeFill="background1" w:themeFillShade="D9"/>
          </w:tcPr>
          <w:p w:rsidR="00DB516A" w:rsidRPr="00236C19" w:rsidRDefault="00DB516A" w:rsidP="00FA1CB3">
            <w:pPr>
              <w:spacing w:line="276" w:lineRule="auto"/>
              <w:jc w:val="both"/>
              <w:rPr>
                <w:b/>
                <w:sz w:val="26"/>
                <w:szCs w:val="26"/>
                <w:lang w:val="en-GB"/>
              </w:rPr>
            </w:pPr>
            <w:proofErr w:type="spellStart"/>
            <w:r w:rsidRPr="00236C19">
              <w:rPr>
                <w:b/>
                <w:sz w:val="26"/>
                <w:szCs w:val="26"/>
                <w:lang w:val="en-GB"/>
              </w:rPr>
              <w:t>Modul</w:t>
            </w:r>
            <w:proofErr w:type="spellEnd"/>
            <w:r w:rsidRPr="00236C19">
              <w:rPr>
                <w:b/>
                <w:sz w:val="26"/>
                <w:szCs w:val="26"/>
                <w:lang w:val="en-GB"/>
              </w:rPr>
              <w:t xml:space="preserve"> de </w:t>
            </w:r>
            <w:proofErr w:type="spellStart"/>
            <w:r w:rsidRPr="00236C19">
              <w:rPr>
                <w:b/>
                <w:sz w:val="26"/>
                <w:szCs w:val="26"/>
                <w:lang w:val="en-GB"/>
              </w:rPr>
              <w:t>încorporare</w:t>
            </w:r>
            <w:proofErr w:type="spellEnd"/>
            <w:r w:rsidRPr="00236C19">
              <w:rPr>
                <w:b/>
                <w:sz w:val="26"/>
                <w:szCs w:val="26"/>
                <w:lang w:val="en-GB"/>
              </w:rPr>
              <w:t xml:space="preserve"> a </w:t>
            </w:r>
            <w:proofErr w:type="spellStart"/>
            <w:r w:rsidRPr="00236C19">
              <w:rPr>
                <w:b/>
                <w:sz w:val="26"/>
                <w:szCs w:val="26"/>
                <w:lang w:val="en-GB"/>
              </w:rPr>
              <w:t>actului</w:t>
            </w:r>
            <w:proofErr w:type="spellEnd"/>
            <w:r w:rsidRPr="00236C19">
              <w:rPr>
                <w:b/>
                <w:sz w:val="26"/>
                <w:szCs w:val="26"/>
                <w:lang w:val="en-GB"/>
              </w:rPr>
              <w:t xml:space="preserve"> </w:t>
            </w:r>
            <w:proofErr w:type="spellStart"/>
            <w:r w:rsidRPr="00236C19">
              <w:rPr>
                <w:b/>
                <w:sz w:val="26"/>
                <w:szCs w:val="26"/>
                <w:lang w:val="en-GB"/>
              </w:rPr>
              <w:t>în</w:t>
            </w:r>
            <w:proofErr w:type="spellEnd"/>
            <w:r w:rsidRPr="00236C19">
              <w:rPr>
                <w:b/>
                <w:sz w:val="26"/>
                <w:szCs w:val="26"/>
                <w:lang w:val="en-GB"/>
              </w:rPr>
              <w:t xml:space="preserve"> </w:t>
            </w:r>
            <w:proofErr w:type="spellStart"/>
            <w:r w:rsidRPr="00236C19">
              <w:rPr>
                <w:b/>
                <w:sz w:val="26"/>
                <w:szCs w:val="26"/>
                <w:lang w:val="en-GB"/>
              </w:rPr>
              <w:t>cadrul</w:t>
            </w:r>
            <w:proofErr w:type="spellEnd"/>
            <w:r w:rsidRPr="00236C19">
              <w:rPr>
                <w:b/>
                <w:sz w:val="26"/>
                <w:szCs w:val="26"/>
                <w:lang w:val="en-GB"/>
              </w:rPr>
              <w:t xml:space="preserve"> </w:t>
            </w:r>
            <w:proofErr w:type="spellStart"/>
            <w:r w:rsidRPr="00236C19">
              <w:rPr>
                <w:b/>
                <w:sz w:val="26"/>
                <w:szCs w:val="26"/>
                <w:lang w:val="en-GB"/>
              </w:rPr>
              <w:t>normativ</w:t>
            </w:r>
            <w:proofErr w:type="spellEnd"/>
            <w:r w:rsidRPr="00236C19">
              <w:rPr>
                <w:b/>
                <w:sz w:val="26"/>
                <w:szCs w:val="26"/>
                <w:lang w:val="en-GB"/>
              </w:rPr>
              <w:t xml:space="preserve"> </w:t>
            </w:r>
            <w:proofErr w:type="spellStart"/>
            <w:r w:rsidRPr="00236C19">
              <w:rPr>
                <w:b/>
                <w:sz w:val="26"/>
                <w:szCs w:val="26"/>
                <w:lang w:val="en-GB"/>
              </w:rPr>
              <w:t>în</w:t>
            </w:r>
            <w:proofErr w:type="spellEnd"/>
            <w:r w:rsidRPr="00236C19">
              <w:rPr>
                <w:b/>
                <w:sz w:val="26"/>
                <w:szCs w:val="26"/>
                <w:lang w:val="en-GB"/>
              </w:rPr>
              <w:t xml:space="preserve"> </w:t>
            </w:r>
            <w:proofErr w:type="spellStart"/>
            <w:r w:rsidRPr="00236C19">
              <w:rPr>
                <w:b/>
                <w:sz w:val="26"/>
                <w:szCs w:val="26"/>
                <w:lang w:val="en-GB"/>
              </w:rPr>
              <w:t>vigoare</w:t>
            </w:r>
            <w:proofErr w:type="spellEnd"/>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Pr="00261FF4" w:rsidRDefault="006F396B" w:rsidP="00FA1CB3">
            <w:pPr>
              <w:spacing w:line="276" w:lineRule="auto"/>
              <w:ind w:firstLine="738"/>
              <w:jc w:val="both"/>
              <w:rPr>
                <w:sz w:val="26"/>
                <w:szCs w:val="26"/>
                <w:lang w:val="en-GB"/>
              </w:rPr>
            </w:pPr>
            <w:r w:rsidRPr="00FA1CB3">
              <w:rPr>
                <w:rFonts w:eastAsia="Calibri"/>
                <w:bCs/>
                <w:iCs/>
                <w:sz w:val="24"/>
                <w:szCs w:val="24"/>
                <w:lang w:eastAsia="en-US"/>
              </w:rPr>
              <w:t>Proiectul corespunde prevederilor cadrului legal existent</w:t>
            </w:r>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7.</w:t>
            </w:r>
          </w:p>
        </w:tc>
        <w:tc>
          <w:tcPr>
            <w:tcW w:w="8635" w:type="dxa"/>
            <w:shd w:val="clear" w:color="auto" w:fill="D9D9D9" w:themeFill="background1" w:themeFillShade="D9"/>
          </w:tcPr>
          <w:p w:rsidR="00DB516A" w:rsidRPr="00261FF4" w:rsidRDefault="00DB516A" w:rsidP="00FA1CB3">
            <w:pPr>
              <w:spacing w:line="276" w:lineRule="auto"/>
              <w:jc w:val="both"/>
              <w:rPr>
                <w:sz w:val="26"/>
                <w:szCs w:val="26"/>
                <w:lang w:val="en-GB"/>
              </w:rPr>
            </w:pPr>
            <w:proofErr w:type="spellStart"/>
            <w:r w:rsidRPr="00236C19">
              <w:rPr>
                <w:b/>
                <w:sz w:val="26"/>
                <w:szCs w:val="26"/>
                <w:lang w:val="en-GB"/>
              </w:rPr>
              <w:t>Avizarea</w:t>
            </w:r>
            <w:proofErr w:type="spellEnd"/>
            <w:r w:rsidRPr="00236C19">
              <w:rPr>
                <w:b/>
                <w:sz w:val="26"/>
                <w:szCs w:val="26"/>
                <w:lang w:val="en-GB"/>
              </w:rPr>
              <w:t xml:space="preserve"> </w:t>
            </w:r>
            <w:proofErr w:type="spellStart"/>
            <w:r w:rsidRPr="00236C19">
              <w:rPr>
                <w:b/>
                <w:sz w:val="26"/>
                <w:szCs w:val="26"/>
                <w:lang w:val="en-GB"/>
              </w:rPr>
              <w:t>şi</w:t>
            </w:r>
            <w:proofErr w:type="spellEnd"/>
            <w:r w:rsidRPr="00236C19">
              <w:rPr>
                <w:b/>
                <w:sz w:val="26"/>
                <w:szCs w:val="26"/>
                <w:lang w:val="en-GB"/>
              </w:rPr>
              <w:t xml:space="preserve"> </w:t>
            </w:r>
            <w:proofErr w:type="spellStart"/>
            <w:r w:rsidRPr="00236C19">
              <w:rPr>
                <w:b/>
                <w:sz w:val="26"/>
                <w:szCs w:val="26"/>
                <w:lang w:val="en-GB"/>
              </w:rPr>
              <w:t>consultarea</w:t>
            </w:r>
            <w:proofErr w:type="spellEnd"/>
            <w:r w:rsidRPr="00236C19">
              <w:rPr>
                <w:b/>
                <w:sz w:val="26"/>
                <w:szCs w:val="26"/>
                <w:lang w:val="en-GB"/>
              </w:rPr>
              <w:t xml:space="preserve"> </w:t>
            </w:r>
            <w:proofErr w:type="spellStart"/>
            <w:r w:rsidRPr="00236C19">
              <w:rPr>
                <w:b/>
                <w:sz w:val="26"/>
                <w:szCs w:val="26"/>
                <w:lang w:val="en-GB"/>
              </w:rPr>
              <w:t>publică</w:t>
            </w:r>
            <w:proofErr w:type="spellEnd"/>
            <w:r w:rsidRPr="00236C19">
              <w:rPr>
                <w:b/>
                <w:sz w:val="26"/>
                <w:szCs w:val="26"/>
                <w:lang w:val="en-GB"/>
              </w:rPr>
              <w:t xml:space="preserve"> a </w:t>
            </w:r>
            <w:proofErr w:type="spellStart"/>
            <w:r w:rsidRPr="00236C19">
              <w:rPr>
                <w:b/>
                <w:sz w:val="26"/>
                <w:szCs w:val="26"/>
                <w:lang w:val="en-GB"/>
              </w:rPr>
              <w:t>proiectului</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Pr="00261FF4" w:rsidRDefault="00DB516A" w:rsidP="00333C65">
            <w:pPr>
              <w:spacing w:line="276" w:lineRule="auto"/>
              <w:ind w:firstLine="738"/>
              <w:jc w:val="both"/>
              <w:rPr>
                <w:sz w:val="26"/>
                <w:szCs w:val="26"/>
                <w:lang w:val="en-GB"/>
              </w:rPr>
            </w:pPr>
            <w:r w:rsidRPr="00FA1CB3">
              <w:rPr>
                <w:rFonts w:eastAsia="Calibri"/>
                <w:bCs/>
                <w:iCs/>
                <w:sz w:val="24"/>
                <w:szCs w:val="24"/>
                <w:lang w:eastAsia="en-US"/>
              </w:rPr>
              <w:t xml:space="preserve">Proiectul </w:t>
            </w:r>
            <w:r w:rsidR="00333C65">
              <w:rPr>
                <w:rFonts w:eastAsia="Calibri"/>
                <w:bCs/>
                <w:iCs/>
                <w:sz w:val="24"/>
                <w:szCs w:val="24"/>
                <w:lang w:eastAsia="en-US"/>
              </w:rPr>
              <w:t>a fost</w:t>
            </w:r>
            <w:r w:rsidRPr="00FA1CB3">
              <w:rPr>
                <w:rFonts w:eastAsia="Calibri"/>
                <w:bCs/>
                <w:iCs/>
                <w:sz w:val="24"/>
                <w:szCs w:val="24"/>
                <w:lang w:eastAsia="en-US"/>
              </w:rPr>
              <w:t xml:space="preserve"> publicat pentru consultări publice</w:t>
            </w:r>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8.</w:t>
            </w:r>
          </w:p>
        </w:tc>
        <w:tc>
          <w:tcPr>
            <w:tcW w:w="8635" w:type="dxa"/>
            <w:shd w:val="clear" w:color="auto" w:fill="FFFFFF" w:themeFill="background1"/>
          </w:tcPr>
          <w:p w:rsidR="00DB516A" w:rsidRPr="00261FF4" w:rsidRDefault="00DB516A" w:rsidP="00FA1CB3">
            <w:pPr>
              <w:spacing w:line="276" w:lineRule="auto"/>
              <w:jc w:val="both"/>
              <w:rPr>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expertizei</w:t>
            </w:r>
            <w:proofErr w:type="spellEnd"/>
            <w:r w:rsidRPr="00236C19">
              <w:rPr>
                <w:b/>
                <w:sz w:val="26"/>
                <w:szCs w:val="26"/>
                <w:lang w:val="en-GB"/>
              </w:rPr>
              <w:t xml:space="preserve"> </w:t>
            </w:r>
            <w:proofErr w:type="spellStart"/>
            <w:r w:rsidRPr="00236C19">
              <w:rPr>
                <w:b/>
                <w:sz w:val="26"/>
                <w:szCs w:val="26"/>
                <w:lang w:val="en-GB"/>
              </w:rPr>
              <w:t>anticorupţie</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Pr="00261FF4" w:rsidRDefault="00DB516A" w:rsidP="00333C65">
            <w:pPr>
              <w:spacing w:line="276" w:lineRule="auto"/>
              <w:ind w:firstLine="738"/>
              <w:jc w:val="both"/>
              <w:rPr>
                <w:sz w:val="26"/>
                <w:szCs w:val="26"/>
                <w:lang w:val="en-GB"/>
              </w:rPr>
            </w:pPr>
            <w:r w:rsidRPr="00FA1CB3">
              <w:rPr>
                <w:rFonts w:eastAsia="Calibri"/>
                <w:bCs/>
                <w:iCs/>
                <w:sz w:val="24"/>
                <w:szCs w:val="24"/>
                <w:lang w:eastAsia="en-US"/>
              </w:rPr>
              <w:t xml:space="preserve">Proiectul </w:t>
            </w:r>
            <w:r w:rsidR="00333C65">
              <w:rPr>
                <w:rFonts w:eastAsia="Calibri"/>
                <w:bCs/>
                <w:iCs/>
                <w:sz w:val="24"/>
                <w:szCs w:val="24"/>
                <w:lang w:eastAsia="en-US"/>
              </w:rPr>
              <w:t>a fost</w:t>
            </w:r>
            <w:r w:rsidRPr="00FA1CB3">
              <w:rPr>
                <w:rFonts w:eastAsia="Calibri"/>
                <w:bCs/>
                <w:iCs/>
                <w:sz w:val="24"/>
                <w:szCs w:val="24"/>
                <w:lang w:eastAsia="en-US"/>
              </w:rPr>
              <w:t xml:space="preserve"> supus expertizei anticorupție</w:t>
            </w:r>
          </w:p>
        </w:tc>
      </w:tr>
      <w:tr w:rsidR="00DB516A" w:rsidTr="0022364D">
        <w:tc>
          <w:tcPr>
            <w:tcW w:w="710" w:type="dxa"/>
            <w:shd w:val="clear" w:color="auto" w:fill="D9D9D9" w:themeFill="background1" w:themeFillShade="D9"/>
          </w:tcPr>
          <w:p w:rsidR="00DB516A" w:rsidRPr="00DB516A" w:rsidRDefault="00CA3617" w:rsidP="00B83FA5">
            <w:pPr>
              <w:spacing w:line="276" w:lineRule="auto"/>
              <w:jc w:val="both"/>
              <w:rPr>
                <w:b/>
                <w:sz w:val="26"/>
                <w:szCs w:val="26"/>
                <w:lang w:val="en-GB"/>
              </w:rPr>
            </w:pPr>
            <w:r>
              <w:rPr>
                <w:b/>
                <w:sz w:val="26"/>
                <w:szCs w:val="26"/>
                <w:lang w:val="en-GB"/>
              </w:rPr>
              <w:t>9.</w:t>
            </w:r>
          </w:p>
        </w:tc>
        <w:tc>
          <w:tcPr>
            <w:tcW w:w="8635" w:type="dxa"/>
            <w:shd w:val="clear" w:color="auto" w:fill="D9D9D9" w:themeFill="background1" w:themeFillShade="D9"/>
          </w:tcPr>
          <w:p w:rsidR="00DB516A" w:rsidRDefault="00DB516A" w:rsidP="00FA1CB3">
            <w:pPr>
              <w:spacing w:line="276" w:lineRule="auto"/>
              <w:jc w:val="both"/>
              <w:rPr>
                <w:sz w:val="26"/>
                <w:szCs w:val="26"/>
                <w:lang w:val="en-GB"/>
              </w:rPr>
            </w:pPr>
            <w:proofErr w:type="spellStart"/>
            <w:r w:rsidRPr="00DB516A">
              <w:rPr>
                <w:b/>
                <w:sz w:val="26"/>
                <w:szCs w:val="26"/>
                <w:lang w:val="en-GB"/>
              </w:rPr>
              <w:t>Constatările</w:t>
            </w:r>
            <w:proofErr w:type="spellEnd"/>
            <w:r w:rsidRPr="00DB516A">
              <w:rPr>
                <w:b/>
                <w:sz w:val="26"/>
                <w:szCs w:val="26"/>
                <w:lang w:val="en-GB"/>
              </w:rPr>
              <w:t xml:space="preserve"> </w:t>
            </w:r>
            <w:proofErr w:type="spellStart"/>
            <w:r w:rsidRPr="00DB516A">
              <w:rPr>
                <w:b/>
                <w:sz w:val="26"/>
                <w:szCs w:val="26"/>
                <w:lang w:val="en-GB"/>
              </w:rPr>
              <w:t>expertizei</w:t>
            </w:r>
            <w:proofErr w:type="spellEnd"/>
            <w:r w:rsidRPr="00DB516A">
              <w:rPr>
                <w:b/>
                <w:sz w:val="26"/>
                <w:szCs w:val="26"/>
                <w:lang w:val="en-GB"/>
              </w:rPr>
              <w:t xml:space="preserve"> de </w:t>
            </w:r>
            <w:proofErr w:type="spellStart"/>
            <w:r w:rsidRPr="00DB516A">
              <w:rPr>
                <w:b/>
                <w:sz w:val="26"/>
                <w:szCs w:val="26"/>
                <w:lang w:val="en-GB"/>
              </w:rPr>
              <w:t>compatibilitate</w:t>
            </w:r>
            <w:proofErr w:type="spellEnd"/>
          </w:p>
        </w:tc>
      </w:tr>
      <w:tr w:rsidR="00DB516A" w:rsidTr="0022364D">
        <w:tc>
          <w:tcPr>
            <w:tcW w:w="710" w:type="dxa"/>
            <w:shd w:val="clear" w:color="auto" w:fill="FFFFFF" w:themeFill="background1"/>
          </w:tcPr>
          <w:p w:rsidR="00DB516A" w:rsidRDefault="00DB516A" w:rsidP="00B83FA5">
            <w:pPr>
              <w:spacing w:line="276" w:lineRule="auto"/>
              <w:jc w:val="both"/>
              <w:rPr>
                <w:sz w:val="26"/>
                <w:szCs w:val="26"/>
                <w:lang w:val="en-GB"/>
              </w:rPr>
            </w:pPr>
          </w:p>
        </w:tc>
        <w:tc>
          <w:tcPr>
            <w:tcW w:w="8635" w:type="dxa"/>
            <w:shd w:val="clear" w:color="auto" w:fill="FFFFFF" w:themeFill="background1"/>
          </w:tcPr>
          <w:p w:rsidR="00DB516A" w:rsidRDefault="0022364D" w:rsidP="00FA1CB3">
            <w:pPr>
              <w:spacing w:line="276" w:lineRule="auto"/>
              <w:ind w:firstLine="738"/>
              <w:jc w:val="both"/>
              <w:rPr>
                <w:sz w:val="26"/>
                <w:szCs w:val="26"/>
                <w:lang w:val="en-GB"/>
              </w:rPr>
            </w:pPr>
            <w:r w:rsidRPr="00FA1CB3">
              <w:rPr>
                <w:rFonts w:eastAsia="Calibri"/>
                <w:bCs/>
                <w:iCs/>
                <w:sz w:val="24"/>
                <w:szCs w:val="24"/>
                <w:lang w:eastAsia="en-US"/>
              </w:rPr>
              <w:t>Nu este necesar</w:t>
            </w:r>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10.</w:t>
            </w:r>
          </w:p>
        </w:tc>
        <w:tc>
          <w:tcPr>
            <w:tcW w:w="8635" w:type="dxa"/>
            <w:shd w:val="clear" w:color="auto" w:fill="D9D9D9" w:themeFill="background1" w:themeFillShade="D9"/>
          </w:tcPr>
          <w:p w:rsidR="00DB516A" w:rsidRPr="00261FF4" w:rsidRDefault="00DB516A" w:rsidP="00FA1CB3">
            <w:pPr>
              <w:spacing w:line="276" w:lineRule="auto"/>
              <w:jc w:val="both"/>
              <w:rPr>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expertizei</w:t>
            </w:r>
            <w:proofErr w:type="spellEnd"/>
            <w:r w:rsidRPr="00236C19">
              <w:rPr>
                <w:b/>
                <w:sz w:val="26"/>
                <w:szCs w:val="26"/>
                <w:lang w:val="en-GB"/>
              </w:rPr>
              <w:t xml:space="preserve"> </w:t>
            </w:r>
            <w:proofErr w:type="spellStart"/>
            <w:r w:rsidRPr="00236C19">
              <w:rPr>
                <w:b/>
                <w:sz w:val="26"/>
                <w:szCs w:val="26"/>
                <w:lang w:val="en-GB"/>
              </w:rPr>
              <w:t>juridice</w:t>
            </w:r>
            <w:proofErr w:type="spellEnd"/>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Pr="00261FF4" w:rsidRDefault="00DB516A" w:rsidP="00333C65">
            <w:pPr>
              <w:spacing w:line="276" w:lineRule="auto"/>
              <w:ind w:firstLine="738"/>
              <w:jc w:val="both"/>
              <w:rPr>
                <w:sz w:val="26"/>
                <w:szCs w:val="26"/>
                <w:lang w:val="en-GB"/>
              </w:rPr>
            </w:pPr>
            <w:r w:rsidRPr="00FA1CB3">
              <w:rPr>
                <w:rFonts w:eastAsia="Calibri"/>
                <w:bCs/>
                <w:iCs/>
                <w:sz w:val="24"/>
                <w:szCs w:val="24"/>
                <w:lang w:eastAsia="en-US"/>
              </w:rPr>
              <w:t xml:space="preserve">Proiectul </w:t>
            </w:r>
            <w:r w:rsidR="00333C65">
              <w:rPr>
                <w:rFonts w:eastAsia="Calibri"/>
                <w:bCs/>
                <w:iCs/>
                <w:sz w:val="24"/>
                <w:szCs w:val="24"/>
                <w:lang w:eastAsia="en-US"/>
              </w:rPr>
              <w:t>a fost</w:t>
            </w:r>
            <w:r w:rsidRPr="00FA1CB3">
              <w:rPr>
                <w:rFonts w:eastAsia="Calibri"/>
                <w:bCs/>
                <w:iCs/>
                <w:sz w:val="24"/>
                <w:szCs w:val="24"/>
                <w:lang w:eastAsia="en-US"/>
              </w:rPr>
              <w:t xml:space="preserve"> supus expertizei juridice</w:t>
            </w:r>
          </w:p>
        </w:tc>
      </w:tr>
      <w:tr w:rsidR="00DB516A" w:rsidTr="0022364D">
        <w:tc>
          <w:tcPr>
            <w:tcW w:w="710" w:type="dxa"/>
            <w:shd w:val="clear" w:color="auto" w:fill="D9D9D9" w:themeFill="background1" w:themeFillShade="D9"/>
          </w:tcPr>
          <w:p w:rsidR="00DB516A" w:rsidRPr="00236C19" w:rsidRDefault="00CA3617" w:rsidP="007B7A63">
            <w:pPr>
              <w:spacing w:line="276" w:lineRule="auto"/>
              <w:jc w:val="both"/>
              <w:rPr>
                <w:b/>
                <w:sz w:val="26"/>
                <w:szCs w:val="26"/>
                <w:lang w:val="en-GB"/>
              </w:rPr>
            </w:pPr>
            <w:r>
              <w:rPr>
                <w:b/>
                <w:sz w:val="26"/>
                <w:szCs w:val="26"/>
                <w:lang w:val="en-GB"/>
              </w:rPr>
              <w:t>11.</w:t>
            </w:r>
          </w:p>
        </w:tc>
        <w:tc>
          <w:tcPr>
            <w:tcW w:w="8635" w:type="dxa"/>
            <w:shd w:val="clear" w:color="auto" w:fill="D9D9D9" w:themeFill="background1" w:themeFillShade="D9"/>
          </w:tcPr>
          <w:p w:rsidR="00DB516A" w:rsidRPr="00261FF4" w:rsidRDefault="00DB516A" w:rsidP="00FA1CB3">
            <w:pPr>
              <w:spacing w:line="276" w:lineRule="auto"/>
              <w:jc w:val="both"/>
              <w:rPr>
                <w:b/>
                <w:sz w:val="26"/>
                <w:szCs w:val="26"/>
                <w:lang w:val="en-GB"/>
              </w:rPr>
            </w:pPr>
            <w:proofErr w:type="spellStart"/>
            <w:r w:rsidRPr="00236C19">
              <w:rPr>
                <w:b/>
                <w:sz w:val="26"/>
                <w:szCs w:val="26"/>
                <w:lang w:val="en-GB"/>
              </w:rPr>
              <w:t>Constatările</w:t>
            </w:r>
            <w:proofErr w:type="spellEnd"/>
            <w:r w:rsidRPr="00236C19">
              <w:rPr>
                <w:b/>
                <w:sz w:val="26"/>
                <w:szCs w:val="26"/>
                <w:lang w:val="en-GB"/>
              </w:rPr>
              <w:t xml:space="preserve"> </w:t>
            </w:r>
            <w:proofErr w:type="spellStart"/>
            <w:r w:rsidRPr="00236C19">
              <w:rPr>
                <w:b/>
                <w:sz w:val="26"/>
                <w:szCs w:val="26"/>
                <w:lang w:val="en-GB"/>
              </w:rPr>
              <w:t>altor</w:t>
            </w:r>
            <w:proofErr w:type="spellEnd"/>
            <w:r w:rsidRPr="00236C19">
              <w:rPr>
                <w:b/>
                <w:sz w:val="26"/>
                <w:szCs w:val="26"/>
                <w:lang w:val="en-GB"/>
              </w:rPr>
              <w:t xml:space="preserve"> expertize</w:t>
            </w:r>
          </w:p>
        </w:tc>
      </w:tr>
      <w:tr w:rsidR="00DB516A" w:rsidTr="0022364D">
        <w:tc>
          <w:tcPr>
            <w:tcW w:w="710" w:type="dxa"/>
            <w:shd w:val="clear" w:color="auto" w:fill="FFFFFF" w:themeFill="background1"/>
          </w:tcPr>
          <w:p w:rsidR="00DB516A" w:rsidRDefault="00DB516A" w:rsidP="007B7A63">
            <w:pPr>
              <w:spacing w:line="276" w:lineRule="auto"/>
              <w:jc w:val="both"/>
              <w:rPr>
                <w:sz w:val="26"/>
                <w:szCs w:val="26"/>
                <w:lang w:val="en-GB"/>
              </w:rPr>
            </w:pPr>
          </w:p>
        </w:tc>
        <w:tc>
          <w:tcPr>
            <w:tcW w:w="8635" w:type="dxa"/>
            <w:shd w:val="clear" w:color="auto" w:fill="FFFFFF" w:themeFill="background1"/>
          </w:tcPr>
          <w:p w:rsidR="00DB516A" w:rsidRDefault="00DB516A" w:rsidP="00FA1CB3">
            <w:pPr>
              <w:spacing w:line="276" w:lineRule="auto"/>
              <w:ind w:firstLine="738"/>
              <w:jc w:val="both"/>
              <w:rPr>
                <w:sz w:val="26"/>
                <w:szCs w:val="26"/>
                <w:lang w:val="en-GB"/>
              </w:rPr>
            </w:pPr>
            <w:r w:rsidRPr="00FA1CB3">
              <w:rPr>
                <w:rFonts w:eastAsia="Calibri"/>
                <w:bCs/>
                <w:iCs/>
                <w:sz w:val="24"/>
                <w:szCs w:val="24"/>
                <w:lang w:eastAsia="en-US"/>
              </w:rPr>
              <w:t>Nu este necesar</w:t>
            </w:r>
            <w:r>
              <w:rPr>
                <w:sz w:val="26"/>
                <w:szCs w:val="26"/>
                <w:lang w:val="en-GB"/>
              </w:rPr>
              <w:t xml:space="preserve"> </w:t>
            </w:r>
          </w:p>
        </w:tc>
      </w:tr>
    </w:tbl>
    <w:p w:rsidR="0047776C" w:rsidRDefault="0047776C" w:rsidP="007B7A63">
      <w:pPr>
        <w:spacing w:line="276" w:lineRule="auto"/>
        <w:ind w:firstLine="567"/>
        <w:jc w:val="both"/>
        <w:rPr>
          <w:sz w:val="26"/>
          <w:szCs w:val="26"/>
        </w:rPr>
      </w:pPr>
    </w:p>
    <w:p w:rsidR="0022364D" w:rsidRDefault="0022364D" w:rsidP="007B7A63">
      <w:pPr>
        <w:spacing w:line="276" w:lineRule="auto"/>
        <w:ind w:firstLine="567"/>
        <w:jc w:val="both"/>
        <w:rPr>
          <w:b/>
          <w:sz w:val="26"/>
          <w:szCs w:val="26"/>
        </w:rPr>
      </w:pPr>
    </w:p>
    <w:p w:rsidR="0022364D" w:rsidRDefault="0022364D" w:rsidP="007B7A63">
      <w:pPr>
        <w:spacing w:line="276" w:lineRule="auto"/>
        <w:ind w:firstLine="567"/>
        <w:jc w:val="both"/>
        <w:rPr>
          <w:b/>
          <w:sz w:val="26"/>
          <w:szCs w:val="26"/>
        </w:rPr>
      </w:pPr>
    </w:p>
    <w:p w:rsidR="00F94347" w:rsidRPr="009F6B9F" w:rsidRDefault="00333C65" w:rsidP="00F94347">
      <w:pPr>
        <w:spacing w:line="276" w:lineRule="auto"/>
        <w:ind w:firstLine="567"/>
        <w:jc w:val="both"/>
        <w:rPr>
          <w:b/>
          <w:sz w:val="26"/>
          <w:szCs w:val="26"/>
        </w:rPr>
      </w:pPr>
      <w:r>
        <w:rPr>
          <w:b/>
          <w:sz w:val="26"/>
          <w:szCs w:val="26"/>
        </w:rPr>
        <w:t>Secretar General de Stat                                               Iulia COSTIN</w:t>
      </w:r>
      <w:bookmarkStart w:id="0" w:name="_GoBack"/>
      <w:bookmarkEnd w:id="0"/>
    </w:p>
    <w:p w:rsidR="005E6EA8" w:rsidRDefault="00333C65">
      <w:pPr>
        <w:rPr>
          <w:lang w:val="en-GB"/>
        </w:rPr>
      </w:pPr>
    </w:p>
    <w:p w:rsidR="00A55534" w:rsidRDefault="00A55534">
      <w:pPr>
        <w:rPr>
          <w:lang w:val="en-GB"/>
        </w:rPr>
      </w:pPr>
    </w:p>
    <w:p w:rsidR="00A55534" w:rsidRDefault="00A55534">
      <w:pPr>
        <w:rPr>
          <w:lang w:val="en-GB"/>
        </w:rPr>
      </w:pPr>
    </w:p>
    <w:p w:rsidR="00A55534" w:rsidRDefault="00A55534">
      <w:pPr>
        <w:rPr>
          <w:lang w:val="en-GB"/>
        </w:rPr>
      </w:pPr>
    </w:p>
    <w:p w:rsidR="00A55534" w:rsidRDefault="00A55534">
      <w:pPr>
        <w:rPr>
          <w:lang w:val="en-GB"/>
        </w:rPr>
      </w:pPr>
    </w:p>
    <w:p w:rsidR="00A55534" w:rsidRPr="00A55534" w:rsidRDefault="00A55534">
      <w:pPr>
        <w:rPr>
          <w:lang w:val="en-GB"/>
        </w:rPr>
      </w:pPr>
    </w:p>
    <w:sectPr w:rsidR="00A55534" w:rsidRPr="00A5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90"/>
    <w:multiLevelType w:val="hybridMultilevel"/>
    <w:tmpl w:val="688A135E"/>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752C7D"/>
    <w:multiLevelType w:val="hybridMultilevel"/>
    <w:tmpl w:val="D012BF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A6320"/>
    <w:multiLevelType w:val="hybridMultilevel"/>
    <w:tmpl w:val="8E828A4E"/>
    <w:lvl w:ilvl="0" w:tplc="0809000D">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3F130F96"/>
    <w:multiLevelType w:val="hybridMultilevel"/>
    <w:tmpl w:val="32AC604A"/>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5" w15:restartNumberingAfterBreak="0">
    <w:nsid w:val="69854E4B"/>
    <w:multiLevelType w:val="hybridMultilevel"/>
    <w:tmpl w:val="D78E21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9E"/>
    <w:rsid w:val="00002E26"/>
    <w:rsid w:val="000578AD"/>
    <w:rsid w:val="0006332E"/>
    <w:rsid w:val="000A5548"/>
    <w:rsid w:val="000B2E82"/>
    <w:rsid w:val="000E2101"/>
    <w:rsid w:val="00123285"/>
    <w:rsid w:val="001A0790"/>
    <w:rsid w:val="0022364D"/>
    <w:rsid w:val="00236C19"/>
    <w:rsid w:val="00261FF4"/>
    <w:rsid w:val="0031476D"/>
    <w:rsid w:val="00333C65"/>
    <w:rsid w:val="003443F3"/>
    <w:rsid w:val="003638BF"/>
    <w:rsid w:val="00370F3E"/>
    <w:rsid w:val="00380953"/>
    <w:rsid w:val="00387A30"/>
    <w:rsid w:val="00401A88"/>
    <w:rsid w:val="004704CC"/>
    <w:rsid w:val="0047776C"/>
    <w:rsid w:val="004C6C68"/>
    <w:rsid w:val="004E3D1A"/>
    <w:rsid w:val="00581FE9"/>
    <w:rsid w:val="005A2BDE"/>
    <w:rsid w:val="00620203"/>
    <w:rsid w:val="0066537A"/>
    <w:rsid w:val="006B6C9A"/>
    <w:rsid w:val="006F396B"/>
    <w:rsid w:val="007962AF"/>
    <w:rsid w:val="007B7A63"/>
    <w:rsid w:val="0085057A"/>
    <w:rsid w:val="0088700F"/>
    <w:rsid w:val="00895FFF"/>
    <w:rsid w:val="008E41A4"/>
    <w:rsid w:val="008F0D80"/>
    <w:rsid w:val="00902ADA"/>
    <w:rsid w:val="009A0A18"/>
    <w:rsid w:val="009F699E"/>
    <w:rsid w:val="00A55534"/>
    <w:rsid w:val="00A633E8"/>
    <w:rsid w:val="00A649E4"/>
    <w:rsid w:val="00AA56AB"/>
    <w:rsid w:val="00B83FA5"/>
    <w:rsid w:val="00B86A5E"/>
    <w:rsid w:val="00BA759E"/>
    <w:rsid w:val="00BD4E38"/>
    <w:rsid w:val="00C15A41"/>
    <w:rsid w:val="00C67F88"/>
    <w:rsid w:val="00C8583C"/>
    <w:rsid w:val="00CA3617"/>
    <w:rsid w:val="00CF6AB4"/>
    <w:rsid w:val="00D004D1"/>
    <w:rsid w:val="00D634D7"/>
    <w:rsid w:val="00D930A4"/>
    <w:rsid w:val="00DB1629"/>
    <w:rsid w:val="00DB516A"/>
    <w:rsid w:val="00E84CA3"/>
    <w:rsid w:val="00EA1EAE"/>
    <w:rsid w:val="00F07552"/>
    <w:rsid w:val="00F94347"/>
    <w:rsid w:val="00FA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3B08C-D9A5-40AF-9F55-185774A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63"/>
    <w:pPr>
      <w:spacing w:after="0" w:line="240" w:lineRule="auto"/>
    </w:pPr>
    <w:rPr>
      <w:rFonts w:ascii="Times New Roman" w:eastAsia="Times New Roman" w:hAnsi="Times New Roman" w:cs="Times New Roman"/>
      <w:sz w:val="20"/>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7A63"/>
    <w:pPr>
      <w:ind w:left="720"/>
      <w:contextualSpacing/>
    </w:pPr>
  </w:style>
  <w:style w:type="paragraph" w:styleId="NormalWeb">
    <w:name w:val="Normal (Web)"/>
    <w:aliases w:val="Знак, Знак,webb,webb Знак Знак"/>
    <w:basedOn w:val="Normal"/>
    <w:link w:val="NormalWebChar"/>
    <w:uiPriority w:val="99"/>
    <w:unhideWhenUsed/>
    <w:qFormat/>
    <w:rsid w:val="00B86A5E"/>
    <w:pPr>
      <w:ind w:firstLine="567"/>
      <w:jc w:val="both"/>
    </w:pPr>
    <w:rPr>
      <w:sz w:val="24"/>
      <w:szCs w:val="24"/>
      <w:lang w:val="en-GB" w:eastAsia="en-GB"/>
    </w:rPr>
  </w:style>
  <w:style w:type="paragraph" w:customStyle="1" w:styleId="cp">
    <w:name w:val="cp"/>
    <w:basedOn w:val="Normal"/>
    <w:rsid w:val="00B86A5E"/>
    <w:pPr>
      <w:jc w:val="center"/>
    </w:pPr>
    <w:rPr>
      <w:b/>
      <w:bCs/>
      <w:sz w:val="24"/>
      <w:szCs w:val="24"/>
      <w:lang w:val="en-GB" w:eastAsia="en-GB"/>
    </w:rPr>
  </w:style>
  <w:style w:type="character" w:customStyle="1" w:styleId="NormalWebChar">
    <w:name w:val="Normal (Web) Char"/>
    <w:aliases w:val="Знак Char, Знак Char,webb Char,webb Знак Знак Char"/>
    <w:basedOn w:val="DefaultParagraphFont"/>
    <w:link w:val="NormalWeb"/>
    <w:uiPriority w:val="99"/>
    <w:rsid w:val="00B86A5E"/>
    <w:rPr>
      <w:rFonts w:ascii="Times New Roman" w:eastAsia="Times New Roman" w:hAnsi="Times New Roman" w:cs="Times New Roman"/>
      <w:sz w:val="24"/>
      <w:szCs w:val="24"/>
      <w:lang w:eastAsia="en-GB"/>
    </w:rPr>
  </w:style>
  <w:style w:type="paragraph" w:customStyle="1" w:styleId="nt">
    <w:name w:val="nt"/>
    <w:basedOn w:val="Normal"/>
    <w:rsid w:val="000E2101"/>
    <w:pPr>
      <w:ind w:left="567" w:right="567" w:hanging="567"/>
      <w:jc w:val="both"/>
    </w:pPr>
    <w:rPr>
      <w:i/>
      <w:iCs/>
      <w:color w:val="663300"/>
      <w:lang w:val="en-GB" w:eastAsia="en-GB"/>
    </w:rPr>
  </w:style>
  <w:style w:type="paragraph" w:styleId="BalloonText">
    <w:name w:val="Balloon Text"/>
    <w:basedOn w:val="Normal"/>
    <w:link w:val="BalloonTextChar"/>
    <w:uiPriority w:val="99"/>
    <w:semiHidden/>
    <w:unhideWhenUsed/>
    <w:rsid w:val="00CF6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B4"/>
    <w:rPr>
      <w:rFonts w:ascii="Segoe UI" w:eastAsia="Times New Roman" w:hAnsi="Segoe UI" w:cs="Segoe UI"/>
      <w:sz w:val="18"/>
      <w:szCs w:val="18"/>
      <w:lang w:val="ro-RO" w:eastAsia="ru-RU"/>
    </w:rPr>
  </w:style>
  <w:style w:type="table" w:styleId="TableGrid">
    <w:name w:val="Table Grid"/>
    <w:basedOn w:val="TableNormal"/>
    <w:uiPriority w:val="39"/>
    <w:rsid w:val="004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A55534"/>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A55534"/>
    <w:pPr>
      <w:widowControl w:val="0"/>
      <w:shd w:val="clear" w:color="auto" w:fill="FFFFFF"/>
      <w:spacing w:before="1020" w:line="364" w:lineRule="exact"/>
      <w:jc w:val="both"/>
    </w:pPr>
    <w:rPr>
      <w:sz w:val="26"/>
      <w:szCs w:val="26"/>
      <w:lang w:val="en-GB" w:eastAsia="en-US"/>
    </w:rPr>
  </w:style>
  <w:style w:type="paragraph" w:styleId="NoSpacing">
    <w:name w:val="No Spacing"/>
    <w:uiPriority w:val="1"/>
    <w:qFormat/>
    <w:rsid w:val="008E41A4"/>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2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2018-10-19T07:54:00Z</cp:lastPrinted>
  <dcterms:created xsi:type="dcterms:W3CDTF">2018-12-17T12:38:00Z</dcterms:created>
  <dcterms:modified xsi:type="dcterms:W3CDTF">2018-12-17T12:38:00Z</dcterms:modified>
</cp:coreProperties>
</file>