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noProof/>
          <w:lang w:val="en-US"/>
        </w:rPr>
      </w:pPr>
    </w:p>
    <w:p w:rsidR="00000000" w:rsidRDefault="00D514C7">
      <w:pPr>
        <w:pStyle w:val="cn"/>
        <w:jc w:val="left"/>
        <w:rPr>
          <w:b/>
          <w:noProof/>
          <w:sz w:val="28"/>
          <w:szCs w:val="28"/>
          <w:lang w:val="ro-RO"/>
        </w:rPr>
      </w:pPr>
      <w:r>
        <w:rPr>
          <w:noProof/>
          <w:lang w:val="en-US"/>
        </w:rPr>
        <w:t xml:space="preserve">                           </w:t>
      </w:r>
      <w:r>
        <w:rPr>
          <w:b/>
          <w:noProof/>
          <w:sz w:val="28"/>
          <w:szCs w:val="28"/>
          <w:lang w:val="en-US"/>
        </w:rPr>
        <w:t>Cu privire la</w:t>
      </w:r>
      <w:r>
        <w:rPr>
          <w:b/>
          <w:noProof/>
          <w:sz w:val="28"/>
          <w:szCs w:val="28"/>
          <w:lang w:val="ro-RO"/>
        </w:rPr>
        <w:t xml:space="preserve"> modificarea Hotărîrii Guvernului nr.808/2011</w:t>
      </w:r>
    </w:p>
    <w:p w:rsidR="00000000" w:rsidRDefault="00D514C7">
      <w:pPr>
        <w:pStyle w:val="cn"/>
        <w:jc w:val="left"/>
        <w:rPr>
          <w:b/>
          <w:bCs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ro-RO"/>
        </w:rPr>
        <w:t xml:space="preserve">                                               </w:t>
      </w:r>
      <w:r>
        <w:rPr>
          <w:b/>
          <w:noProof/>
          <w:sz w:val="28"/>
          <w:szCs w:val="28"/>
          <w:lang w:val="en-US"/>
        </w:rPr>
        <w:t xml:space="preserve">                                                                                    </w:t>
      </w:r>
    </w:p>
    <w:p w:rsidR="00000000" w:rsidRDefault="00D514C7">
      <w:pPr>
        <w:pStyle w:val="NormalWeb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</w:t>
      </w:r>
      <w:hyperlink r:id="rId5" w:history="1">
        <w:proofErr w:type="spellStart"/>
        <w:r>
          <w:rPr>
            <w:rStyle w:val="Hyperlink"/>
            <w:sz w:val="28"/>
            <w:szCs w:val="28"/>
            <w:lang w:val="en-US"/>
          </w:rPr>
          <w:t>Legii</w:t>
        </w:r>
        <w:proofErr w:type="spellEnd"/>
        <w:r>
          <w:rPr>
            <w:rStyle w:val="Hyperlink"/>
            <w:sz w:val="28"/>
            <w:szCs w:val="28"/>
            <w:lang w:val="en-US"/>
          </w:rPr>
          <w:t xml:space="preserve"> nr.121-XVI din 4 </w:t>
        </w:r>
        <w:proofErr w:type="spellStart"/>
        <w:r>
          <w:rPr>
            <w:rStyle w:val="Hyperlink"/>
            <w:sz w:val="28"/>
            <w:szCs w:val="28"/>
            <w:lang w:val="en-US"/>
          </w:rPr>
          <w:t>mai</w:t>
        </w:r>
        <w:proofErr w:type="spellEnd"/>
        <w:r>
          <w:rPr>
            <w:rStyle w:val="Hyperlink"/>
            <w:sz w:val="28"/>
            <w:szCs w:val="28"/>
            <w:lang w:val="en-US"/>
          </w:rPr>
          <w:t xml:space="preserve"> 2007</w:t>
        </w:r>
      </w:hyperlink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deetatizarea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proprietăţii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Monitorul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Oficial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Moldova, 2007, nr.90-93, art.401), cu </w:t>
      </w:r>
      <w:proofErr w:type="spell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Guvernul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000000" w:rsidRDefault="00D514C7">
      <w:pPr>
        <w:pStyle w:val="NormalWeb"/>
        <w:rPr>
          <w:sz w:val="28"/>
          <w:szCs w:val="28"/>
          <w:lang w:val="en-US"/>
        </w:rPr>
      </w:pPr>
    </w:p>
    <w:p w:rsidR="00000000" w:rsidRDefault="00D514C7">
      <w:pPr>
        <w:pStyle w:val="cb"/>
        <w:jc w:val="left"/>
        <w:rPr>
          <w:sz w:val="28"/>
          <w:szCs w:val="28"/>
          <w:lang w:val="en-US"/>
        </w:rPr>
      </w:pPr>
      <w:r>
        <w:rPr>
          <w:b w:val="0"/>
          <w:bCs w:val="0"/>
          <w:sz w:val="28"/>
          <w:szCs w:val="28"/>
          <w:lang w:val="en-US"/>
        </w:rPr>
        <w:t xml:space="preserve">     </w:t>
      </w:r>
      <w:r>
        <w:rPr>
          <w:b w:val="0"/>
          <w:bCs w:val="0"/>
          <w:sz w:val="28"/>
          <w:szCs w:val="28"/>
          <w:lang w:val="en-US"/>
        </w:rPr>
        <w:t xml:space="preserve">                                          </w:t>
      </w:r>
      <w:r>
        <w:rPr>
          <w:sz w:val="28"/>
          <w:szCs w:val="28"/>
          <w:lang w:val="en-US"/>
        </w:rPr>
        <w:t xml:space="preserve">HOTĂRĂŞTE: </w:t>
      </w:r>
    </w:p>
    <w:p w:rsidR="00000000" w:rsidRDefault="00D514C7">
      <w:pPr>
        <w:pStyle w:val="cb"/>
        <w:rPr>
          <w:sz w:val="28"/>
          <w:szCs w:val="28"/>
          <w:lang w:val="en-US"/>
        </w:rPr>
      </w:pPr>
    </w:p>
    <w:p w:rsidR="00000000" w:rsidRDefault="00D514C7">
      <w:pPr>
        <w:pStyle w:val="NormalWeb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1. </w:t>
      </w:r>
      <w:proofErr w:type="spellStart"/>
      <w:r>
        <w:rPr>
          <w:bCs/>
          <w:sz w:val="28"/>
          <w:szCs w:val="28"/>
          <w:lang w:val="en-US"/>
        </w:rPr>
        <w:t>Hotărîrea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Guvernului</w:t>
      </w:r>
      <w:proofErr w:type="spellEnd"/>
      <w:r>
        <w:rPr>
          <w:bCs/>
          <w:sz w:val="28"/>
          <w:szCs w:val="28"/>
          <w:lang w:val="en-US"/>
        </w:rPr>
        <w:t xml:space="preserve"> nr.808/2011 </w:t>
      </w:r>
      <w:proofErr w:type="spellStart"/>
      <w:r>
        <w:rPr>
          <w:bCs/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transmiterea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Monitorul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Oficial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Republicii</w:t>
      </w:r>
      <w:proofErr w:type="spellEnd"/>
      <w:r>
        <w:rPr>
          <w:sz w:val="28"/>
          <w:szCs w:val="28"/>
          <w:lang w:val="en-US"/>
        </w:rPr>
        <w:t xml:space="preserve"> Moldova, 2011, nr.192-196, art.887) se </w:t>
      </w:r>
      <w:proofErr w:type="spellStart"/>
      <w:r>
        <w:rPr>
          <w:sz w:val="28"/>
          <w:szCs w:val="28"/>
          <w:lang w:val="en-US"/>
        </w:rPr>
        <w:t>modifică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cum </w:t>
      </w:r>
      <w:proofErr w:type="spellStart"/>
      <w:r>
        <w:rPr>
          <w:sz w:val="28"/>
          <w:szCs w:val="28"/>
          <w:lang w:val="en-US"/>
        </w:rPr>
        <w:t>urmează</w:t>
      </w:r>
      <w:proofErr w:type="spellEnd"/>
      <w:r>
        <w:rPr>
          <w:sz w:val="28"/>
          <w:szCs w:val="28"/>
          <w:lang w:val="en-US"/>
        </w:rPr>
        <w:t>:</w:t>
      </w:r>
    </w:p>
    <w:p w:rsidR="00000000" w:rsidRDefault="00D514C7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titlul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textul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,,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umobil</w:t>
      </w:r>
      <w:proofErr w:type="spellEnd"/>
      <w:r>
        <w:rPr>
          <w:sz w:val="28"/>
          <w:szCs w:val="28"/>
          <w:lang w:val="en-US"/>
        </w:rPr>
        <w:t xml:space="preserve">” se </w:t>
      </w:r>
      <w:proofErr w:type="spellStart"/>
      <w:r>
        <w:rPr>
          <w:sz w:val="28"/>
          <w:szCs w:val="28"/>
          <w:lang w:val="en-US"/>
        </w:rPr>
        <w:t>substituie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textul</w:t>
      </w:r>
      <w:proofErr w:type="spellEnd"/>
      <w:r>
        <w:rPr>
          <w:sz w:val="28"/>
          <w:szCs w:val="28"/>
          <w:lang w:val="en-US"/>
        </w:rPr>
        <w:t xml:space="preserve"> ,,</w:t>
      </w:r>
      <w:proofErr w:type="spellStart"/>
      <w:r>
        <w:rPr>
          <w:sz w:val="28"/>
          <w:szCs w:val="28"/>
          <w:lang w:val="en-US"/>
        </w:rPr>
        <w:t>unor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imobile</w:t>
      </w:r>
      <w:proofErr w:type="spellEnd"/>
      <w:r>
        <w:rPr>
          <w:sz w:val="28"/>
          <w:szCs w:val="28"/>
          <w:lang w:val="en-US"/>
        </w:rPr>
        <w:t>”;</w:t>
      </w:r>
    </w:p>
    <w:p w:rsidR="00000000" w:rsidRDefault="00D514C7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lang w:val="ro-RO"/>
        </w:rPr>
        <w:t xml:space="preserve">) în pct.1 după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,,Clădirea,” se adaugă ,,terenul cu suprafaţa de 0,1608 ha, garajul cu trei boxe cu suprafaţa totală de 71,0 m.p., garajul cu două boxe cu suprafaţa totală de 68,0 m.p., gara</w:t>
      </w:r>
      <w:r>
        <w:rPr>
          <w:sz w:val="28"/>
          <w:szCs w:val="28"/>
          <w:lang w:val="ro-RO"/>
        </w:rPr>
        <w:t xml:space="preserve">jul cu suprafaţa totală de 33,2 m.p.,”.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,,situată” se substituie cu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,,situate”,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,,transmite” se substituie cu </w:t>
      </w:r>
      <w:proofErr w:type="spellStart"/>
      <w:r>
        <w:rPr>
          <w:sz w:val="28"/>
          <w:szCs w:val="28"/>
          <w:lang w:val="ro-RO"/>
        </w:rPr>
        <w:t>cuvîntul</w:t>
      </w:r>
      <w:proofErr w:type="spellEnd"/>
      <w:r>
        <w:rPr>
          <w:sz w:val="28"/>
          <w:szCs w:val="28"/>
          <w:lang w:val="ro-RO"/>
        </w:rPr>
        <w:t xml:space="preserve"> ,,transmit”;</w:t>
      </w:r>
    </w:p>
    <w:p w:rsidR="00000000" w:rsidRDefault="00D514C7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c) în pct.2 sintagma ,,Regulamentului cu privire la modul de transmitere a întreprinderilor, orga</w:t>
      </w:r>
      <w:r>
        <w:rPr>
          <w:sz w:val="28"/>
          <w:szCs w:val="28"/>
          <w:lang w:val="ro-RO"/>
        </w:rPr>
        <w:t xml:space="preserve">nizaţiilor, instituţiilor de stat, a subdiviziunilor lor, clădirilor, edificiilor, mijloacelor fixe şi altor active, aprobat prin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Guvernului nr.688 din 9 octombrie 1995 (Monitorul Oficial al Republicii Moldova, 1996, nr.10, art.45) se substituie </w:t>
      </w:r>
      <w:r>
        <w:rPr>
          <w:sz w:val="28"/>
          <w:szCs w:val="28"/>
          <w:lang w:val="ro-RO"/>
        </w:rPr>
        <w:t xml:space="preserve">cu sintagma ,,Regulamentului cu privire la modul de transmitere a bunurilor proprietate publică, aprobat prin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Guvernului nr.901/2015”. Sintagma ,,cu modificările şi completările ulterioare” se exclude;</w:t>
      </w:r>
    </w:p>
    <w:p w:rsidR="00000000" w:rsidRDefault="00D514C7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d) în pct.3 sintagma ,,Agenţia Relaţii Funci</w:t>
      </w:r>
      <w:r>
        <w:rPr>
          <w:sz w:val="28"/>
          <w:szCs w:val="28"/>
          <w:lang w:val="ro-RO"/>
        </w:rPr>
        <w:t>are şi Cadastru” se substituie cu sintagma ,, Instituţia Publică ,,Agenţia Servicii Publice”;</w:t>
      </w:r>
    </w:p>
    <w:p w:rsidR="00000000" w:rsidRDefault="00D514C7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e) pct.4 se exclude. </w:t>
      </w:r>
    </w:p>
    <w:p w:rsidR="00000000" w:rsidRDefault="00D514C7">
      <w:pPr>
        <w:pStyle w:val="NormalWeb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tbl>
      <w:tblPr>
        <w:tblW w:w="7500" w:type="dxa"/>
        <w:tblInd w:w="567" w:type="dxa"/>
        <w:tblLook w:val="04A0" w:firstRow="1" w:lastRow="0" w:firstColumn="1" w:lastColumn="0" w:noHBand="0" w:noVBand="1"/>
      </w:tblPr>
      <w:tblGrid>
        <w:gridCol w:w="3750"/>
        <w:gridCol w:w="3750"/>
      </w:tblGrid>
      <w:tr w:rsidR="00000000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o-RO"/>
              </w:rPr>
              <w:t>P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RIM-MINISTRU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o-RO"/>
              </w:rPr>
              <w:t>PAVEL FILIP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  <w:t> </w:t>
            </w:r>
          </w:p>
        </w:tc>
      </w:tr>
      <w:tr w:rsidR="00000000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Contrasemnează: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14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Ministrul finanţelor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o-RO"/>
              </w:rPr>
              <w:t xml:space="preserve">Octavian ARMAŞU </w:t>
            </w:r>
          </w:p>
        </w:tc>
      </w:tr>
      <w:tr w:rsidR="00000000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14C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00000" w:rsidRDefault="00D514C7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D514C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514C7" w:rsidRDefault="00D514C7">
      <w:pPr>
        <w:rPr>
          <w:rFonts w:eastAsia="Times New Roman"/>
          <w:sz w:val="28"/>
          <w:szCs w:val="28"/>
        </w:rPr>
      </w:pPr>
    </w:p>
    <w:sectPr w:rsidR="00D514C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850D6"/>
    <w:rsid w:val="002850D6"/>
    <w:rsid w:val="00D5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forma">
    <w:name w:val="forma"/>
    <w:basedOn w:val="Normal"/>
    <w:uiPriority w:val="99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t">
    <w:name w:val="tt"/>
    <w:basedOn w:val="Normal"/>
    <w:uiPriority w:val="99"/>
    <w:semiHidden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semiHidden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semiHidden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semiHidden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semiHidden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semiHidden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sm">
    <w:name w:val="sm"/>
    <w:basedOn w:val="Normal"/>
    <w:uiPriority w:val="99"/>
    <w:semiHidden/>
    <w:pPr>
      <w:ind w:firstLine="567"/>
    </w:pPr>
    <w:rPr>
      <w:b/>
      <w:bCs/>
      <w:sz w:val="20"/>
      <w:szCs w:val="20"/>
    </w:rPr>
  </w:style>
  <w:style w:type="paragraph" w:customStyle="1" w:styleId="cn">
    <w:name w:val="cn"/>
    <w:basedOn w:val="Normal"/>
    <w:uiPriority w:val="99"/>
    <w:semiHidden/>
    <w:pPr>
      <w:jc w:val="center"/>
    </w:pPr>
  </w:style>
  <w:style w:type="paragraph" w:customStyle="1" w:styleId="cb">
    <w:name w:val="cb"/>
    <w:basedOn w:val="Normal"/>
    <w:uiPriority w:val="99"/>
    <w:semiHidden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semiHidden/>
    <w:pPr>
      <w:jc w:val="right"/>
    </w:pPr>
  </w:style>
  <w:style w:type="paragraph" w:customStyle="1" w:styleId="js">
    <w:name w:val="js"/>
    <w:basedOn w:val="Normal"/>
    <w:uiPriority w:val="99"/>
    <w:semiHidden/>
    <w:pPr>
      <w:jc w:val="both"/>
    </w:pPr>
  </w:style>
  <w:style w:type="paragraph" w:customStyle="1" w:styleId="lf">
    <w:name w:val="lf"/>
    <w:basedOn w:val="Normal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forma">
    <w:name w:val="forma"/>
    <w:basedOn w:val="Normal"/>
    <w:uiPriority w:val="99"/>
    <w:semiHidden/>
    <w:pPr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t">
    <w:name w:val="tt"/>
    <w:basedOn w:val="Normal"/>
    <w:uiPriority w:val="99"/>
    <w:semiHidden/>
    <w:pPr>
      <w:jc w:val="center"/>
    </w:pPr>
    <w:rPr>
      <w:b/>
      <w:bCs/>
    </w:rPr>
  </w:style>
  <w:style w:type="paragraph" w:customStyle="1" w:styleId="pb">
    <w:name w:val="pb"/>
    <w:basedOn w:val="Normal"/>
    <w:uiPriority w:val="99"/>
    <w:semiHidden/>
    <w:pPr>
      <w:jc w:val="center"/>
    </w:pPr>
    <w:rPr>
      <w:i/>
      <w:iCs/>
      <w:color w:val="663300"/>
      <w:sz w:val="20"/>
      <w:szCs w:val="20"/>
    </w:rPr>
  </w:style>
  <w:style w:type="paragraph" w:customStyle="1" w:styleId="cu">
    <w:name w:val="cu"/>
    <w:basedOn w:val="Normal"/>
    <w:uiPriority w:val="99"/>
    <w:semiHidden/>
    <w:pPr>
      <w:spacing w:before="45"/>
      <w:ind w:left="1134" w:right="567" w:hanging="567"/>
      <w:jc w:val="both"/>
    </w:pPr>
    <w:rPr>
      <w:sz w:val="20"/>
      <w:szCs w:val="20"/>
    </w:rPr>
  </w:style>
  <w:style w:type="paragraph" w:customStyle="1" w:styleId="cut">
    <w:name w:val="cut"/>
    <w:basedOn w:val="Normal"/>
    <w:uiPriority w:val="99"/>
    <w:semiHidden/>
    <w:pPr>
      <w:ind w:left="567" w:right="567" w:firstLine="567"/>
      <w:jc w:val="center"/>
    </w:pPr>
    <w:rPr>
      <w:b/>
      <w:bCs/>
      <w:sz w:val="20"/>
      <w:szCs w:val="20"/>
    </w:rPr>
  </w:style>
  <w:style w:type="paragraph" w:customStyle="1" w:styleId="cp">
    <w:name w:val="cp"/>
    <w:basedOn w:val="Normal"/>
    <w:uiPriority w:val="99"/>
    <w:semiHidden/>
    <w:pPr>
      <w:jc w:val="center"/>
    </w:pPr>
    <w:rPr>
      <w:b/>
      <w:bCs/>
    </w:rPr>
  </w:style>
  <w:style w:type="paragraph" w:customStyle="1" w:styleId="nt">
    <w:name w:val="nt"/>
    <w:basedOn w:val="Normal"/>
    <w:uiPriority w:val="99"/>
    <w:semiHidden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Normal"/>
    <w:uiPriority w:val="99"/>
    <w:semiHidden/>
    <w:pPr>
      <w:ind w:firstLine="567"/>
      <w:jc w:val="both"/>
    </w:pPr>
    <w:rPr>
      <w:i/>
      <w:iCs/>
      <w:color w:val="663300"/>
      <w:sz w:val="20"/>
      <w:szCs w:val="20"/>
    </w:rPr>
  </w:style>
  <w:style w:type="paragraph" w:customStyle="1" w:styleId="sm">
    <w:name w:val="sm"/>
    <w:basedOn w:val="Normal"/>
    <w:uiPriority w:val="99"/>
    <w:semiHidden/>
    <w:pPr>
      <w:ind w:firstLine="567"/>
    </w:pPr>
    <w:rPr>
      <w:b/>
      <w:bCs/>
      <w:sz w:val="20"/>
      <w:szCs w:val="20"/>
    </w:rPr>
  </w:style>
  <w:style w:type="paragraph" w:customStyle="1" w:styleId="cn">
    <w:name w:val="cn"/>
    <w:basedOn w:val="Normal"/>
    <w:uiPriority w:val="99"/>
    <w:semiHidden/>
    <w:pPr>
      <w:jc w:val="center"/>
    </w:pPr>
  </w:style>
  <w:style w:type="paragraph" w:customStyle="1" w:styleId="cb">
    <w:name w:val="cb"/>
    <w:basedOn w:val="Normal"/>
    <w:uiPriority w:val="99"/>
    <w:semiHidden/>
    <w:pPr>
      <w:jc w:val="center"/>
    </w:pPr>
    <w:rPr>
      <w:b/>
      <w:bCs/>
    </w:rPr>
  </w:style>
  <w:style w:type="paragraph" w:customStyle="1" w:styleId="rg">
    <w:name w:val="rg"/>
    <w:basedOn w:val="Normal"/>
    <w:uiPriority w:val="99"/>
    <w:semiHidden/>
    <w:pPr>
      <w:jc w:val="right"/>
    </w:pPr>
  </w:style>
  <w:style w:type="paragraph" w:customStyle="1" w:styleId="js">
    <w:name w:val="js"/>
    <w:basedOn w:val="Normal"/>
    <w:uiPriority w:val="99"/>
    <w:semiHidden/>
    <w:pPr>
      <w:jc w:val="both"/>
    </w:pPr>
  </w:style>
  <w:style w:type="paragraph" w:customStyle="1" w:styleId="lf">
    <w:name w:val="lf"/>
    <w:basedOn w:val="Normal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XT=LPLP20070504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2018-11-22T08:42:00Z</cp:lastPrinted>
  <dcterms:created xsi:type="dcterms:W3CDTF">2018-11-20T13:49:00Z</dcterms:created>
  <dcterms:modified xsi:type="dcterms:W3CDTF">2018-11-22T08:50:00Z</dcterms:modified>
</cp:coreProperties>
</file>