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86" w:rsidRPr="00322908" w:rsidRDefault="00197411" w:rsidP="00C30A34">
      <w:pPr>
        <w:spacing w:before="120"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o-RO"/>
        </w:rPr>
      </w:pPr>
      <w:r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 xml:space="preserve">                      </w:t>
      </w:r>
      <w:r w:rsidR="00921586"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 xml:space="preserve">                             </w:t>
      </w:r>
      <w:r w:rsidR="00E71BC7"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ab/>
      </w:r>
      <w:r w:rsidR="00E71BC7"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ab/>
      </w:r>
      <w:r w:rsidR="00E71BC7"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ab/>
      </w:r>
      <w:r w:rsidR="00E71BC7"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ab/>
      </w:r>
      <w:r w:rsidR="00E71BC7"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ab/>
      </w:r>
      <w:r w:rsidR="00E71BC7"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ab/>
      </w:r>
      <w:r w:rsidR="00921586"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 xml:space="preserve"> </w:t>
      </w:r>
      <w:r w:rsidR="00921586" w:rsidRPr="00322908">
        <w:rPr>
          <w:rFonts w:ascii="Times New Roman" w:eastAsia="Times New Roman" w:hAnsi="Times New Roman" w:cs="Times New Roman"/>
          <w:bCs/>
          <w:i/>
          <w:sz w:val="26"/>
          <w:szCs w:val="26"/>
          <w:lang w:eastAsia="ro-RO"/>
        </w:rPr>
        <w:t>Proiect</w:t>
      </w:r>
    </w:p>
    <w:p w:rsidR="00527BF6" w:rsidRPr="00322908" w:rsidRDefault="00527BF6" w:rsidP="00C30A34">
      <w:pPr>
        <w:spacing w:before="12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r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LEGE</w:t>
      </w:r>
    </w:p>
    <w:p w:rsidR="00527BF6" w:rsidRPr="00322908" w:rsidRDefault="00527BF6" w:rsidP="00C30A34">
      <w:pPr>
        <w:spacing w:before="12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bookmarkStart w:id="0" w:name="OLE_LINK1"/>
      <w:r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 xml:space="preserve">pentru modificarea și completarea Legii privind piața produselor petroliere </w:t>
      </w:r>
    </w:p>
    <w:p w:rsidR="00527BF6" w:rsidRPr="00322908" w:rsidRDefault="00527BF6" w:rsidP="00C30A34">
      <w:pPr>
        <w:spacing w:before="12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r w:rsidRPr="00322908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nr.461 – XV din 30.07.2001</w:t>
      </w:r>
    </w:p>
    <w:bookmarkEnd w:id="0"/>
    <w:p w:rsidR="00527BF6" w:rsidRPr="00322908" w:rsidRDefault="00527BF6" w:rsidP="00C30A3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</w:p>
    <w:p w:rsidR="00527BF6" w:rsidRPr="00322908" w:rsidRDefault="00527BF6" w:rsidP="00C30A3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r w:rsidRPr="00322908">
        <w:rPr>
          <w:rFonts w:ascii="Times New Roman" w:eastAsia="Times New Roman" w:hAnsi="Times New Roman" w:cs="Times New Roman"/>
          <w:sz w:val="26"/>
          <w:szCs w:val="26"/>
          <w:lang w:eastAsia="ro-RO"/>
        </w:rPr>
        <w:t>Parlamentul adoptă prezenta lege organică.</w:t>
      </w:r>
    </w:p>
    <w:p w:rsidR="00527BF6" w:rsidRPr="00322908" w:rsidRDefault="00527BF6" w:rsidP="00C30A34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908">
        <w:rPr>
          <w:rFonts w:ascii="Times New Roman" w:hAnsi="Times New Roman" w:cs="Times New Roman"/>
          <w:b/>
          <w:sz w:val="26"/>
          <w:szCs w:val="26"/>
        </w:rPr>
        <w:t>Art. I.</w:t>
      </w:r>
      <w:r w:rsidRPr="00322908">
        <w:rPr>
          <w:rFonts w:ascii="Times New Roman" w:hAnsi="Times New Roman" w:cs="Times New Roman"/>
          <w:sz w:val="26"/>
          <w:szCs w:val="26"/>
        </w:rPr>
        <w:t xml:space="preserve"> – Legea privind piața produselor petroliere nr.461 – XV din 30.07.2001 (republicată în Monitorul Oficial al R. Moldova</w:t>
      </w:r>
      <w:r w:rsidR="00106123" w:rsidRPr="00322908">
        <w:rPr>
          <w:rFonts w:ascii="Times New Roman" w:hAnsi="Times New Roman" w:cs="Times New Roman"/>
          <w:sz w:val="26"/>
          <w:szCs w:val="26"/>
        </w:rPr>
        <w:t xml:space="preserve"> nr.76/342 din 22.04.2003</w:t>
      </w:r>
      <w:r w:rsidRPr="00322908">
        <w:rPr>
          <w:rFonts w:ascii="Times New Roman" w:hAnsi="Times New Roman" w:cs="Times New Roman"/>
          <w:sz w:val="26"/>
          <w:szCs w:val="26"/>
        </w:rPr>
        <w:t>), cu modificările ulterioare, se modifică și se completează după cum urmează:</w:t>
      </w:r>
    </w:p>
    <w:p w:rsidR="00C90AA8" w:rsidRPr="00322908" w:rsidRDefault="00C90AA8" w:rsidP="00C30A34">
      <w:pPr>
        <w:pStyle w:val="ListParagraph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322908">
        <w:rPr>
          <w:rFonts w:ascii="Times New Roman" w:eastAsia="Times New Roman" w:hAnsi="Times New Roman" w:cs="Times New Roman"/>
          <w:sz w:val="26"/>
          <w:szCs w:val="26"/>
          <w:lang w:eastAsia="ro-RO"/>
        </w:rPr>
        <w:t>Articolul 2 se completează cu următoarele noțiuni:</w:t>
      </w:r>
    </w:p>
    <w:p w:rsidR="00C93EEA" w:rsidRPr="00322908" w:rsidRDefault="00C30A34" w:rsidP="00C30A34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”</w:t>
      </w:r>
      <w:r w:rsidR="007536FD">
        <w:rPr>
          <w:rFonts w:ascii="Times New Roman" w:hAnsi="Times New Roman"/>
          <w:i/>
          <w:sz w:val="26"/>
          <w:szCs w:val="26"/>
        </w:rPr>
        <w:t>cotație</w:t>
      </w:r>
      <w:r w:rsidR="00E42FDA" w:rsidRPr="00E42FDA">
        <w:rPr>
          <w:rFonts w:ascii="Times New Roman" w:hAnsi="Times New Roman"/>
          <w:i/>
          <w:sz w:val="26"/>
          <w:szCs w:val="26"/>
        </w:rPr>
        <w:t xml:space="preserve"> </w:t>
      </w:r>
      <w:r w:rsidR="00E42FDA" w:rsidRPr="00E42FDA">
        <w:rPr>
          <w:rFonts w:ascii="Times New Roman" w:eastAsia="Calibri" w:hAnsi="Times New Roman" w:cs="Times New Roman"/>
          <w:i/>
          <w:sz w:val="26"/>
          <w:szCs w:val="26"/>
        </w:rPr>
        <w:t>Platt's FOB MED (Italy)</w:t>
      </w:r>
      <w:r w:rsidR="00E42F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2970" w:rsidRPr="00322908">
        <w:rPr>
          <w:rFonts w:ascii="Times New Roman" w:hAnsi="Times New Roman" w:cs="Times New Roman"/>
          <w:sz w:val="26"/>
          <w:szCs w:val="26"/>
        </w:rPr>
        <w:t>–</w:t>
      </w:r>
      <w:r w:rsidR="00C9730D">
        <w:rPr>
          <w:rFonts w:ascii="Times New Roman" w:hAnsi="Times New Roman" w:cs="Times New Roman"/>
          <w:sz w:val="26"/>
          <w:szCs w:val="26"/>
        </w:rPr>
        <w:t xml:space="preserve"> cotația pentru produsul petrolier </w:t>
      </w:r>
      <w:r w:rsidR="00311211">
        <w:rPr>
          <w:rFonts w:ascii="Times New Roman" w:hAnsi="Times New Roman" w:cs="Times New Roman"/>
          <w:sz w:val="26"/>
          <w:szCs w:val="26"/>
        </w:rPr>
        <w:t>principal</w:t>
      </w:r>
      <w:r w:rsidR="007536FD">
        <w:rPr>
          <w:rFonts w:ascii="Times New Roman" w:hAnsi="Times New Roman" w:cs="Times New Roman"/>
          <w:sz w:val="26"/>
          <w:szCs w:val="26"/>
        </w:rPr>
        <w:t>,</w:t>
      </w:r>
      <w:r w:rsidR="00C9730D">
        <w:rPr>
          <w:rFonts w:ascii="Times New Roman" w:hAnsi="Times New Roman" w:cs="Times New Roman"/>
          <w:sz w:val="26"/>
          <w:szCs w:val="26"/>
        </w:rPr>
        <w:t xml:space="preserve"> în conformitate cu </w:t>
      </w:r>
      <w:r w:rsidR="00C9730D" w:rsidRPr="00C9730D">
        <w:rPr>
          <w:rFonts w:ascii="Times New Roman" w:hAnsi="Times New Roman" w:cs="Times New Roman"/>
          <w:i/>
          <w:sz w:val="26"/>
          <w:szCs w:val="26"/>
        </w:rPr>
        <w:t>”European Marketscan”</w:t>
      </w:r>
      <w:r w:rsidR="006D2970" w:rsidRPr="00322908">
        <w:rPr>
          <w:rFonts w:ascii="Times New Roman" w:hAnsi="Times New Roman" w:cs="Times New Roman"/>
          <w:sz w:val="26"/>
          <w:szCs w:val="26"/>
        </w:rPr>
        <w:t xml:space="preserve">, recalculat în moneda naţională (lei), conform cursului de schimb valutar oficial stabilit de Banca Naţională a Moldovei la data efectuării operaţiunii de vămuire; </w:t>
      </w:r>
    </w:p>
    <w:p w:rsidR="006D2970" w:rsidRPr="00322908" w:rsidRDefault="00E42FDA" w:rsidP="00C30A34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FDA">
        <w:rPr>
          <w:rFonts w:ascii="Times New Roman" w:hAnsi="Times New Roman"/>
          <w:i/>
          <w:sz w:val="26"/>
          <w:szCs w:val="26"/>
        </w:rPr>
        <w:t xml:space="preserve">marja </w:t>
      </w:r>
      <w:r>
        <w:rPr>
          <w:rFonts w:ascii="Times New Roman" w:hAnsi="Times New Roman"/>
          <w:i/>
          <w:sz w:val="26"/>
          <w:szCs w:val="26"/>
        </w:rPr>
        <w:t>comercială</w:t>
      </w:r>
      <w:r w:rsidR="006D2970" w:rsidRPr="00EA1A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1A29" w:rsidRPr="00EA1A29">
        <w:rPr>
          <w:rFonts w:ascii="Times New Roman" w:hAnsi="Times New Roman" w:cs="Times New Roman"/>
          <w:i/>
          <w:sz w:val="26"/>
          <w:szCs w:val="26"/>
        </w:rPr>
        <w:t>specifică</w:t>
      </w:r>
      <w:r w:rsidR="00EA1A29">
        <w:rPr>
          <w:rFonts w:ascii="Times New Roman" w:hAnsi="Times New Roman" w:cs="Times New Roman"/>
          <w:sz w:val="26"/>
          <w:szCs w:val="26"/>
        </w:rPr>
        <w:t xml:space="preserve"> </w:t>
      </w:r>
      <w:r w:rsidR="006D2970" w:rsidRPr="00322908">
        <w:rPr>
          <w:rFonts w:ascii="Times New Roman" w:hAnsi="Times New Roman" w:cs="Times New Roman"/>
          <w:sz w:val="26"/>
          <w:szCs w:val="26"/>
        </w:rPr>
        <w:t xml:space="preserve">– component al preţului cu amănuntul, care reprezintă diferenţa dintre acesta şi </w:t>
      </w:r>
      <w:r>
        <w:rPr>
          <w:rFonts w:ascii="Times New Roman" w:hAnsi="Times New Roman" w:cs="Times New Roman"/>
          <w:sz w:val="26"/>
          <w:szCs w:val="26"/>
        </w:rPr>
        <w:t xml:space="preserve">cotația </w:t>
      </w:r>
      <w:r w:rsidR="000D0DE0" w:rsidRPr="003751D9">
        <w:rPr>
          <w:rFonts w:ascii="Times New Roman" w:hAnsi="Times New Roman" w:cs="Times New Roman"/>
          <w:sz w:val="26"/>
          <w:szCs w:val="26"/>
        </w:rPr>
        <w:t>Platt's FOB MED (Italy)</w:t>
      </w:r>
      <w:r w:rsidR="000D0DE0">
        <w:rPr>
          <w:rFonts w:ascii="Times New Roman" w:hAnsi="Times New Roman" w:cs="Times New Roman"/>
          <w:sz w:val="26"/>
          <w:szCs w:val="26"/>
        </w:rPr>
        <w:t xml:space="preserve"> pentru </w:t>
      </w:r>
      <w:r w:rsidR="000D0DE0" w:rsidRPr="007F1F3A">
        <w:rPr>
          <w:rFonts w:ascii="Times New Roman" w:hAnsi="Times New Roman" w:cs="Times New Roman"/>
          <w:sz w:val="26"/>
          <w:szCs w:val="26"/>
        </w:rPr>
        <w:t xml:space="preserve">produsul </w:t>
      </w:r>
      <w:r w:rsidR="007536FD" w:rsidRPr="007F1F3A">
        <w:rPr>
          <w:rFonts w:ascii="Times New Roman" w:hAnsi="Times New Roman" w:cs="Times New Roman"/>
          <w:sz w:val="26"/>
          <w:szCs w:val="26"/>
        </w:rPr>
        <w:t xml:space="preserve">petrolier </w:t>
      </w:r>
      <w:r w:rsidR="00311211" w:rsidRPr="007F1F3A">
        <w:rPr>
          <w:rFonts w:ascii="Times New Roman" w:hAnsi="Times New Roman" w:cs="Times New Roman"/>
          <w:sz w:val="26"/>
          <w:szCs w:val="26"/>
        </w:rPr>
        <w:t>principal</w:t>
      </w:r>
      <w:r w:rsidR="00C93EEA" w:rsidRPr="007F1F3A">
        <w:rPr>
          <w:rFonts w:ascii="Times New Roman" w:hAnsi="Times New Roman" w:cs="Times New Roman"/>
          <w:sz w:val="26"/>
          <w:szCs w:val="26"/>
        </w:rPr>
        <w:t xml:space="preserve">, </w:t>
      </w:r>
      <w:r w:rsidR="00F909A7" w:rsidRPr="007F1F3A">
        <w:rPr>
          <w:rFonts w:ascii="Times New Roman" w:hAnsi="Times New Roman" w:cs="Times New Roman"/>
          <w:sz w:val="26"/>
          <w:szCs w:val="26"/>
        </w:rPr>
        <w:t xml:space="preserve">după excluderea taxei pe valoarea adăugată și accizului </w:t>
      </w:r>
      <w:r w:rsidR="00CF19A8" w:rsidRPr="007F1F3A">
        <w:rPr>
          <w:rFonts w:ascii="Times New Roman" w:hAnsi="Times New Roman" w:cs="Times New Roman"/>
          <w:sz w:val="26"/>
          <w:szCs w:val="26"/>
        </w:rPr>
        <w:t>aferent.</w:t>
      </w:r>
      <w:r w:rsidR="00C30A34" w:rsidRPr="007F1F3A">
        <w:rPr>
          <w:rFonts w:ascii="Times New Roman" w:hAnsi="Times New Roman" w:cs="Times New Roman"/>
          <w:sz w:val="26"/>
          <w:szCs w:val="26"/>
        </w:rPr>
        <w:t>”</w:t>
      </w:r>
    </w:p>
    <w:p w:rsidR="00681B79" w:rsidRDefault="00277BA0" w:rsidP="00C30A34">
      <w:pPr>
        <w:pStyle w:val="ListParagraph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</w:pPr>
      <w:r w:rsidRPr="00322908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La </w:t>
      </w:r>
      <w:r w:rsidR="00527BF6" w:rsidRPr="00322908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Articolul 4</w:t>
      </w:r>
      <w:r w:rsidRPr="00322908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:</w:t>
      </w:r>
    </w:p>
    <w:p w:rsidR="00311211" w:rsidRDefault="004347B6" w:rsidP="0031121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</w:pPr>
      <w:r w:rsidRPr="007F1F3A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la  alineatul (1) se exclude sintagma ”și la gazul lichefiat”</w:t>
      </w:r>
      <w:r w:rsidR="007F1F3A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.</w:t>
      </w:r>
    </w:p>
    <w:p w:rsidR="00527BF6" w:rsidRPr="00322908" w:rsidRDefault="00277BA0" w:rsidP="00C30A3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</w:pPr>
      <w:r w:rsidRPr="00322908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alineatul (3) </w:t>
      </w:r>
      <w:r w:rsidR="00527BF6" w:rsidRPr="00322908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va avea următorul cuprins</w:t>
      </w:r>
      <w:r w:rsidR="00530D5A" w:rsidRPr="00322908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:</w:t>
      </w:r>
      <w:bookmarkStart w:id="1" w:name="_GoBack"/>
      <w:bookmarkEnd w:id="1"/>
    </w:p>
    <w:p w:rsidR="003751D9" w:rsidRDefault="00527BF6" w:rsidP="00C30A34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1D9">
        <w:rPr>
          <w:rFonts w:ascii="Times New Roman" w:hAnsi="Times New Roman" w:cs="Times New Roman"/>
          <w:sz w:val="26"/>
          <w:szCs w:val="26"/>
        </w:rPr>
        <w:t>”</w:t>
      </w:r>
      <w:r w:rsidR="00277BA0" w:rsidRPr="003751D9">
        <w:rPr>
          <w:rFonts w:ascii="Times New Roman" w:hAnsi="Times New Roman" w:cs="Times New Roman"/>
          <w:sz w:val="26"/>
          <w:szCs w:val="26"/>
        </w:rPr>
        <w:t>(3</w:t>
      </w:r>
      <w:r w:rsidRPr="003751D9">
        <w:rPr>
          <w:rFonts w:ascii="Times New Roman" w:hAnsi="Times New Roman" w:cs="Times New Roman"/>
          <w:sz w:val="26"/>
          <w:szCs w:val="26"/>
        </w:rPr>
        <w:t xml:space="preserve">) </w:t>
      </w:r>
      <w:r w:rsidR="007B3C55">
        <w:rPr>
          <w:rFonts w:ascii="Times New Roman" w:hAnsi="Times New Roman" w:cs="Times New Roman"/>
          <w:sz w:val="26"/>
          <w:szCs w:val="26"/>
        </w:rPr>
        <w:t xml:space="preserve">Prețurile </w:t>
      </w:r>
      <w:r w:rsidR="003751D9">
        <w:rPr>
          <w:rFonts w:ascii="Times New Roman" w:hAnsi="Times New Roman" w:cs="Times New Roman"/>
          <w:sz w:val="26"/>
          <w:szCs w:val="26"/>
        </w:rPr>
        <w:t xml:space="preserve">de comercializare cu amănuntul a produselor petroliere principale se stabilesc reieșind din valoarea mediei mediilor cotațiilor </w:t>
      </w:r>
      <w:r w:rsidR="003751D9" w:rsidRPr="003751D9">
        <w:rPr>
          <w:rFonts w:ascii="Times New Roman" w:hAnsi="Times New Roman" w:cs="Times New Roman"/>
          <w:sz w:val="26"/>
          <w:szCs w:val="26"/>
        </w:rPr>
        <w:t>Platt's FOB MED (Italy) pentru</w:t>
      </w:r>
      <w:r w:rsidR="00C93EEA">
        <w:rPr>
          <w:rFonts w:ascii="Times New Roman" w:hAnsi="Times New Roman" w:cs="Times New Roman"/>
          <w:sz w:val="26"/>
          <w:szCs w:val="26"/>
        </w:rPr>
        <w:t xml:space="preserve"> 10</w:t>
      </w:r>
      <w:r w:rsidR="003751D9" w:rsidRPr="003751D9">
        <w:rPr>
          <w:rFonts w:ascii="Times New Roman" w:hAnsi="Times New Roman" w:cs="Times New Roman"/>
          <w:sz w:val="26"/>
          <w:szCs w:val="26"/>
        </w:rPr>
        <w:t xml:space="preserve"> zile anterioare zilei efectuării importului</w:t>
      </w:r>
      <w:r w:rsidR="007B3C55">
        <w:rPr>
          <w:rFonts w:ascii="Times New Roman" w:hAnsi="Times New Roman" w:cs="Times New Roman"/>
          <w:sz w:val="26"/>
          <w:szCs w:val="26"/>
        </w:rPr>
        <w:t xml:space="preserve">, cu aplicarea unei marje comerciale </w:t>
      </w:r>
      <w:r w:rsidR="00EA1A29">
        <w:rPr>
          <w:rFonts w:ascii="Times New Roman" w:hAnsi="Times New Roman" w:cs="Times New Roman"/>
          <w:sz w:val="26"/>
          <w:szCs w:val="26"/>
        </w:rPr>
        <w:t xml:space="preserve">specifice </w:t>
      </w:r>
      <w:r w:rsidR="007B3C55">
        <w:rPr>
          <w:rFonts w:ascii="Times New Roman" w:hAnsi="Times New Roman" w:cs="Times New Roman"/>
          <w:sz w:val="26"/>
          <w:szCs w:val="26"/>
        </w:rPr>
        <w:t xml:space="preserve">ce nu </w:t>
      </w:r>
      <w:r w:rsidR="007B3C55" w:rsidRPr="00F453D4">
        <w:rPr>
          <w:rFonts w:ascii="Times New Roman" w:hAnsi="Times New Roman" w:cs="Times New Roman"/>
          <w:sz w:val="26"/>
          <w:szCs w:val="26"/>
        </w:rPr>
        <w:t xml:space="preserve">depășește </w:t>
      </w:r>
      <w:r w:rsidR="00F453D4" w:rsidRPr="00F453D4">
        <w:rPr>
          <w:rFonts w:ascii="Times New Roman" w:hAnsi="Times New Roman" w:cs="Times New Roman"/>
          <w:b/>
          <w:sz w:val="26"/>
          <w:szCs w:val="26"/>
        </w:rPr>
        <w:t>30</w:t>
      </w:r>
      <w:r w:rsidR="00F453D4" w:rsidRPr="00F453D4">
        <w:rPr>
          <w:rFonts w:ascii="Times New Roman" w:hAnsi="Times New Roman" w:cs="Times New Roman"/>
          <w:sz w:val="26"/>
          <w:szCs w:val="26"/>
        </w:rPr>
        <w:t xml:space="preserve"> </w:t>
      </w:r>
      <w:r w:rsidR="00253F29">
        <w:rPr>
          <w:rFonts w:ascii="Times New Roman" w:hAnsi="Times New Roman" w:cs="Times New Roman"/>
          <w:sz w:val="26"/>
          <w:szCs w:val="26"/>
        </w:rPr>
        <w:t>la sută</w:t>
      </w:r>
      <w:r w:rsidR="00FB78CD">
        <w:rPr>
          <w:rFonts w:ascii="Times New Roman" w:hAnsi="Times New Roman" w:cs="Times New Roman"/>
          <w:sz w:val="26"/>
          <w:szCs w:val="26"/>
        </w:rPr>
        <w:t xml:space="preserve"> de la valoarea </w:t>
      </w:r>
      <w:r w:rsidR="003A1C48">
        <w:rPr>
          <w:rFonts w:ascii="Times New Roman" w:hAnsi="Times New Roman" w:cs="Times New Roman"/>
          <w:sz w:val="26"/>
          <w:szCs w:val="26"/>
        </w:rPr>
        <w:t xml:space="preserve">acestei </w:t>
      </w:r>
      <w:r w:rsidR="00FB78CD">
        <w:rPr>
          <w:rFonts w:ascii="Times New Roman" w:hAnsi="Times New Roman" w:cs="Times New Roman"/>
          <w:sz w:val="26"/>
          <w:szCs w:val="26"/>
        </w:rPr>
        <w:t>medii</w:t>
      </w:r>
      <w:r w:rsidR="00F453D4">
        <w:rPr>
          <w:rFonts w:ascii="Times New Roman" w:hAnsi="Times New Roman" w:cs="Times New Roman"/>
          <w:sz w:val="26"/>
          <w:szCs w:val="26"/>
        </w:rPr>
        <w:t>,</w:t>
      </w:r>
      <w:r w:rsidR="00BA2F40">
        <w:rPr>
          <w:rFonts w:ascii="Times New Roman" w:hAnsi="Times New Roman" w:cs="Times New Roman"/>
          <w:sz w:val="26"/>
          <w:szCs w:val="26"/>
        </w:rPr>
        <w:t xml:space="preserve"> </w:t>
      </w:r>
      <w:r w:rsidR="00F453D4">
        <w:rPr>
          <w:rFonts w:ascii="Times New Roman" w:hAnsi="Times New Roman" w:cs="Times New Roman"/>
          <w:sz w:val="26"/>
          <w:szCs w:val="26"/>
        </w:rPr>
        <w:t xml:space="preserve">dar nu mai mult de </w:t>
      </w:r>
      <w:r w:rsidR="005D68E9">
        <w:rPr>
          <w:rFonts w:ascii="Times New Roman" w:hAnsi="Times New Roman" w:cs="Times New Roman"/>
          <w:b/>
          <w:sz w:val="26"/>
          <w:szCs w:val="26"/>
        </w:rPr>
        <w:t>0,20</w:t>
      </w:r>
      <w:r w:rsidR="00F453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53D4" w:rsidRPr="00F453D4">
        <w:rPr>
          <w:rFonts w:ascii="Times New Roman" w:hAnsi="Times New Roman" w:cs="Times New Roman"/>
          <w:b/>
          <w:sz w:val="26"/>
          <w:szCs w:val="26"/>
        </w:rPr>
        <w:t>$/litru</w:t>
      </w:r>
      <w:r w:rsidR="00253F29" w:rsidRPr="00F453D4">
        <w:rPr>
          <w:rFonts w:ascii="Times New Roman" w:hAnsi="Times New Roman" w:cs="Times New Roman"/>
          <w:sz w:val="26"/>
          <w:szCs w:val="26"/>
        </w:rPr>
        <w:t>,</w:t>
      </w:r>
      <w:r w:rsidR="00CF19A8" w:rsidRPr="00F453D4">
        <w:rPr>
          <w:rFonts w:ascii="Times New Roman" w:hAnsi="Times New Roman" w:cs="Times New Roman"/>
          <w:sz w:val="26"/>
          <w:szCs w:val="26"/>
        </w:rPr>
        <w:t xml:space="preserve"> </w:t>
      </w:r>
      <w:r w:rsidR="00FB78CD" w:rsidRPr="00F453D4">
        <w:rPr>
          <w:rFonts w:ascii="Times New Roman" w:hAnsi="Times New Roman" w:cs="Times New Roman"/>
          <w:sz w:val="26"/>
          <w:szCs w:val="26"/>
        </w:rPr>
        <w:t>precum</w:t>
      </w:r>
      <w:r w:rsidR="00FB78CD">
        <w:rPr>
          <w:rFonts w:ascii="Times New Roman" w:hAnsi="Times New Roman" w:cs="Times New Roman"/>
          <w:sz w:val="26"/>
          <w:szCs w:val="26"/>
        </w:rPr>
        <w:t xml:space="preserve"> și a </w:t>
      </w:r>
      <w:r w:rsidR="00F47C91" w:rsidRPr="007F1F3A">
        <w:rPr>
          <w:rFonts w:ascii="Times New Roman" w:hAnsi="Times New Roman" w:cs="Times New Roman"/>
          <w:sz w:val="26"/>
          <w:szCs w:val="26"/>
        </w:rPr>
        <w:t>tax</w:t>
      </w:r>
      <w:r w:rsidR="00FB78CD">
        <w:rPr>
          <w:rFonts w:ascii="Times New Roman" w:hAnsi="Times New Roman" w:cs="Times New Roman"/>
          <w:sz w:val="26"/>
          <w:szCs w:val="26"/>
        </w:rPr>
        <w:t>ei</w:t>
      </w:r>
      <w:r w:rsidR="00F47C91" w:rsidRPr="007F1F3A">
        <w:rPr>
          <w:rFonts w:ascii="Times New Roman" w:hAnsi="Times New Roman" w:cs="Times New Roman"/>
          <w:sz w:val="26"/>
          <w:szCs w:val="26"/>
        </w:rPr>
        <w:t xml:space="preserve"> pe valoare</w:t>
      </w:r>
      <w:r w:rsidR="003A1C48">
        <w:rPr>
          <w:rFonts w:ascii="Times New Roman" w:hAnsi="Times New Roman" w:cs="Times New Roman"/>
          <w:sz w:val="26"/>
          <w:szCs w:val="26"/>
        </w:rPr>
        <w:t>a</w:t>
      </w:r>
      <w:r w:rsidR="00F47C91" w:rsidRPr="007F1F3A">
        <w:rPr>
          <w:rFonts w:ascii="Times New Roman" w:hAnsi="Times New Roman" w:cs="Times New Roman"/>
          <w:sz w:val="26"/>
          <w:szCs w:val="26"/>
        </w:rPr>
        <w:t xml:space="preserve"> adăugată și </w:t>
      </w:r>
      <w:r w:rsidR="00FB78CD">
        <w:rPr>
          <w:rFonts w:ascii="Times New Roman" w:hAnsi="Times New Roman" w:cs="Times New Roman"/>
          <w:sz w:val="26"/>
          <w:szCs w:val="26"/>
        </w:rPr>
        <w:t xml:space="preserve">a </w:t>
      </w:r>
      <w:r w:rsidR="00F47C91" w:rsidRPr="007F1F3A">
        <w:rPr>
          <w:rFonts w:ascii="Times New Roman" w:hAnsi="Times New Roman" w:cs="Times New Roman"/>
          <w:sz w:val="26"/>
          <w:szCs w:val="26"/>
        </w:rPr>
        <w:t>accizul</w:t>
      </w:r>
      <w:r w:rsidR="00FB78CD">
        <w:rPr>
          <w:rFonts w:ascii="Times New Roman" w:hAnsi="Times New Roman" w:cs="Times New Roman"/>
          <w:sz w:val="26"/>
          <w:szCs w:val="26"/>
        </w:rPr>
        <w:t>ui</w:t>
      </w:r>
      <w:r w:rsidR="00F47C91" w:rsidRPr="007F1F3A">
        <w:rPr>
          <w:rFonts w:ascii="Times New Roman" w:hAnsi="Times New Roman" w:cs="Times New Roman"/>
          <w:sz w:val="26"/>
          <w:szCs w:val="26"/>
        </w:rPr>
        <w:t xml:space="preserve"> aferent.</w:t>
      </w:r>
      <w:r w:rsidR="00371F67" w:rsidRPr="007F1F3A">
        <w:rPr>
          <w:rFonts w:ascii="Times New Roman" w:hAnsi="Times New Roman" w:cs="Times New Roman"/>
          <w:sz w:val="26"/>
          <w:szCs w:val="26"/>
        </w:rPr>
        <w:t>”</w:t>
      </w:r>
    </w:p>
    <w:p w:rsidR="00371F67" w:rsidRPr="007B3C55" w:rsidRDefault="00371F67" w:rsidP="00C30A3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alineatul (4</w:t>
      </w:r>
      <w:r w:rsidRPr="00322908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) va avea următorul cuprins:</w:t>
      </w:r>
    </w:p>
    <w:p w:rsidR="007F192E" w:rsidRDefault="00681B79" w:rsidP="00C30A34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1D9">
        <w:rPr>
          <w:rFonts w:ascii="Times New Roman" w:hAnsi="Times New Roman" w:cs="Times New Roman"/>
          <w:sz w:val="26"/>
          <w:szCs w:val="26"/>
        </w:rPr>
        <w:t>”(4)</w:t>
      </w:r>
      <w:r w:rsidR="00436172" w:rsidRPr="003751D9">
        <w:rPr>
          <w:rFonts w:ascii="Times New Roman" w:hAnsi="Times New Roman" w:cs="Times New Roman"/>
          <w:sz w:val="26"/>
          <w:szCs w:val="26"/>
        </w:rPr>
        <w:t xml:space="preserve"> </w:t>
      </w:r>
      <w:r w:rsidR="00371F67">
        <w:rPr>
          <w:rFonts w:ascii="Times New Roman" w:hAnsi="Times New Roman" w:cs="Times New Roman"/>
          <w:sz w:val="26"/>
          <w:szCs w:val="26"/>
        </w:rPr>
        <w:t xml:space="preserve">La </w:t>
      </w:r>
      <w:r w:rsidR="000C4043">
        <w:rPr>
          <w:rFonts w:ascii="Times New Roman" w:hAnsi="Times New Roman" w:cs="Times New Roman"/>
          <w:sz w:val="26"/>
          <w:szCs w:val="26"/>
        </w:rPr>
        <w:t xml:space="preserve">stabilirea prețurilor de comercializare cu amănuntul a produselor petroliere </w:t>
      </w:r>
      <w:r w:rsidR="00EA1A29">
        <w:rPr>
          <w:rFonts w:ascii="Times New Roman" w:hAnsi="Times New Roman" w:cs="Times New Roman"/>
          <w:sz w:val="26"/>
          <w:szCs w:val="26"/>
        </w:rPr>
        <w:t xml:space="preserve">principale </w:t>
      </w:r>
      <w:r w:rsidR="000C4043">
        <w:rPr>
          <w:rFonts w:ascii="Times New Roman" w:hAnsi="Times New Roman" w:cs="Times New Roman"/>
          <w:sz w:val="26"/>
          <w:szCs w:val="26"/>
        </w:rPr>
        <w:t xml:space="preserve">importate în raport cu </w:t>
      </w:r>
      <w:r w:rsidR="00C9730D">
        <w:rPr>
          <w:rFonts w:ascii="Times New Roman" w:hAnsi="Times New Roman" w:cs="Times New Roman"/>
          <w:sz w:val="26"/>
          <w:szCs w:val="26"/>
        </w:rPr>
        <w:t>cotații</w:t>
      </w:r>
      <w:r w:rsidR="000C4043">
        <w:rPr>
          <w:rFonts w:ascii="Times New Roman" w:hAnsi="Times New Roman" w:cs="Times New Roman"/>
          <w:sz w:val="26"/>
          <w:szCs w:val="26"/>
        </w:rPr>
        <w:t>le</w:t>
      </w:r>
      <w:r w:rsidR="00C9730D">
        <w:rPr>
          <w:rFonts w:ascii="Times New Roman" w:hAnsi="Times New Roman" w:cs="Times New Roman"/>
          <w:sz w:val="26"/>
          <w:szCs w:val="26"/>
        </w:rPr>
        <w:t xml:space="preserve"> </w:t>
      </w:r>
      <w:r w:rsidR="00C9730D" w:rsidRPr="003751D9">
        <w:rPr>
          <w:rFonts w:ascii="Times New Roman" w:hAnsi="Times New Roman" w:cs="Times New Roman"/>
          <w:sz w:val="26"/>
          <w:szCs w:val="26"/>
        </w:rPr>
        <w:t>Platt's FOB MED (Italy)</w:t>
      </w:r>
      <w:r w:rsidR="003803ED" w:rsidRPr="003751D9">
        <w:rPr>
          <w:rFonts w:ascii="Times New Roman" w:hAnsi="Times New Roman" w:cs="Times New Roman"/>
          <w:sz w:val="26"/>
          <w:szCs w:val="26"/>
        </w:rPr>
        <w:t xml:space="preserve">, </w:t>
      </w:r>
      <w:r w:rsidR="00EA1A29">
        <w:rPr>
          <w:rFonts w:ascii="Times New Roman" w:hAnsi="Times New Roman" w:cs="Times New Roman"/>
          <w:sz w:val="26"/>
          <w:szCs w:val="26"/>
        </w:rPr>
        <w:t xml:space="preserve">se va ține cont de </w:t>
      </w:r>
      <w:r w:rsidR="00EA1A29">
        <w:rPr>
          <w:rFonts w:ascii="Times New Roman" w:hAnsi="Times New Roman" w:cs="Times New Roman"/>
          <w:sz w:val="26"/>
          <w:szCs w:val="26"/>
        </w:rPr>
        <w:lastRenderedPageBreak/>
        <w:t>categoria/c</w:t>
      </w:r>
      <w:r w:rsidR="00EA1A29" w:rsidRPr="003751D9">
        <w:rPr>
          <w:rFonts w:ascii="Times New Roman" w:hAnsi="Times New Roman" w:cs="Times New Roman"/>
          <w:sz w:val="26"/>
          <w:szCs w:val="26"/>
        </w:rPr>
        <w:t>alitatea</w:t>
      </w:r>
      <w:r w:rsidR="00EA1A29">
        <w:rPr>
          <w:rFonts w:ascii="Times New Roman" w:hAnsi="Times New Roman" w:cs="Times New Roman"/>
          <w:sz w:val="26"/>
          <w:szCs w:val="26"/>
        </w:rPr>
        <w:t xml:space="preserve"> </w:t>
      </w:r>
      <w:r w:rsidR="00EA1A29" w:rsidRPr="003751D9">
        <w:rPr>
          <w:rFonts w:ascii="Times New Roman" w:hAnsi="Times New Roman" w:cs="Times New Roman"/>
          <w:sz w:val="26"/>
          <w:szCs w:val="26"/>
        </w:rPr>
        <w:t>produselor petroliere</w:t>
      </w:r>
      <w:r w:rsidR="00EA1A29">
        <w:rPr>
          <w:rFonts w:ascii="Times New Roman" w:hAnsi="Times New Roman" w:cs="Times New Roman"/>
          <w:sz w:val="26"/>
          <w:szCs w:val="26"/>
        </w:rPr>
        <w:t xml:space="preserve"> respective</w:t>
      </w:r>
      <w:r w:rsidR="007F192E">
        <w:rPr>
          <w:rFonts w:ascii="Times New Roman" w:hAnsi="Times New Roman" w:cs="Times New Roman"/>
          <w:sz w:val="26"/>
          <w:szCs w:val="26"/>
        </w:rPr>
        <w:t>, prin utilizarea următorilor coeficienți de multiplicare:</w:t>
      </w:r>
    </w:p>
    <w:tbl>
      <w:tblPr>
        <w:tblW w:w="9522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070"/>
        <w:gridCol w:w="3452"/>
      </w:tblGrid>
      <w:tr w:rsidR="007F192E" w:rsidRPr="007F192E" w:rsidTr="007F192E">
        <w:trPr>
          <w:trHeight w:val="60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o-RO"/>
              </w:rPr>
              <w:t>Tip produs petrolier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F192E" w:rsidRPr="007F192E" w:rsidRDefault="007F192E" w:rsidP="007F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o-RO"/>
              </w:rPr>
              <w:t>Coeficient de multiplicare</w:t>
            </w:r>
          </w:p>
        </w:tc>
      </w:tr>
      <w:tr w:rsidR="007F192E" w:rsidRPr="007F192E" w:rsidTr="007F192E">
        <w:trPr>
          <w:trHeight w:val="60"/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Benzina auto cu cifra </w:t>
            </w:r>
            <w:r w:rsidR="002A46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octanica 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de minimum </w:t>
            </w: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 xml:space="preserve">98 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>(≤10ppm)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 xml:space="preserve">1,03 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>x</w:t>
            </w: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 xml:space="preserve"> 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Prem Unl 10 ppm </w:t>
            </w: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FOB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 Med</w:t>
            </w:r>
          </w:p>
        </w:tc>
      </w:tr>
      <w:tr w:rsidR="007F192E" w:rsidRPr="007F192E" w:rsidTr="007F192E">
        <w:trPr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>Benzina auto cu cifra octanica de minimum 95, dar sub 98 (≤10ppm)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 xml:space="preserve">1,00 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>x</w:t>
            </w: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 xml:space="preserve"> 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Prem Unl 10 ppm </w:t>
            </w: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FOB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 Med</w:t>
            </w:r>
          </w:p>
        </w:tc>
      </w:tr>
      <w:tr w:rsidR="007F192E" w:rsidRPr="007F192E" w:rsidTr="007F192E">
        <w:trPr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>Benzina auto cu cifra octanica de minimum 95, dar sub 98 (≤50ppm)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0,97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 x Prem Unl 10 ppm </w:t>
            </w: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FOB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 Med</w:t>
            </w:r>
          </w:p>
        </w:tc>
      </w:tr>
      <w:tr w:rsidR="007F192E" w:rsidRPr="007F192E" w:rsidTr="007F192E">
        <w:trPr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>Benzina auto cu cifra octanica sub 95 (&gt; 50 ppm)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0,92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 x Prem Unl 10 ppm </w:t>
            </w: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FOB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 Med</w:t>
            </w:r>
          </w:p>
        </w:tc>
      </w:tr>
      <w:tr w:rsidR="007F192E" w:rsidRPr="007F192E" w:rsidTr="007F192E">
        <w:trPr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>Motorina (≤</w:t>
            </w: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10ppm)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1,00 x 10 ppm ULSD </w:t>
            </w: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FOB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 Med </w:t>
            </w:r>
          </w:p>
        </w:tc>
      </w:tr>
      <w:tr w:rsidR="007F192E" w:rsidRPr="007F192E" w:rsidTr="007F192E">
        <w:trPr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>Motorina (≤50ppm)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0,97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 x 10 ppm ULSD </w:t>
            </w: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FOB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 Med</w:t>
            </w:r>
          </w:p>
        </w:tc>
      </w:tr>
      <w:tr w:rsidR="007F192E" w:rsidRPr="007F192E" w:rsidTr="007F192E">
        <w:trPr>
          <w:jc w:val="center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>Motorina (&gt; 50 ppm)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192E" w:rsidRPr="007F192E" w:rsidRDefault="007F19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</w:pP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0,92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 x 10 ppm ULSD </w:t>
            </w:r>
            <w:r w:rsidRPr="007F192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o-RO"/>
              </w:rPr>
              <w:t>FOB</w:t>
            </w:r>
            <w:r w:rsidRPr="007F19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o-RO"/>
              </w:rPr>
              <w:t xml:space="preserve"> Med</w:t>
            </w:r>
          </w:p>
        </w:tc>
      </w:tr>
    </w:tbl>
    <w:p w:rsidR="006D2970" w:rsidRDefault="007F192E" w:rsidP="00C30A34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1B79" w:rsidRPr="003751D9">
        <w:rPr>
          <w:rFonts w:ascii="Times New Roman" w:hAnsi="Times New Roman" w:cs="Times New Roman"/>
          <w:sz w:val="26"/>
          <w:szCs w:val="26"/>
        </w:rPr>
        <w:t>”</w:t>
      </w:r>
      <w:r w:rsidR="006D2970" w:rsidRPr="00B34D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7B6" w:rsidRPr="004347B6" w:rsidRDefault="004347B6" w:rsidP="004347B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</w:pPr>
      <w:r w:rsidRPr="007F1F3A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la  alineatul (5) se exclude sintagma ”și a gazului lichefiat”</w:t>
      </w:r>
      <w:r w:rsidR="007F1F3A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.</w:t>
      </w:r>
    </w:p>
    <w:p w:rsidR="0065386F" w:rsidRPr="00322908" w:rsidRDefault="00C30A34" w:rsidP="00C30A34">
      <w:pPr>
        <w:spacing w:before="120"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4E0DE5" w:rsidRPr="0032290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2568B" w:rsidRPr="00322908">
        <w:rPr>
          <w:rFonts w:ascii="Times New Roman" w:hAnsi="Times New Roman" w:cs="Times New Roman"/>
          <w:b/>
          <w:sz w:val="26"/>
          <w:szCs w:val="26"/>
        </w:rPr>
        <w:tab/>
      </w:r>
      <w:r w:rsidR="00F2568B" w:rsidRPr="00322908">
        <w:rPr>
          <w:rFonts w:ascii="Times New Roman" w:hAnsi="Times New Roman" w:cs="Times New Roman"/>
          <w:sz w:val="26"/>
          <w:szCs w:val="26"/>
        </w:rPr>
        <w:t>La</w:t>
      </w:r>
      <w:r w:rsidR="00F2568B" w:rsidRPr="003229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568B" w:rsidRPr="00322908">
        <w:rPr>
          <w:rFonts w:ascii="Times New Roman" w:hAnsi="Times New Roman" w:cs="Times New Roman"/>
          <w:sz w:val="26"/>
          <w:szCs w:val="26"/>
        </w:rPr>
        <w:t>a</w:t>
      </w:r>
      <w:r w:rsidR="00530D5A" w:rsidRPr="00322908">
        <w:rPr>
          <w:rFonts w:ascii="Times New Roman" w:hAnsi="Times New Roman" w:cs="Times New Roman"/>
          <w:sz w:val="26"/>
          <w:szCs w:val="26"/>
        </w:rPr>
        <w:t>rticolul 13 alin</w:t>
      </w:r>
      <w:r w:rsidR="00913E61">
        <w:rPr>
          <w:rFonts w:ascii="Times New Roman" w:hAnsi="Times New Roman" w:cs="Times New Roman"/>
          <w:sz w:val="26"/>
          <w:szCs w:val="26"/>
        </w:rPr>
        <w:t>eatul</w:t>
      </w:r>
      <w:r w:rsidR="00530D5A" w:rsidRPr="00322908">
        <w:rPr>
          <w:rFonts w:ascii="Times New Roman" w:hAnsi="Times New Roman" w:cs="Times New Roman"/>
          <w:sz w:val="26"/>
          <w:szCs w:val="26"/>
        </w:rPr>
        <w:t xml:space="preserve"> (1) </w:t>
      </w:r>
      <w:r w:rsidR="004332A0" w:rsidRPr="00322908">
        <w:rPr>
          <w:rFonts w:ascii="Times New Roman" w:hAnsi="Times New Roman" w:cs="Times New Roman"/>
          <w:sz w:val="26"/>
          <w:szCs w:val="26"/>
        </w:rPr>
        <w:t xml:space="preserve">se </w:t>
      </w:r>
      <w:r w:rsidR="00F2568B" w:rsidRPr="00322908">
        <w:rPr>
          <w:rFonts w:ascii="Times New Roman" w:hAnsi="Times New Roman" w:cs="Times New Roman"/>
          <w:sz w:val="26"/>
          <w:szCs w:val="26"/>
        </w:rPr>
        <w:t>abrogă</w:t>
      </w:r>
      <w:r w:rsidR="00220E28" w:rsidRPr="00322908">
        <w:rPr>
          <w:rFonts w:ascii="Times New Roman" w:hAnsi="Times New Roman" w:cs="Times New Roman"/>
          <w:sz w:val="26"/>
          <w:szCs w:val="26"/>
        </w:rPr>
        <w:t>.</w:t>
      </w:r>
    </w:p>
    <w:p w:rsidR="00106123" w:rsidRPr="00322908" w:rsidRDefault="00106123" w:rsidP="00C30A34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0265" w:rsidRPr="00322908" w:rsidRDefault="00A76DBA" w:rsidP="00C30A34">
      <w:pPr>
        <w:pStyle w:val="ListParagraph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22908">
        <w:rPr>
          <w:rFonts w:ascii="Times New Roman" w:hAnsi="Times New Roman" w:cs="Times New Roman"/>
          <w:b/>
          <w:sz w:val="26"/>
          <w:szCs w:val="26"/>
        </w:rPr>
        <w:t>Art. II</w:t>
      </w:r>
      <w:r w:rsidRPr="00322908">
        <w:rPr>
          <w:rFonts w:ascii="Times New Roman" w:hAnsi="Times New Roman" w:cs="Times New Roman"/>
          <w:sz w:val="26"/>
          <w:szCs w:val="26"/>
        </w:rPr>
        <w:t xml:space="preserve">. </w:t>
      </w:r>
      <w:r w:rsidR="00B00265" w:rsidRPr="00322908">
        <w:rPr>
          <w:rFonts w:ascii="Times New Roman" w:hAnsi="Times New Roman" w:cs="Times New Roman"/>
          <w:sz w:val="26"/>
          <w:szCs w:val="26"/>
        </w:rPr>
        <w:t>– Agenția Națională pentru Reglementa</w:t>
      </w:r>
      <w:r w:rsidR="00000898" w:rsidRPr="00322908">
        <w:rPr>
          <w:rFonts w:ascii="Times New Roman" w:hAnsi="Times New Roman" w:cs="Times New Roman"/>
          <w:sz w:val="26"/>
          <w:szCs w:val="26"/>
        </w:rPr>
        <w:t>re în Energetică, în termen de 2</w:t>
      </w:r>
      <w:r w:rsidR="00B00265" w:rsidRPr="00322908">
        <w:rPr>
          <w:rFonts w:ascii="Times New Roman" w:hAnsi="Times New Roman" w:cs="Times New Roman"/>
          <w:sz w:val="26"/>
          <w:szCs w:val="26"/>
        </w:rPr>
        <w:t xml:space="preserve"> luni</w:t>
      </w:r>
      <w:r w:rsidR="00106123" w:rsidRPr="00322908">
        <w:rPr>
          <w:rFonts w:ascii="Times New Roman" w:hAnsi="Times New Roman" w:cs="Times New Roman"/>
          <w:sz w:val="26"/>
          <w:szCs w:val="26"/>
        </w:rPr>
        <w:t xml:space="preserve"> de la data publicării prezentei legi</w:t>
      </w:r>
      <w:r w:rsidR="00B00265" w:rsidRPr="00322908">
        <w:rPr>
          <w:rFonts w:ascii="Times New Roman" w:hAnsi="Times New Roman" w:cs="Times New Roman"/>
          <w:sz w:val="26"/>
          <w:szCs w:val="26"/>
        </w:rPr>
        <w:t xml:space="preserve">, va elabora şi va aproba </w:t>
      </w:r>
      <w:r w:rsidR="00000898" w:rsidRPr="00322908">
        <w:rPr>
          <w:rFonts w:ascii="Times New Roman" w:hAnsi="Times New Roman" w:cs="Times New Roman"/>
          <w:sz w:val="26"/>
          <w:szCs w:val="26"/>
        </w:rPr>
        <w:t xml:space="preserve">o nouă </w:t>
      </w:r>
      <w:r w:rsidR="00B00265" w:rsidRPr="00322908">
        <w:rPr>
          <w:rFonts w:ascii="Times New Roman" w:hAnsi="Times New Roman" w:cs="Times New Roman"/>
          <w:sz w:val="26"/>
          <w:szCs w:val="26"/>
        </w:rPr>
        <w:t>Metodologi</w:t>
      </w:r>
      <w:r w:rsidR="00000898" w:rsidRPr="00322908">
        <w:rPr>
          <w:rFonts w:ascii="Times New Roman" w:hAnsi="Times New Roman" w:cs="Times New Roman"/>
          <w:sz w:val="26"/>
          <w:szCs w:val="26"/>
        </w:rPr>
        <w:t>e</w:t>
      </w:r>
      <w:r w:rsidR="00B00265" w:rsidRPr="00322908">
        <w:rPr>
          <w:rFonts w:ascii="Times New Roman" w:hAnsi="Times New Roman" w:cs="Times New Roman"/>
          <w:sz w:val="26"/>
          <w:szCs w:val="26"/>
        </w:rPr>
        <w:t xml:space="preserve"> de calculare și aplicare a preț</w:t>
      </w:r>
      <w:r w:rsidR="00000898" w:rsidRPr="00322908">
        <w:rPr>
          <w:rFonts w:ascii="Times New Roman" w:hAnsi="Times New Roman" w:cs="Times New Roman"/>
          <w:sz w:val="26"/>
          <w:szCs w:val="26"/>
        </w:rPr>
        <w:t>urilor la produsele petroliere.</w:t>
      </w:r>
    </w:p>
    <w:p w:rsidR="00E27095" w:rsidRPr="00322908" w:rsidRDefault="00E27095" w:rsidP="00C30A34">
      <w:pPr>
        <w:pStyle w:val="ListParagraph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0265" w:rsidRPr="00322908" w:rsidRDefault="00B00265" w:rsidP="00C30A34">
      <w:pPr>
        <w:pStyle w:val="ListParagraph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22908">
        <w:rPr>
          <w:rFonts w:ascii="Times New Roman" w:hAnsi="Times New Roman" w:cs="Times New Roman"/>
          <w:b/>
          <w:sz w:val="26"/>
          <w:szCs w:val="26"/>
        </w:rPr>
        <w:t>Art. III.</w:t>
      </w:r>
      <w:r w:rsidRPr="00322908">
        <w:rPr>
          <w:rFonts w:ascii="Times New Roman" w:hAnsi="Times New Roman" w:cs="Times New Roman"/>
          <w:sz w:val="26"/>
          <w:szCs w:val="26"/>
        </w:rPr>
        <w:t xml:space="preserve"> – Pre</w:t>
      </w:r>
      <w:r w:rsidR="00220E28" w:rsidRPr="00322908">
        <w:rPr>
          <w:rFonts w:ascii="Times New Roman" w:hAnsi="Times New Roman" w:cs="Times New Roman"/>
          <w:sz w:val="26"/>
          <w:szCs w:val="26"/>
        </w:rPr>
        <w:t>zenta lege intră în vigoare la  …………….</w:t>
      </w:r>
      <w:r w:rsidRPr="00322908">
        <w:rPr>
          <w:rFonts w:ascii="Times New Roman" w:hAnsi="Times New Roman" w:cs="Times New Roman"/>
          <w:sz w:val="26"/>
          <w:szCs w:val="26"/>
        </w:rPr>
        <w:t xml:space="preserve"> 2012.</w:t>
      </w:r>
    </w:p>
    <w:p w:rsidR="00E27095" w:rsidRPr="00322908" w:rsidRDefault="00E27095" w:rsidP="00C30A34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B34D37" w:rsidRPr="00B34D37" w:rsidRDefault="00B34D37" w:rsidP="00C30A3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B34D37">
        <w:rPr>
          <w:rFonts w:ascii="Times New Roman" w:eastAsia="Times New Roman" w:hAnsi="Times New Roman" w:cs="Times New Roman"/>
          <w:sz w:val="26"/>
          <w:szCs w:val="26"/>
          <w:lang w:eastAsia="ro-RO"/>
        </w:rPr>
        <w:t> </w:t>
      </w:r>
    </w:p>
    <w:p w:rsidR="00E27095" w:rsidRPr="00322908" w:rsidRDefault="00E27095" w:rsidP="00FF00C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864165" w:rsidRPr="00322908" w:rsidRDefault="00A76DBA" w:rsidP="00C30A34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322908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PREȘEDINTELE PARLAMENTULUI                        </w:t>
      </w:r>
      <w:r w:rsidR="00921586" w:rsidRPr="00322908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 xml:space="preserve">  </w:t>
      </w:r>
      <w:r w:rsidRPr="00322908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MARIAN LUPU</w:t>
      </w:r>
    </w:p>
    <w:sectPr w:rsidR="00864165" w:rsidRPr="00322908" w:rsidSect="00F87E31">
      <w:pgSz w:w="11906" w:h="16838"/>
      <w:pgMar w:top="993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1BE"/>
    <w:multiLevelType w:val="hybridMultilevel"/>
    <w:tmpl w:val="96B2D5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493B"/>
    <w:multiLevelType w:val="hybridMultilevel"/>
    <w:tmpl w:val="2A8E0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83372E"/>
    <w:multiLevelType w:val="hybridMultilevel"/>
    <w:tmpl w:val="1E5E3D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5F99"/>
    <w:multiLevelType w:val="hybridMultilevel"/>
    <w:tmpl w:val="38FEC54A"/>
    <w:lvl w:ilvl="0" w:tplc="34448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C2B0E"/>
    <w:multiLevelType w:val="hybridMultilevel"/>
    <w:tmpl w:val="9B4668DE"/>
    <w:lvl w:ilvl="0" w:tplc="939681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4371F"/>
    <w:multiLevelType w:val="hybridMultilevel"/>
    <w:tmpl w:val="218080A4"/>
    <w:lvl w:ilvl="0" w:tplc="C3CA986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D332E"/>
    <w:multiLevelType w:val="hybridMultilevel"/>
    <w:tmpl w:val="756E77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20F042A"/>
    <w:multiLevelType w:val="hybridMultilevel"/>
    <w:tmpl w:val="99D297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B5D3C"/>
    <w:multiLevelType w:val="hybridMultilevel"/>
    <w:tmpl w:val="06BC9BD2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F0B61AC"/>
    <w:multiLevelType w:val="hybridMultilevel"/>
    <w:tmpl w:val="5560B1A4"/>
    <w:lvl w:ilvl="0" w:tplc="94D09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C7989"/>
    <w:multiLevelType w:val="hybridMultilevel"/>
    <w:tmpl w:val="AA2039B8"/>
    <w:lvl w:ilvl="0" w:tplc="0418000F">
      <w:start w:val="1"/>
      <w:numFmt w:val="decimal"/>
      <w:lvlText w:val="%1."/>
      <w:lvlJc w:val="left"/>
      <w:pPr>
        <w:ind w:left="1077" w:hanging="360"/>
      </w:pPr>
    </w:lvl>
    <w:lvl w:ilvl="1" w:tplc="04180019" w:tentative="1">
      <w:start w:val="1"/>
      <w:numFmt w:val="lowerLetter"/>
      <w:lvlText w:val="%2."/>
      <w:lvlJc w:val="left"/>
      <w:pPr>
        <w:ind w:left="1797" w:hanging="360"/>
      </w:pPr>
    </w:lvl>
    <w:lvl w:ilvl="2" w:tplc="0418001B" w:tentative="1">
      <w:start w:val="1"/>
      <w:numFmt w:val="lowerRoman"/>
      <w:lvlText w:val="%3."/>
      <w:lvlJc w:val="right"/>
      <w:pPr>
        <w:ind w:left="2517" w:hanging="180"/>
      </w:pPr>
    </w:lvl>
    <w:lvl w:ilvl="3" w:tplc="0418000F" w:tentative="1">
      <w:start w:val="1"/>
      <w:numFmt w:val="decimal"/>
      <w:lvlText w:val="%4."/>
      <w:lvlJc w:val="left"/>
      <w:pPr>
        <w:ind w:left="3237" w:hanging="360"/>
      </w:pPr>
    </w:lvl>
    <w:lvl w:ilvl="4" w:tplc="04180019" w:tentative="1">
      <w:start w:val="1"/>
      <w:numFmt w:val="lowerLetter"/>
      <w:lvlText w:val="%5."/>
      <w:lvlJc w:val="left"/>
      <w:pPr>
        <w:ind w:left="3957" w:hanging="360"/>
      </w:pPr>
    </w:lvl>
    <w:lvl w:ilvl="5" w:tplc="0418001B" w:tentative="1">
      <w:start w:val="1"/>
      <w:numFmt w:val="lowerRoman"/>
      <w:lvlText w:val="%6."/>
      <w:lvlJc w:val="right"/>
      <w:pPr>
        <w:ind w:left="4677" w:hanging="180"/>
      </w:pPr>
    </w:lvl>
    <w:lvl w:ilvl="6" w:tplc="0418000F" w:tentative="1">
      <w:start w:val="1"/>
      <w:numFmt w:val="decimal"/>
      <w:lvlText w:val="%7."/>
      <w:lvlJc w:val="left"/>
      <w:pPr>
        <w:ind w:left="5397" w:hanging="360"/>
      </w:pPr>
    </w:lvl>
    <w:lvl w:ilvl="7" w:tplc="04180019" w:tentative="1">
      <w:start w:val="1"/>
      <w:numFmt w:val="lowerLetter"/>
      <w:lvlText w:val="%8."/>
      <w:lvlJc w:val="left"/>
      <w:pPr>
        <w:ind w:left="6117" w:hanging="360"/>
      </w:pPr>
    </w:lvl>
    <w:lvl w:ilvl="8" w:tplc="0418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7BF6"/>
    <w:rsid w:val="00000898"/>
    <w:rsid w:val="00044796"/>
    <w:rsid w:val="000724DA"/>
    <w:rsid w:val="000B6646"/>
    <w:rsid w:val="000B6CBB"/>
    <w:rsid w:val="000C4043"/>
    <w:rsid w:val="000C6EC6"/>
    <w:rsid w:val="000D0DE0"/>
    <w:rsid w:val="000D1D1B"/>
    <w:rsid w:val="00106123"/>
    <w:rsid w:val="00161810"/>
    <w:rsid w:val="00162591"/>
    <w:rsid w:val="00197411"/>
    <w:rsid w:val="001A4278"/>
    <w:rsid w:val="001C3830"/>
    <w:rsid w:val="001C663A"/>
    <w:rsid w:val="001E2964"/>
    <w:rsid w:val="00220E28"/>
    <w:rsid w:val="00253F29"/>
    <w:rsid w:val="00277BA0"/>
    <w:rsid w:val="00294236"/>
    <w:rsid w:val="002A46EC"/>
    <w:rsid w:val="002A4D25"/>
    <w:rsid w:val="00311211"/>
    <w:rsid w:val="00316A82"/>
    <w:rsid w:val="00322908"/>
    <w:rsid w:val="00332370"/>
    <w:rsid w:val="00335070"/>
    <w:rsid w:val="00371F67"/>
    <w:rsid w:val="003751D9"/>
    <w:rsid w:val="003803ED"/>
    <w:rsid w:val="0038720B"/>
    <w:rsid w:val="00396123"/>
    <w:rsid w:val="00396CD0"/>
    <w:rsid w:val="003A1C48"/>
    <w:rsid w:val="003D6EB4"/>
    <w:rsid w:val="003E541F"/>
    <w:rsid w:val="004009D8"/>
    <w:rsid w:val="00425CBE"/>
    <w:rsid w:val="00431C4C"/>
    <w:rsid w:val="004332A0"/>
    <w:rsid w:val="004347B6"/>
    <w:rsid w:val="00436172"/>
    <w:rsid w:val="00481192"/>
    <w:rsid w:val="00484419"/>
    <w:rsid w:val="00490E84"/>
    <w:rsid w:val="004C1D97"/>
    <w:rsid w:val="004E0DE5"/>
    <w:rsid w:val="00505594"/>
    <w:rsid w:val="00506B6D"/>
    <w:rsid w:val="00527BF6"/>
    <w:rsid w:val="00530D5A"/>
    <w:rsid w:val="005552CC"/>
    <w:rsid w:val="005557A5"/>
    <w:rsid w:val="00567EA2"/>
    <w:rsid w:val="00597F87"/>
    <w:rsid w:val="005D68E9"/>
    <w:rsid w:val="005F53C5"/>
    <w:rsid w:val="00642AA5"/>
    <w:rsid w:val="00644E73"/>
    <w:rsid w:val="00652501"/>
    <w:rsid w:val="0065386F"/>
    <w:rsid w:val="006712B0"/>
    <w:rsid w:val="00677A8E"/>
    <w:rsid w:val="00681B79"/>
    <w:rsid w:val="006D2970"/>
    <w:rsid w:val="00701F7B"/>
    <w:rsid w:val="00724CB9"/>
    <w:rsid w:val="0074610B"/>
    <w:rsid w:val="007536FD"/>
    <w:rsid w:val="00781221"/>
    <w:rsid w:val="007B3C55"/>
    <w:rsid w:val="007F192E"/>
    <w:rsid w:val="007F1F3A"/>
    <w:rsid w:val="00823C29"/>
    <w:rsid w:val="0084642B"/>
    <w:rsid w:val="00864165"/>
    <w:rsid w:val="0087136C"/>
    <w:rsid w:val="0087449C"/>
    <w:rsid w:val="00874C32"/>
    <w:rsid w:val="00874DB3"/>
    <w:rsid w:val="008E4A7A"/>
    <w:rsid w:val="009056F1"/>
    <w:rsid w:val="00913E61"/>
    <w:rsid w:val="00921586"/>
    <w:rsid w:val="00922364"/>
    <w:rsid w:val="00926AFE"/>
    <w:rsid w:val="0094294E"/>
    <w:rsid w:val="0095257D"/>
    <w:rsid w:val="009B2CD4"/>
    <w:rsid w:val="009C3FFB"/>
    <w:rsid w:val="009C5ED6"/>
    <w:rsid w:val="009C7322"/>
    <w:rsid w:val="009D17E1"/>
    <w:rsid w:val="00A76DBA"/>
    <w:rsid w:val="00AC4E00"/>
    <w:rsid w:val="00AF217F"/>
    <w:rsid w:val="00B00265"/>
    <w:rsid w:val="00B060F7"/>
    <w:rsid w:val="00B34D37"/>
    <w:rsid w:val="00B54BBE"/>
    <w:rsid w:val="00B82956"/>
    <w:rsid w:val="00BA11EC"/>
    <w:rsid w:val="00BA2F40"/>
    <w:rsid w:val="00BD054A"/>
    <w:rsid w:val="00BE1C61"/>
    <w:rsid w:val="00C01ED3"/>
    <w:rsid w:val="00C173CA"/>
    <w:rsid w:val="00C20894"/>
    <w:rsid w:val="00C30A34"/>
    <w:rsid w:val="00C90AA8"/>
    <w:rsid w:val="00C93EEA"/>
    <w:rsid w:val="00C9730D"/>
    <w:rsid w:val="00CB170E"/>
    <w:rsid w:val="00CB6D7D"/>
    <w:rsid w:val="00CE67B5"/>
    <w:rsid w:val="00CF182F"/>
    <w:rsid w:val="00CF19A8"/>
    <w:rsid w:val="00D325FD"/>
    <w:rsid w:val="00D32C32"/>
    <w:rsid w:val="00D4526F"/>
    <w:rsid w:val="00D55687"/>
    <w:rsid w:val="00DD4862"/>
    <w:rsid w:val="00E140B8"/>
    <w:rsid w:val="00E27095"/>
    <w:rsid w:val="00E2797F"/>
    <w:rsid w:val="00E3014B"/>
    <w:rsid w:val="00E35B11"/>
    <w:rsid w:val="00E42FDA"/>
    <w:rsid w:val="00E43174"/>
    <w:rsid w:val="00E514EB"/>
    <w:rsid w:val="00E71BC7"/>
    <w:rsid w:val="00E7219B"/>
    <w:rsid w:val="00E86029"/>
    <w:rsid w:val="00EA1A29"/>
    <w:rsid w:val="00EC32A3"/>
    <w:rsid w:val="00EE0941"/>
    <w:rsid w:val="00F2568B"/>
    <w:rsid w:val="00F453D4"/>
    <w:rsid w:val="00F47C91"/>
    <w:rsid w:val="00F87E31"/>
    <w:rsid w:val="00F909A7"/>
    <w:rsid w:val="00F91C6A"/>
    <w:rsid w:val="00F9477E"/>
    <w:rsid w:val="00FB78CD"/>
    <w:rsid w:val="00FD289F"/>
    <w:rsid w:val="00FE408E"/>
    <w:rsid w:val="00FF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B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527B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6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A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7411"/>
    <w:rPr>
      <w:color w:val="0000FF"/>
      <w:u w:val="single"/>
    </w:rPr>
  </w:style>
  <w:style w:type="paragraph" w:customStyle="1" w:styleId="md">
    <w:name w:val="md"/>
    <w:basedOn w:val="Normal"/>
    <w:rsid w:val="00B34D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93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71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AEAEA"/>
                <w:bottom w:val="none" w:sz="0" w:space="0" w:color="auto"/>
                <w:right w:val="single" w:sz="6" w:space="0" w:color="EAEAEA"/>
              </w:divBdr>
              <w:divsChild>
                <w:div w:id="1789620562">
                  <w:marLeft w:val="6558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21976694">
                      <w:marLeft w:val="0"/>
                      <w:marRight w:val="0"/>
                      <w:marTop w:val="1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E1E1E1"/>
                        <w:right w:val="none" w:sz="0" w:space="0" w:color="auto"/>
                      </w:divBdr>
                      <w:divsChild>
                        <w:div w:id="10515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9149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1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64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AEAEA"/>
                <w:bottom w:val="none" w:sz="0" w:space="0" w:color="auto"/>
                <w:right w:val="single" w:sz="6" w:space="0" w:color="EAEAEA"/>
              </w:divBdr>
              <w:divsChild>
                <w:div w:id="166406554">
                  <w:marLeft w:val="6558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38663090">
                      <w:marLeft w:val="0"/>
                      <w:marRight w:val="0"/>
                      <w:marTop w:val="1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E1E1E1"/>
                        <w:right w:val="none" w:sz="0" w:space="0" w:color="auto"/>
                      </w:divBdr>
                      <w:divsChild>
                        <w:div w:id="223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9560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36C1-B88A-45E9-963E-E7DE4E02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VTC</cp:lastModifiedBy>
  <cp:revision>2</cp:revision>
  <cp:lastPrinted>2012-09-26T05:54:00Z</cp:lastPrinted>
  <dcterms:created xsi:type="dcterms:W3CDTF">2012-09-26T15:06:00Z</dcterms:created>
  <dcterms:modified xsi:type="dcterms:W3CDTF">2012-09-26T15:06:00Z</dcterms:modified>
</cp:coreProperties>
</file>