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33" w:rsidRPr="00CC5DD0" w:rsidRDefault="002A0D33" w:rsidP="00773697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CC5DD0">
        <w:rPr>
          <w:rFonts w:ascii="Times New Roman" w:hAnsi="Times New Roman" w:cs="Times New Roman"/>
          <w:i/>
          <w:sz w:val="24"/>
          <w:szCs w:val="24"/>
          <w:lang w:val="ro-MD"/>
        </w:rPr>
        <w:t>Proiect</w:t>
      </w:r>
    </w:p>
    <w:p w:rsidR="002A0D33" w:rsidRPr="00CC5DD0" w:rsidRDefault="002A0D33" w:rsidP="002A0D33">
      <w:pPr>
        <w:ind w:left="-14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5DD0">
        <w:rPr>
          <w:rFonts w:ascii="Times New Roman" w:hAnsi="Times New Roman"/>
          <w:b/>
          <w:spacing w:val="20"/>
          <w:sz w:val="24"/>
          <w:szCs w:val="24"/>
          <w:lang w:val="ro-MD"/>
        </w:rPr>
        <w:t>GUVERNUL REPUBLICII MOLDOVA</w:t>
      </w:r>
      <w:r w:rsidRPr="00CC5DD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:rsidR="002A0D33" w:rsidRPr="00CC5DD0" w:rsidRDefault="002A0D33" w:rsidP="002A075B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5DD0">
        <w:rPr>
          <w:rFonts w:ascii="Times New Roman" w:hAnsi="Times New Roman" w:cs="Times New Roman"/>
          <w:b/>
          <w:sz w:val="24"/>
          <w:szCs w:val="24"/>
          <w:lang w:val="ro-MD"/>
        </w:rPr>
        <w:t>H O T Ă R Î R E</w:t>
      </w:r>
      <w:r w:rsidR="00F22AB9" w:rsidRPr="00CC5DD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nr. ________</w:t>
      </w:r>
    </w:p>
    <w:p w:rsidR="00F22AB9" w:rsidRPr="00CC5DD0" w:rsidRDefault="00F22AB9" w:rsidP="002A075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CC5DD0">
        <w:rPr>
          <w:rFonts w:ascii="Times New Roman" w:hAnsi="Times New Roman" w:cs="Times New Roman"/>
          <w:b/>
          <w:bCs/>
          <w:sz w:val="24"/>
          <w:szCs w:val="24"/>
          <w:lang w:val="ro-MD"/>
        </w:rPr>
        <w:t>din _____  _________________ 2018</w:t>
      </w:r>
    </w:p>
    <w:p w:rsidR="00F22AB9" w:rsidRPr="00CC5DD0" w:rsidRDefault="00F22AB9" w:rsidP="002A0D3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:rsidR="002A0D33" w:rsidRPr="00CC5DD0" w:rsidRDefault="00F22AB9" w:rsidP="002A0D3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CC5DD0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2A0D33" w:rsidRPr="00CC5DD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u privire la aprobarea modificărilor ce se operează în </w:t>
      </w:r>
    </w:p>
    <w:p w:rsidR="002A0D33" w:rsidRPr="00CC5DD0" w:rsidRDefault="002A0D33" w:rsidP="002A0D3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5DD0">
        <w:rPr>
          <w:rFonts w:ascii="Times New Roman" w:hAnsi="Times New Roman" w:cs="Times New Roman"/>
          <w:b/>
          <w:sz w:val="24"/>
          <w:szCs w:val="24"/>
          <w:lang w:val="ro-MD"/>
        </w:rPr>
        <w:t>unele hotărâri de Guvern</w:t>
      </w:r>
    </w:p>
    <w:p w:rsidR="002A0D33" w:rsidRPr="00CC5DD0" w:rsidRDefault="002A0D33" w:rsidP="002A0D3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22AB9" w:rsidRPr="00CC5DD0" w:rsidRDefault="002A0D33" w:rsidP="000E770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CC5DD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Guvernul</w:t>
      </w:r>
      <w:r w:rsidRPr="00CC5DD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CC5DD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HOTĂRĂŞTE:</w:t>
      </w:r>
    </w:p>
    <w:p w:rsidR="00F22AB9" w:rsidRPr="00CC5DD0" w:rsidRDefault="00F22AB9" w:rsidP="00E3207A">
      <w:pPr>
        <w:pStyle w:val="tt"/>
        <w:spacing w:after="120"/>
        <w:jc w:val="both"/>
        <w:rPr>
          <w:rStyle w:val="fontstyle21"/>
          <w:rFonts w:ascii="Times New Roman" w:hAnsi="Times New Roman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1. </w:t>
      </w:r>
      <w:r w:rsidR="00823A86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Hotărârea Guvernului </w:t>
      </w:r>
      <w:r w:rsidR="008D0349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nr. 1144/2017 </w:t>
      </w:r>
      <w:r w:rsidRPr="00CC5DD0">
        <w:rPr>
          <w:color w:val="000000"/>
          <w:lang w:val="ro-MD"/>
        </w:rPr>
        <w:t xml:space="preserve">cu privire la crearea parcului pentru tehnologia </w:t>
      </w:r>
      <w:r w:rsidR="00823A86" w:rsidRPr="00CC5DD0">
        <w:rPr>
          <w:color w:val="000000"/>
          <w:lang w:val="ro-MD"/>
        </w:rPr>
        <w:t>informației</w:t>
      </w:r>
      <w:r w:rsidRPr="00CC5DD0">
        <w:rPr>
          <w:color w:val="000000"/>
          <w:lang w:val="ro-MD"/>
        </w:rPr>
        <w:t xml:space="preserve"> „Moldova IT </w:t>
      </w:r>
      <w:proofErr w:type="spellStart"/>
      <w:r w:rsidRPr="00CC5DD0">
        <w:rPr>
          <w:color w:val="000000"/>
          <w:lang w:val="ro-MD"/>
        </w:rPr>
        <w:t>park</w:t>
      </w:r>
      <w:proofErr w:type="spellEnd"/>
      <w:r w:rsidRPr="00CC5DD0">
        <w:rPr>
          <w:color w:val="000000"/>
          <w:lang w:val="ro-MD"/>
        </w:rPr>
        <w:t>”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</w:t>
      </w:r>
      <w:r w:rsidR="00C4190D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(</w:t>
      </w:r>
      <w:r w:rsidR="00C4190D" w:rsidRPr="00CC5DD0">
        <w:rPr>
          <w:color w:val="000000"/>
          <w:lang w:val="ro-MD"/>
        </w:rPr>
        <w:t xml:space="preserve">Monitorul Oficial nr.451-463/1272 din 29.12.2017) 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se modifică după cum urmează:</w:t>
      </w:r>
    </w:p>
    <w:p w:rsidR="00F22AB9" w:rsidRPr="00CC5DD0" w:rsidRDefault="00823A86" w:rsidP="00E3207A">
      <w:pPr>
        <w:pStyle w:val="tt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1) </w:t>
      </w:r>
      <w:r w:rsidR="00D63E1F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În 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Anexa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nr. 1:</w:t>
      </w:r>
    </w:p>
    <w:p w:rsidR="00F22AB9" w:rsidRPr="00CC5DD0" w:rsidRDefault="00124BE2" w:rsidP="00E3207A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Punctul</w:t>
      </w:r>
      <w:r w:rsidR="004C2435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5 </w:t>
      </w:r>
      <w:r w:rsidR="004C2435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se </w:t>
      </w:r>
      <w:r w:rsidR="00E1750C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abrogă</w:t>
      </w:r>
      <w:r w:rsidR="00F817F5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.</w:t>
      </w:r>
    </w:p>
    <w:p w:rsidR="00F22AB9" w:rsidRPr="00CC5DD0" w:rsidRDefault="004C2435" w:rsidP="00E3207A">
      <w:pPr>
        <w:pStyle w:val="tt"/>
        <w:spacing w:after="120"/>
        <w:jc w:val="both"/>
        <w:rPr>
          <w:b w:val="0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La punctul 8, s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ubpunctul 13) se expune în 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următoarea redacție</w:t>
      </w:r>
      <w:r w:rsidR="00F505A1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: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„</w:t>
      </w:r>
      <w:r w:rsidR="00F22AB9" w:rsidRPr="00CC5DD0">
        <w:rPr>
          <w:b w:val="0"/>
          <w:color w:val="000000"/>
          <w:lang w:val="ro-MD"/>
        </w:rPr>
        <w:t xml:space="preserve">stabilește indicatorii </w:t>
      </w:r>
      <w:r w:rsidR="00724A1D" w:rsidRPr="00CC5DD0">
        <w:rPr>
          <w:b w:val="0"/>
          <w:color w:val="000000"/>
          <w:lang w:val="ro-MD"/>
        </w:rPr>
        <w:t xml:space="preserve">în vederea efectuării </w:t>
      </w:r>
      <w:r w:rsidR="00F22AB9" w:rsidRPr="00CC5DD0">
        <w:rPr>
          <w:b w:val="0"/>
          <w:color w:val="000000"/>
          <w:lang w:val="ro-MD"/>
        </w:rPr>
        <w:t xml:space="preserve">verificării </w:t>
      </w:r>
      <w:r w:rsidR="00724A1D" w:rsidRPr="00CC5DD0">
        <w:rPr>
          <w:b w:val="0"/>
          <w:color w:val="000000"/>
          <w:lang w:val="ro-MD"/>
        </w:rPr>
        <w:t xml:space="preserve">anuale a activității rezidenților Parcului, în conformitate cu prevederile </w:t>
      </w:r>
      <w:r w:rsidR="00FD6930" w:rsidRPr="00CC5DD0">
        <w:rPr>
          <w:b w:val="0"/>
          <w:color w:val="000000"/>
          <w:lang w:val="ro-MD"/>
        </w:rPr>
        <w:t>Legii nr.</w:t>
      </w:r>
      <w:r w:rsidR="00724A1D" w:rsidRPr="00CC5DD0">
        <w:rPr>
          <w:b w:val="0"/>
          <w:color w:val="000000"/>
          <w:lang w:val="ro-MD"/>
        </w:rPr>
        <w:t xml:space="preserve"> 77/2016;</w:t>
      </w:r>
      <w:r w:rsidR="00F22AB9" w:rsidRPr="00CC5DD0">
        <w:rPr>
          <w:b w:val="0"/>
          <w:lang w:val="ro-MD"/>
        </w:rPr>
        <w:t>”</w:t>
      </w:r>
    </w:p>
    <w:p w:rsidR="000D6E67" w:rsidRPr="00CC5DD0" w:rsidRDefault="00F505A1" w:rsidP="00E3207A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La p</w:t>
      </w:r>
      <w:r w:rsidR="000D6E67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unctul 8, subpunctul 16) se expune în 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următoarea </w:t>
      </w:r>
      <w:r w:rsidR="000D6E67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redacție</w:t>
      </w:r>
      <w:r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:</w:t>
      </w:r>
      <w:r w:rsidR="000D6E67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„contribuie la implementarea proiectelor de dezvoltare a industriei și educației în domeniul tehnologiei informației.”</w:t>
      </w:r>
    </w:p>
    <w:p w:rsidR="00F22AB9" w:rsidRPr="00CC5DD0" w:rsidRDefault="00F22AB9" w:rsidP="00E3207A">
      <w:pPr>
        <w:pStyle w:val="tt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Punctul 11 </w:t>
      </w:r>
      <w:r w:rsidR="00FD6930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va avea următorul cuprins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:</w:t>
      </w:r>
    </w:p>
    <w:p w:rsidR="00C61056" w:rsidRPr="00CC5DD0" w:rsidRDefault="00F22AB9" w:rsidP="00F00DF9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b w:val="0"/>
          <w:color w:val="000000"/>
          <w:lang w:val="ro-MD"/>
        </w:rPr>
        <w:t xml:space="preserve">„11. </w:t>
      </w:r>
      <w:r w:rsidR="00FD6930" w:rsidRPr="00CC5DD0">
        <w:rPr>
          <w:b w:val="0"/>
          <w:color w:val="000000"/>
          <w:lang w:val="ro-MD"/>
        </w:rPr>
        <w:t>Administrația</w:t>
      </w:r>
      <w:r w:rsidRPr="00CC5DD0">
        <w:rPr>
          <w:b w:val="0"/>
          <w:color w:val="000000"/>
          <w:lang w:val="ro-MD"/>
        </w:rPr>
        <w:t xml:space="preserve"> </w:t>
      </w:r>
      <w:r w:rsidR="00FD6930" w:rsidRPr="00CC5DD0">
        <w:rPr>
          <w:b w:val="0"/>
          <w:color w:val="000000"/>
          <w:lang w:val="ro-MD"/>
        </w:rPr>
        <w:t xml:space="preserve">Parcului </w:t>
      </w:r>
      <w:r w:rsidRPr="00CC5DD0">
        <w:rPr>
          <w:b w:val="0"/>
          <w:color w:val="000000"/>
          <w:lang w:val="ro-MD"/>
        </w:rPr>
        <w:t xml:space="preserve">convoacă adunarea </w:t>
      </w:r>
      <w:r w:rsidR="001231C0" w:rsidRPr="00CC5DD0">
        <w:rPr>
          <w:b w:val="0"/>
          <w:color w:val="000000"/>
          <w:lang w:val="ro-MD"/>
        </w:rPr>
        <w:t>rezidenților</w:t>
      </w:r>
      <w:r w:rsidRPr="00CC5DD0">
        <w:rPr>
          <w:b w:val="0"/>
          <w:color w:val="000000"/>
          <w:lang w:val="ro-MD"/>
        </w:rPr>
        <w:t xml:space="preserve"> Parcului pentru coordonarea chestiunilor generale privind administrarea Parcului, cu un preaviz </w:t>
      </w:r>
      <w:r w:rsidR="00FB4BC0" w:rsidRPr="00CC5DD0">
        <w:rPr>
          <w:b w:val="0"/>
          <w:color w:val="000000"/>
          <w:lang w:val="ro-MD"/>
        </w:rPr>
        <w:t>expediat prin poșta electronică</w:t>
      </w:r>
      <w:r w:rsidRPr="00CC5DD0">
        <w:rPr>
          <w:b w:val="0"/>
          <w:color w:val="000000"/>
          <w:lang w:val="ro-MD"/>
        </w:rPr>
        <w:t xml:space="preserve">, cu cel </w:t>
      </w:r>
      <w:r w:rsidR="001231C0" w:rsidRPr="00CC5DD0">
        <w:rPr>
          <w:b w:val="0"/>
          <w:color w:val="000000"/>
          <w:lang w:val="ro-MD"/>
        </w:rPr>
        <w:t>puțin</w:t>
      </w:r>
      <w:r w:rsidRPr="00CC5DD0">
        <w:rPr>
          <w:b w:val="0"/>
          <w:color w:val="000000"/>
          <w:lang w:val="ro-MD"/>
        </w:rPr>
        <w:t xml:space="preserve"> 10 zile înainte, care să </w:t>
      </w:r>
      <w:r w:rsidR="001231C0" w:rsidRPr="00CC5DD0">
        <w:rPr>
          <w:b w:val="0"/>
          <w:color w:val="000000"/>
          <w:lang w:val="ro-MD"/>
        </w:rPr>
        <w:t>conțină</w:t>
      </w:r>
      <w:r w:rsidRPr="00CC5DD0">
        <w:rPr>
          <w:b w:val="0"/>
          <w:color w:val="000000"/>
          <w:lang w:val="ro-MD"/>
        </w:rPr>
        <w:t xml:space="preserve"> data, ora, locul şi ordinea de zi a adunării, cu anexarea materialelor pentru ordinea de zi. Adunarea </w:t>
      </w:r>
      <w:r w:rsidR="00663849" w:rsidRPr="00CC5DD0">
        <w:rPr>
          <w:b w:val="0"/>
          <w:color w:val="000000"/>
          <w:lang w:val="ro-MD"/>
        </w:rPr>
        <w:t>se desfășoară</w:t>
      </w:r>
      <w:r w:rsidRPr="00CC5DD0">
        <w:rPr>
          <w:b w:val="0"/>
          <w:color w:val="000000"/>
          <w:lang w:val="ro-MD"/>
        </w:rPr>
        <w:t xml:space="preserve"> cu </w:t>
      </w:r>
      <w:r w:rsidR="001231C0" w:rsidRPr="00CC5DD0">
        <w:rPr>
          <w:b w:val="0"/>
          <w:color w:val="000000"/>
          <w:lang w:val="ro-MD"/>
        </w:rPr>
        <w:t>prezența</w:t>
      </w:r>
      <w:r w:rsidRPr="00CC5DD0">
        <w:rPr>
          <w:b w:val="0"/>
          <w:color w:val="000000"/>
          <w:lang w:val="ro-MD"/>
        </w:rPr>
        <w:t xml:space="preserve"> </w:t>
      </w:r>
      <w:r w:rsidR="001231C0" w:rsidRPr="00CC5DD0">
        <w:rPr>
          <w:b w:val="0"/>
          <w:color w:val="000000"/>
          <w:lang w:val="ro-MD"/>
        </w:rPr>
        <w:t>reprezentanților</w:t>
      </w:r>
      <w:r w:rsidRPr="00CC5DD0">
        <w:rPr>
          <w:b w:val="0"/>
          <w:color w:val="000000"/>
          <w:lang w:val="ro-MD"/>
        </w:rPr>
        <w:t xml:space="preserve"> </w:t>
      </w:r>
      <w:r w:rsidR="001231C0" w:rsidRPr="00CC5DD0">
        <w:rPr>
          <w:b w:val="0"/>
          <w:color w:val="000000"/>
          <w:lang w:val="ro-MD"/>
        </w:rPr>
        <w:t>rezidenților</w:t>
      </w:r>
      <w:r w:rsidRPr="00CC5DD0">
        <w:rPr>
          <w:b w:val="0"/>
          <w:color w:val="000000"/>
          <w:lang w:val="ro-MD"/>
        </w:rPr>
        <w:t xml:space="preserve"> Parcului, </w:t>
      </w:r>
      <w:r w:rsidR="00806EA9" w:rsidRPr="00CC5DD0">
        <w:rPr>
          <w:b w:val="0"/>
          <w:color w:val="000000"/>
          <w:lang w:val="ro-MD"/>
        </w:rPr>
        <w:t xml:space="preserve">precum și </w:t>
      </w:r>
      <w:r w:rsidR="00E433CC" w:rsidRPr="00CC5DD0">
        <w:rPr>
          <w:b w:val="0"/>
          <w:color w:val="000000"/>
          <w:lang w:val="ro-MD"/>
        </w:rPr>
        <w:t xml:space="preserve">prin </w:t>
      </w:r>
      <w:r w:rsidR="00806EA9" w:rsidRPr="00CC5DD0">
        <w:rPr>
          <w:b w:val="0"/>
          <w:color w:val="000000"/>
          <w:lang w:val="ro-MD"/>
        </w:rPr>
        <w:t>reprezentarea la distanță</w:t>
      </w:r>
      <w:r w:rsidR="001231C0" w:rsidRPr="00CC5DD0">
        <w:rPr>
          <w:b w:val="0"/>
          <w:color w:val="000000"/>
          <w:lang w:val="ro-MD"/>
        </w:rPr>
        <w:t xml:space="preserve">, cu utilizarea </w:t>
      </w:r>
      <w:r w:rsidR="00C1271D" w:rsidRPr="00CC5DD0">
        <w:rPr>
          <w:b w:val="0"/>
          <w:color w:val="000000"/>
          <w:lang w:val="ro-MD"/>
        </w:rPr>
        <w:t>aplicației</w:t>
      </w:r>
      <w:r w:rsidR="001231C0" w:rsidRPr="00CC5DD0">
        <w:rPr>
          <w:b w:val="0"/>
          <w:color w:val="000000"/>
          <w:lang w:val="ro-MD"/>
        </w:rPr>
        <w:t xml:space="preserve"> software speciale</w:t>
      </w:r>
      <w:r w:rsidRPr="00CC5DD0">
        <w:rPr>
          <w:b w:val="0"/>
          <w:color w:val="000000"/>
          <w:lang w:val="ro-MD"/>
        </w:rPr>
        <w:t>.</w:t>
      </w:r>
      <w:r w:rsidR="000F321F" w:rsidRPr="00CC5DD0">
        <w:rPr>
          <w:b w:val="0"/>
          <w:color w:val="000000"/>
          <w:lang w:val="ro-MD"/>
        </w:rPr>
        <w:t xml:space="preserve"> Adunarea se consideră deliberativă, dacă la această participă</w:t>
      </w:r>
      <w:r w:rsidR="000571B2" w:rsidRPr="00CC5DD0">
        <w:rPr>
          <w:b w:val="0"/>
          <w:color w:val="000000"/>
          <w:lang w:val="ro-MD"/>
        </w:rPr>
        <w:t>, inclusiv la distanță,</w:t>
      </w:r>
      <w:r w:rsidR="000F321F" w:rsidRPr="00CC5DD0">
        <w:rPr>
          <w:b w:val="0"/>
          <w:color w:val="000000"/>
          <w:lang w:val="ro-MD"/>
        </w:rPr>
        <w:t xml:space="preserve"> reprezentanții a cel puțin </w:t>
      </w:r>
      <w:r w:rsidR="00921DDB" w:rsidRPr="00CC5DD0">
        <w:rPr>
          <w:b w:val="0"/>
          <w:color w:val="000000"/>
          <w:lang w:val="ro-MD"/>
        </w:rPr>
        <w:t>25</w:t>
      </w:r>
      <w:r w:rsidR="000F321F" w:rsidRPr="00CC5DD0">
        <w:rPr>
          <w:b w:val="0"/>
          <w:lang w:val="ro-MD"/>
        </w:rPr>
        <w:t xml:space="preserve">% </w:t>
      </w:r>
      <w:r w:rsidR="000F321F" w:rsidRPr="00CC5DD0">
        <w:rPr>
          <w:b w:val="0"/>
          <w:color w:val="000000"/>
          <w:lang w:val="ro-MD"/>
        </w:rPr>
        <w:t>din numărul</w:t>
      </w:r>
      <w:r w:rsidR="000571B2" w:rsidRPr="00CC5DD0">
        <w:rPr>
          <w:b w:val="0"/>
          <w:color w:val="000000"/>
          <w:lang w:val="ro-MD"/>
        </w:rPr>
        <w:t xml:space="preserve"> total al rezidenților.</w:t>
      </w:r>
      <w:r w:rsidRPr="00CC5DD0">
        <w:rPr>
          <w:b w:val="0"/>
          <w:color w:val="000000"/>
          <w:lang w:val="ro-MD"/>
        </w:rPr>
        <w:t xml:space="preserve"> Orice decizie a adunării </w:t>
      </w:r>
      <w:r w:rsidR="001231C0" w:rsidRPr="00CC5DD0">
        <w:rPr>
          <w:b w:val="0"/>
          <w:color w:val="000000"/>
          <w:lang w:val="ro-MD"/>
        </w:rPr>
        <w:t>rezidenților</w:t>
      </w:r>
      <w:r w:rsidRPr="00CC5DD0">
        <w:rPr>
          <w:b w:val="0"/>
          <w:color w:val="000000"/>
          <w:lang w:val="ro-MD"/>
        </w:rPr>
        <w:t xml:space="preserve"> Parcului se aprobă cu votul</w:t>
      </w:r>
      <w:r w:rsidR="00867A86" w:rsidRPr="00CC5DD0">
        <w:rPr>
          <w:b w:val="0"/>
          <w:color w:val="000000"/>
          <w:lang w:val="ro-MD"/>
        </w:rPr>
        <w:t>, inclusiv votul la distanță,</w:t>
      </w:r>
      <w:r w:rsidRPr="00CC5DD0">
        <w:rPr>
          <w:b w:val="0"/>
          <w:color w:val="000000"/>
          <w:lang w:val="ro-MD"/>
        </w:rPr>
        <w:t xml:space="preserve"> a cel </w:t>
      </w:r>
      <w:r w:rsidR="001231C0" w:rsidRPr="00CC5DD0">
        <w:rPr>
          <w:b w:val="0"/>
          <w:color w:val="000000"/>
          <w:lang w:val="ro-MD"/>
        </w:rPr>
        <w:t>puțin</w:t>
      </w:r>
      <w:r w:rsidRPr="00CC5DD0">
        <w:rPr>
          <w:b w:val="0"/>
          <w:color w:val="000000"/>
          <w:lang w:val="ro-MD"/>
        </w:rPr>
        <w:t xml:space="preserve"> 50</w:t>
      </w:r>
      <w:r w:rsidR="00BA0D4F" w:rsidRPr="00CC5DD0">
        <w:rPr>
          <w:b w:val="0"/>
          <w:color w:val="000000"/>
          <w:lang w:val="ro-MD"/>
        </w:rPr>
        <w:t>%</w:t>
      </w:r>
      <w:r w:rsidR="00201C51" w:rsidRPr="00CC5DD0">
        <w:rPr>
          <w:b w:val="0"/>
          <w:color w:val="000000"/>
          <w:lang w:val="ro-MD"/>
        </w:rPr>
        <w:t>+1</w:t>
      </w:r>
      <w:r w:rsidRPr="00CC5DD0">
        <w:rPr>
          <w:b w:val="0"/>
          <w:color w:val="000000"/>
          <w:lang w:val="ro-MD"/>
        </w:rPr>
        <w:t xml:space="preserve"> din numărul participanților</w:t>
      </w:r>
      <w:r w:rsidR="00BA0D4F" w:rsidRPr="00CC5DD0">
        <w:rPr>
          <w:b w:val="0"/>
          <w:color w:val="000000"/>
          <w:lang w:val="ro-MD"/>
        </w:rPr>
        <w:t xml:space="preserve"> la adunare</w:t>
      </w:r>
      <w:r w:rsidRPr="00CC5DD0">
        <w:rPr>
          <w:b w:val="0"/>
          <w:color w:val="000000"/>
          <w:lang w:val="ro-MD"/>
        </w:rPr>
        <w:t>.</w:t>
      </w:r>
      <w:r w:rsidR="00202FC5" w:rsidRPr="00CC5DD0">
        <w:rPr>
          <w:b w:val="0"/>
          <w:color w:val="000000"/>
          <w:lang w:val="ro-MD"/>
        </w:rPr>
        <w:t xml:space="preserve"> </w:t>
      </w:r>
      <w:r w:rsidR="000D19DB" w:rsidRPr="00CC5DD0">
        <w:rPr>
          <w:b w:val="0"/>
          <w:color w:val="000000"/>
          <w:lang w:val="ro-MD"/>
        </w:rPr>
        <w:t xml:space="preserve">Rezultatele adunării rezidenţilor Parcului se consemnează într-un proces verbal, semnat de către președintele și secretarul adunării, precum și de către </w:t>
      </w:r>
      <w:r w:rsidR="00AB1F15" w:rsidRPr="00CC5DD0">
        <w:rPr>
          <w:b w:val="0"/>
          <w:color w:val="000000"/>
          <w:lang w:val="ro-MD"/>
        </w:rPr>
        <w:t xml:space="preserve">cel puțin 3 </w:t>
      </w:r>
      <w:r w:rsidR="005D53F6" w:rsidRPr="00CC5DD0">
        <w:rPr>
          <w:b w:val="0"/>
          <w:color w:val="000000"/>
          <w:lang w:val="ro-MD"/>
        </w:rPr>
        <w:t>participanți la adunare</w:t>
      </w:r>
      <w:r w:rsidR="00AB1F15" w:rsidRPr="00CC5DD0">
        <w:rPr>
          <w:b w:val="0"/>
          <w:color w:val="000000"/>
          <w:lang w:val="ro-MD"/>
        </w:rPr>
        <w:t xml:space="preserve">. </w:t>
      </w:r>
      <w:r w:rsidR="000D19DB" w:rsidRPr="00CC5DD0">
        <w:rPr>
          <w:b w:val="0"/>
          <w:lang w:val="ro-MD"/>
        </w:rPr>
        <w:t xml:space="preserve">Procesul verbal </w:t>
      </w:r>
      <w:r w:rsidR="00202FC5" w:rsidRPr="00CC5DD0">
        <w:rPr>
          <w:b w:val="0"/>
          <w:lang w:val="ro-MD"/>
        </w:rPr>
        <w:t>al adunării este</w:t>
      </w:r>
      <w:r w:rsidR="000D19DB" w:rsidRPr="00CC5DD0">
        <w:rPr>
          <w:b w:val="0"/>
          <w:lang w:val="ro-MD"/>
        </w:rPr>
        <w:t xml:space="preserve"> expediat</w:t>
      </w:r>
      <w:r w:rsidR="00202FC5" w:rsidRPr="00CC5DD0">
        <w:rPr>
          <w:b w:val="0"/>
          <w:lang w:val="ro-MD"/>
        </w:rPr>
        <w:t xml:space="preserve"> prin </w:t>
      </w:r>
      <w:r w:rsidR="00AA64B6" w:rsidRPr="00CC5DD0">
        <w:rPr>
          <w:b w:val="0"/>
          <w:lang w:val="ro-MD"/>
        </w:rPr>
        <w:t>poșta electronică</w:t>
      </w:r>
      <w:r w:rsidR="000D19DB" w:rsidRPr="00CC5DD0">
        <w:rPr>
          <w:b w:val="0"/>
          <w:lang w:val="ro-MD"/>
        </w:rPr>
        <w:t xml:space="preserve"> fiec</w:t>
      </w:r>
      <w:r w:rsidR="005D53F6" w:rsidRPr="00CC5DD0">
        <w:rPr>
          <w:b w:val="0"/>
          <w:lang w:val="ro-MD"/>
        </w:rPr>
        <w:t>ă</w:t>
      </w:r>
      <w:r w:rsidR="000D19DB" w:rsidRPr="00CC5DD0">
        <w:rPr>
          <w:b w:val="0"/>
          <w:lang w:val="ro-MD"/>
        </w:rPr>
        <w:t xml:space="preserve">rui </w:t>
      </w:r>
      <w:r w:rsidR="005307FA" w:rsidRPr="00CC5DD0">
        <w:rPr>
          <w:b w:val="0"/>
          <w:lang w:val="ro-MD"/>
        </w:rPr>
        <w:t>r</w:t>
      </w:r>
      <w:r w:rsidR="000D19DB" w:rsidRPr="00CC5DD0">
        <w:rPr>
          <w:b w:val="0"/>
          <w:lang w:val="ro-MD"/>
        </w:rPr>
        <w:t>ezident.</w:t>
      </w:r>
      <w:r w:rsidRPr="00CC5DD0">
        <w:rPr>
          <w:b w:val="0"/>
          <w:color w:val="000000"/>
          <w:lang w:val="ro-MD"/>
        </w:rPr>
        <w:t>”</w:t>
      </w:r>
    </w:p>
    <w:p w:rsidR="00F22AB9" w:rsidRPr="00CC5DD0" w:rsidRDefault="0048127E" w:rsidP="00CC5DD0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La p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unctul 19 </w:t>
      </w:r>
      <w:r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cuvintele „</w:t>
      </w:r>
      <w:r w:rsidRPr="0048127E">
        <w:rPr>
          <w:b w:val="0"/>
          <w:color w:val="000000"/>
          <w:lang w:val="ro-MD"/>
        </w:rPr>
        <w:t>inclusiv raportul auditorului</w:t>
      </w:r>
      <w:r>
        <w:rPr>
          <w:b w:val="0"/>
          <w:color w:val="000000"/>
          <w:lang w:val="ro-MD"/>
        </w:rPr>
        <w:t>” se exclud.</w:t>
      </w:r>
    </w:p>
    <w:p w:rsidR="00F22AB9" w:rsidRPr="00CC5DD0" w:rsidRDefault="006F4B6E" w:rsidP="00E3207A">
      <w:pPr>
        <w:pStyle w:val="tt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2) În 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Anexa nr. 2:</w:t>
      </w:r>
    </w:p>
    <w:p w:rsidR="00EE3593" w:rsidRPr="00CC5DD0" w:rsidRDefault="00EE3593" w:rsidP="00E3207A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La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punctul 11 </w:t>
      </w:r>
      <w:proofErr w:type="spellStart"/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cuvîntul</w:t>
      </w:r>
      <w:proofErr w:type="spellEnd"/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</w:t>
      </w:r>
      <w:r w:rsidR="00F22AB9" w:rsidRPr="00CC5DD0">
        <w:rPr>
          <w:b w:val="0"/>
          <w:color w:val="000000"/>
          <w:lang w:val="ro-MD"/>
        </w:rPr>
        <w:t>„calendaristice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” se substituie cu </w:t>
      </w:r>
      <w:r w:rsidR="00F22AB9" w:rsidRPr="00CC5DD0">
        <w:rPr>
          <w:b w:val="0"/>
          <w:color w:val="000000"/>
          <w:lang w:val="ro-MD"/>
        </w:rPr>
        <w:t>„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lucrătoare”.</w:t>
      </w:r>
    </w:p>
    <w:p w:rsidR="00DE77F2" w:rsidRPr="00CC5DD0" w:rsidRDefault="00C45A7C" w:rsidP="00E3207A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La punctele</w:t>
      </w:r>
      <w:r w:rsidR="00DE77F2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18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și 19 </w:t>
      </w:r>
      <w:proofErr w:type="spellStart"/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cuvîntul</w:t>
      </w:r>
      <w:proofErr w:type="spellEnd"/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„vamal” se exclude.</w:t>
      </w:r>
    </w:p>
    <w:p w:rsidR="00F22AB9" w:rsidRPr="00CC5DD0" w:rsidRDefault="00EE3593" w:rsidP="00E3207A">
      <w:pPr>
        <w:pStyle w:val="tt"/>
        <w:spacing w:after="120"/>
        <w:jc w:val="both"/>
        <w:rPr>
          <w:b w:val="0"/>
          <w:color w:val="000000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La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punctul 18 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sintagma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</w:t>
      </w:r>
      <w:r w:rsidR="00F22AB9" w:rsidRPr="00CC5DD0">
        <w:rPr>
          <w:b w:val="0"/>
          <w:color w:val="000000"/>
          <w:lang w:val="ro-MD"/>
        </w:rPr>
        <w:t>„După informarea tuturor organelor indicate mai sus, Administrația este obligată să informeze în scris rezidentul cu anexarea dovezilor de expediere</w:t>
      </w:r>
      <w:r w:rsidR="00B701FF">
        <w:rPr>
          <w:b w:val="0"/>
          <w:color w:val="000000"/>
          <w:lang w:val="ro-MD"/>
        </w:rPr>
        <w:t xml:space="preserve"> </w:t>
      </w:r>
      <w:r w:rsidR="00F22AB9" w:rsidRPr="00CC5DD0">
        <w:rPr>
          <w:b w:val="0"/>
          <w:color w:val="000000"/>
          <w:lang w:val="ro-MD"/>
        </w:rPr>
        <w:t>a informației către autoritățile respective.” se exclude.</w:t>
      </w:r>
    </w:p>
    <w:p w:rsidR="00F22AB9" w:rsidRPr="00CC5DD0" w:rsidRDefault="00EE3593" w:rsidP="00E3207A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3) În </w:t>
      </w:r>
      <w:r w:rsidRPr="00CC5DD0">
        <w:rPr>
          <w:b w:val="0"/>
          <w:color w:val="000000"/>
          <w:lang w:val="ro-MD"/>
        </w:rPr>
        <w:t>Anexă</w:t>
      </w:r>
      <w:r w:rsidR="00B6133B" w:rsidRPr="00CC5DD0">
        <w:rPr>
          <w:b w:val="0"/>
          <w:color w:val="000000"/>
          <w:lang w:val="ro-MD"/>
        </w:rPr>
        <w:t xml:space="preserve"> (C</w:t>
      </w:r>
      <w:r w:rsidR="00F22AB9" w:rsidRPr="00CC5DD0">
        <w:rPr>
          <w:b w:val="0"/>
          <w:color w:val="000000"/>
          <w:lang w:val="ro-MD"/>
        </w:rPr>
        <w:t xml:space="preserve">ontract) la Regulamentul de înregistrare a </w:t>
      </w:r>
      <w:r w:rsidRPr="00CC5DD0">
        <w:rPr>
          <w:b w:val="0"/>
          <w:color w:val="000000"/>
          <w:lang w:val="ro-MD"/>
        </w:rPr>
        <w:t>rezidenților</w:t>
      </w:r>
      <w:r w:rsidR="00F22AB9" w:rsidRPr="00CC5DD0">
        <w:rPr>
          <w:b w:val="0"/>
          <w:color w:val="000000"/>
          <w:lang w:val="ro-MD"/>
        </w:rPr>
        <w:t xml:space="preserve"> parcului pentru tehnologia informației „Moldova IT </w:t>
      </w:r>
      <w:proofErr w:type="spellStart"/>
      <w:r w:rsidR="00F22AB9" w:rsidRPr="00CC5DD0">
        <w:rPr>
          <w:b w:val="0"/>
          <w:color w:val="000000"/>
          <w:lang w:val="ro-MD"/>
        </w:rPr>
        <w:t>park</w:t>
      </w:r>
      <w:proofErr w:type="spellEnd"/>
      <w:r w:rsidR="00F22AB9" w:rsidRPr="00CC5DD0">
        <w:rPr>
          <w:b w:val="0"/>
          <w:color w:val="000000"/>
          <w:lang w:val="ro-MD"/>
        </w:rPr>
        <w:t xml:space="preserve">”: </w:t>
      </w:r>
    </w:p>
    <w:p w:rsidR="00C45A7C" w:rsidRPr="00CC5DD0" w:rsidRDefault="00C45A7C" w:rsidP="00E3207A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La subpunctul 2.2.2. </w:t>
      </w:r>
      <w:proofErr w:type="spellStart"/>
      <w:r w:rsidRPr="00CC5DD0">
        <w:rPr>
          <w:b w:val="0"/>
          <w:color w:val="000000"/>
          <w:lang w:val="ro-MD"/>
        </w:rPr>
        <w:t>cuvîntul</w:t>
      </w:r>
      <w:proofErr w:type="spellEnd"/>
      <w:r w:rsidRPr="00CC5DD0">
        <w:rPr>
          <w:b w:val="0"/>
          <w:color w:val="000000"/>
          <w:lang w:val="ro-MD"/>
        </w:rPr>
        <w:t xml:space="preserve"> „vamal” se exclude.</w:t>
      </w:r>
    </w:p>
    <w:p w:rsidR="00773697" w:rsidRPr="00CC5DD0" w:rsidRDefault="00EE3593" w:rsidP="00E3207A">
      <w:pPr>
        <w:pStyle w:val="tt"/>
        <w:spacing w:after="120"/>
        <w:jc w:val="both"/>
        <w:rPr>
          <w:b w:val="0"/>
          <w:color w:val="000000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La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subpunctul 2.2.2. 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sintagma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</w:t>
      </w:r>
      <w:r w:rsidR="00F22AB9" w:rsidRPr="00CC5DD0">
        <w:rPr>
          <w:b w:val="0"/>
          <w:color w:val="000000"/>
          <w:lang w:val="ro-MD"/>
        </w:rPr>
        <w:t>„</w:t>
      </w:r>
      <w:r w:rsidR="00F22AB9" w:rsidRPr="00CC5DD0">
        <w:rPr>
          <w:b w:val="0"/>
          <w:lang w:val="ro-MD" w:eastAsia="ru-RU"/>
        </w:rPr>
        <w:t>și să informeze în scris rezidentul cu anexarea dovezilor de expediere a copiilor extrasului către autoritățile menționate</w:t>
      </w:r>
      <w:r w:rsidR="00F22AB9" w:rsidRPr="00CC5DD0">
        <w:rPr>
          <w:b w:val="0"/>
          <w:color w:val="000000"/>
          <w:lang w:val="ro-MD"/>
        </w:rPr>
        <w:t>” se exclude.</w:t>
      </w:r>
    </w:p>
    <w:p w:rsidR="00F22AB9" w:rsidRPr="00CC5DD0" w:rsidRDefault="00F22AB9" w:rsidP="00E3207A">
      <w:pPr>
        <w:pStyle w:val="tt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b w:val="0"/>
          <w:color w:val="000000"/>
          <w:lang w:val="ro-MD"/>
        </w:rPr>
        <w:lastRenderedPageBreak/>
        <w:t xml:space="preserve">Subpunctul 2.4.6. </w:t>
      </w:r>
      <w:r w:rsidR="00EE3593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va avea următorul cuprins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:</w:t>
      </w:r>
    </w:p>
    <w:p w:rsidR="00F22AB9" w:rsidRPr="00CC5DD0" w:rsidRDefault="00F22AB9" w:rsidP="00866FD4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b w:val="0"/>
          <w:color w:val="000000"/>
          <w:lang w:val="ro-MD"/>
        </w:rPr>
        <w:t>„</w:t>
      </w:r>
      <w:r w:rsidRPr="00CC5DD0">
        <w:rPr>
          <w:b w:val="0"/>
          <w:lang w:val="ro-MD"/>
        </w:rPr>
        <w:t xml:space="preserve">să creeze condițiile necesare pentru efectuarea </w:t>
      </w:r>
      <w:r w:rsidRPr="00CC5DD0">
        <w:rPr>
          <w:b w:val="0"/>
          <w:color w:val="000000"/>
          <w:lang w:val="ro-MD"/>
        </w:rPr>
        <w:t xml:space="preserve">verificării în vederea </w:t>
      </w:r>
      <w:r w:rsidRPr="00CC5DD0">
        <w:rPr>
          <w:b w:val="0"/>
          <w:lang w:val="ro-MD"/>
        </w:rPr>
        <w:t>îndeplinirii indicatorilor necesari pentru menținerea statutului rezidentului parcului pentru tehnologia informației, în conformi</w:t>
      </w:r>
      <w:r w:rsidR="00EE3593" w:rsidRPr="00CC5DD0">
        <w:rPr>
          <w:b w:val="0"/>
          <w:lang w:val="ro-MD"/>
        </w:rPr>
        <w:t>tate cu art. 18 din Legea nr.77/</w:t>
      </w:r>
      <w:r w:rsidRPr="00CC5DD0">
        <w:rPr>
          <w:b w:val="0"/>
          <w:lang w:val="ro-MD"/>
        </w:rPr>
        <w:t>2016 cu privire la parcurile pentru tehnologia informației;</w:t>
      </w:r>
      <w:r w:rsidRPr="00CC5DD0">
        <w:rPr>
          <w:b w:val="0"/>
          <w:color w:val="000000"/>
          <w:lang w:val="ro-MD"/>
        </w:rPr>
        <w:t>”</w:t>
      </w:r>
    </w:p>
    <w:p w:rsidR="00EE3593" w:rsidRPr="00CC5DD0" w:rsidRDefault="00EE3593" w:rsidP="00866FD4">
      <w:pPr>
        <w:widowControl w:val="0"/>
        <w:shd w:val="clear" w:color="auto" w:fill="FFFFFF"/>
        <w:tabs>
          <w:tab w:val="left" w:pos="720"/>
          <w:tab w:val="left" w:pos="810"/>
        </w:tabs>
        <w:autoSpaceDE w:val="0"/>
        <w:autoSpaceDN w:val="0"/>
        <w:adjustRightInd w:val="0"/>
        <w:spacing w:after="120" w:line="24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 xml:space="preserve">La punctul 3.4. cuvintele  </w:t>
      </w:r>
      <w:r w:rsidRPr="00CC5DD0">
        <w:rPr>
          <w:rFonts w:ascii="Times New Roman" w:hAnsi="Times New Roman" w:cs="Times New Roman"/>
          <w:color w:val="000000"/>
          <w:sz w:val="24"/>
          <w:szCs w:val="24"/>
          <w:lang w:val="ro-MD"/>
        </w:rPr>
        <w:t>„</w:t>
      </w:r>
      <w:r w:rsidR="0038038F" w:rsidRPr="00CC5DD0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în decurs de 5 zile lucrătoare, în baza unui aviz primit de la Administrație,</w:t>
      </w:r>
      <w:r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 xml:space="preserve">” se </w:t>
      </w:r>
      <w:r w:rsidR="00201C51"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>exclud</w:t>
      </w:r>
      <w:r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>.</w:t>
      </w:r>
    </w:p>
    <w:p w:rsidR="00F22AB9" w:rsidRPr="00CC5DD0" w:rsidRDefault="00EE3593" w:rsidP="00E3207A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La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punctul 3.5. </w:t>
      </w: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sintagma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</w:t>
      </w:r>
      <w:r w:rsidR="00F22AB9" w:rsidRPr="00CC5DD0">
        <w:rPr>
          <w:b w:val="0"/>
          <w:color w:val="000000"/>
          <w:lang w:val="ro-MD"/>
        </w:rPr>
        <w:t>„</w:t>
      </w:r>
      <w:r w:rsidR="00F22AB9" w:rsidRPr="00CC5DD0">
        <w:rPr>
          <w:b w:val="0"/>
          <w:lang w:val="ro-MD" w:eastAsia="ru-RU"/>
        </w:rPr>
        <w:t>În afara cazului prevăzut la pct. 3.3 din prezentul contract,</w:t>
      </w:r>
      <w:r w:rsidR="00F22AB9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” se exclude.</w:t>
      </w:r>
    </w:p>
    <w:p w:rsidR="00C45A7C" w:rsidRPr="00CC5DD0" w:rsidRDefault="00C45A7C" w:rsidP="00E3207A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La punctul 5.4. </w:t>
      </w:r>
      <w:proofErr w:type="spellStart"/>
      <w:r w:rsidRPr="00CC5DD0">
        <w:rPr>
          <w:b w:val="0"/>
          <w:color w:val="000000"/>
          <w:lang w:val="ro-MD"/>
        </w:rPr>
        <w:t>cuvîntul</w:t>
      </w:r>
      <w:proofErr w:type="spellEnd"/>
      <w:r w:rsidRPr="00CC5DD0">
        <w:rPr>
          <w:b w:val="0"/>
          <w:color w:val="000000"/>
          <w:lang w:val="ro-MD"/>
        </w:rPr>
        <w:t xml:space="preserve"> „vamal” se exclude.</w:t>
      </w:r>
    </w:p>
    <w:p w:rsidR="00F22AB9" w:rsidRPr="00CC5DD0" w:rsidRDefault="00EE3593" w:rsidP="00E3207A">
      <w:pPr>
        <w:pStyle w:val="tt"/>
        <w:spacing w:after="1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4) În Anexă (Raport) la Contract</w:t>
      </w:r>
      <w:r w:rsidR="00337B1F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ul</w:t>
      </w:r>
      <w:r w:rsidR="00B6133B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 xml:space="preserve"> cu privire la desfășurarea activității în Parcul pentru tehnologia informației „Moldova IT </w:t>
      </w:r>
      <w:proofErr w:type="spellStart"/>
      <w:r w:rsidR="00B6133B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park</w:t>
      </w:r>
      <w:proofErr w:type="spellEnd"/>
      <w:r w:rsidR="00B6133B" w:rsidRPr="00CC5DD0">
        <w:rPr>
          <w:rStyle w:val="fontstyle21"/>
          <w:rFonts w:ascii="Times New Roman" w:hAnsi="Times New Roman"/>
          <w:b w:val="0"/>
          <w:sz w:val="24"/>
          <w:szCs w:val="24"/>
          <w:lang w:val="ro-MD"/>
        </w:rPr>
        <w:t>”:</w:t>
      </w:r>
    </w:p>
    <w:p w:rsidR="00FE0609" w:rsidRPr="00CC5DD0" w:rsidRDefault="00B6133B" w:rsidP="00E3207A">
      <w:pPr>
        <w:pStyle w:val="NormalWeb"/>
        <w:spacing w:after="120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La alineatul 2, „Activitățile pe care le desfășurați în Parc</w:t>
      </w:r>
      <w:r w:rsidR="00E74491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: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”</w:t>
      </w:r>
      <w:r w:rsidR="00337B1F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se </w:t>
      </w:r>
      <w:r w:rsidR="00B5546F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exclu</w:t>
      </w:r>
      <w:r w:rsidR="0033010C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de</w:t>
      </w:r>
      <w:r w:rsidR="00FE0609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.</w:t>
      </w:r>
    </w:p>
    <w:p w:rsidR="00E74491" w:rsidRPr="00CC5DD0" w:rsidRDefault="00E74491" w:rsidP="00E3207A">
      <w:pPr>
        <w:pStyle w:val="NormalWeb"/>
        <w:spacing w:after="120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La alineatul 3, „</w:t>
      </w:r>
      <w:r w:rsidRPr="00CC5DD0">
        <w:rPr>
          <w:rFonts w:eastAsia="Calibri"/>
          <w:lang w:val="ro-MD"/>
        </w:rPr>
        <w:t>Datele de identificare ale băncii: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”</w:t>
      </w:r>
      <w:r w:rsidRPr="00CC5DD0">
        <w:rPr>
          <w:rStyle w:val="fontstyle21"/>
          <w:rFonts w:ascii="Times New Roman" w:hAnsi="Times New Roman"/>
          <w:i/>
          <w:sz w:val="24"/>
          <w:szCs w:val="24"/>
          <w:lang w:val="ro-MD"/>
        </w:rPr>
        <w:t xml:space="preserve"> 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se exc</w:t>
      </w:r>
      <w:r w:rsidR="0033010C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lude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.</w:t>
      </w:r>
    </w:p>
    <w:p w:rsidR="004B7DBE" w:rsidRPr="00CC5DD0" w:rsidRDefault="00AD2474" w:rsidP="00B63BD9">
      <w:pPr>
        <w:pStyle w:val="NormalWeb"/>
        <w:spacing w:after="120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În tabel, după </w:t>
      </w:r>
      <w:r w:rsidR="0028153C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p</w:t>
      </w:r>
      <w:r w:rsidR="0039442A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unctul </w:t>
      </w:r>
      <w:r w:rsidR="0028153C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1 se </w:t>
      </w:r>
      <w:r w:rsidR="00B63BD9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completează cu un</w:t>
      </w:r>
      <w:r w:rsidR="0028153C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</w:t>
      </w:r>
      <w:r w:rsidR="004B7DBE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p</w:t>
      </w:r>
      <w:r w:rsidR="0039442A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unctul </w:t>
      </w:r>
      <w:r w:rsidR="004B7DBE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1.1.</w:t>
      </w:r>
      <w:r w:rsidR="0028153C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cu următorul cuprins:</w:t>
      </w:r>
    </w:p>
    <w:tbl>
      <w:tblPr>
        <w:tblStyle w:val="GrilTabel3"/>
        <w:tblW w:w="9780" w:type="dxa"/>
        <w:tblLayout w:type="fixed"/>
        <w:tblLook w:val="04A0" w:firstRow="1" w:lastRow="0" w:firstColumn="1" w:lastColumn="0" w:noHBand="0" w:noVBand="1"/>
      </w:tblPr>
      <w:tblGrid>
        <w:gridCol w:w="959"/>
        <w:gridCol w:w="6506"/>
        <w:gridCol w:w="1260"/>
        <w:gridCol w:w="1055"/>
      </w:tblGrid>
      <w:tr w:rsidR="004B7DB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BE" w:rsidRPr="00CC5DD0" w:rsidRDefault="004B7DBE" w:rsidP="005313C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1.1.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BE" w:rsidRPr="00CC5DD0" w:rsidRDefault="004B7DBE" w:rsidP="005313C5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Numărul de salariați (angajați) a</w:t>
            </w:r>
            <w:r w:rsidR="001C0028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i</w:t>
            </w:r>
            <w:r w:rsidRPr="00CC5DD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căr</w:t>
            </w:r>
            <w:r w:rsidR="001C0028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or</w:t>
            </w:r>
            <w:r w:rsidRPr="00CC5DD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contract individual de muncă este suspendat.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BE" w:rsidRPr="00CC5DD0" w:rsidRDefault="004B7DBE" w:rsidP="005313C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persoane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BE" w:rsidRPr="00CC5DD0" w:rsidRDefault="004B7DBE" w:rsidP="005313C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</w:tbl>
    <w:p w:rsidR="002357BC" w:rsidRPr="00CC5DD0" w:rsidRDefault="002357BC" w:rsidP="00B164AE">
      <w:pPr>
        <w:pStyle w:val="NormalWeb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</w:p>
    <w:p w:rsidR="00711D3D" w:rsidRPr="00CC5DD0" w:rsidRDefault="002357BC" w:rsidP="005341E6">
      <w:pPr>
        <w:pStyle w:val="NormalWeb"/>
        <w:spacing w:after="120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P</w:t>
      </w:r>
      <w:r w:rsidR="009D0638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unctul 2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,</w:t>
      </w:r>
      <w:r w:rsidR="009D0638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la </w:t>
      </w:r>
      <w:r w:rsidR="005341E6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sfârșit</w:t>
      </w:r>
      <w:r w:rsidR="009D0638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de propoziție se </w:t>
      </w:r>
      <w:r w:rsidR="005341E6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completează cu</w:t>
      </w:r>
      <w:r w:rsidR="009D0638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cuv</w:t>
      </w:r>
      <w:r w:rsidR="00E63B7A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i</w:t>
      </w:r>
      <w:r w:rsidR="009D0638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nt</w:t>
      </w:r>
      <w:r w:rsidR="00E63B7A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ele</w:t>
      </w:r>
      <w:r w:rsidR="009D0638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„</w:t>
      </w:r>
      <w:r w:rsidR="00E63B7A" w:rsidRPr="00CC5DD0">
        <w:rPr>
          <w:lang w:val="ro-MD" w:eastAsia="ru-RU"/>
        </w:rPr>
        <w:t>la data prezentării raportului</w:t>
      </w:r>
      <w:r w:rsidR="009D0638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”.</w:t>
      </w:r>
    </w:p>
    <w:p w:rsidR="00FD12D8" w:rsidRPr="00CC5DD0" w:rsidRDefault="0039442A" w:rsidP="005341E6">
      <w:pPr>
        <w:pStyle w:val="NormalWeb"/>
        <w:spacing w:after="120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La </w:t>
      </w:r>
      <w:r w:rsidR="007D454B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p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unctul 5</w:t>
      </w:r>
      <w:r w:rsidR="005341E6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, 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după cuvintele „</w:t>
      </w:r>
      <w:r w:rsidR="00FD12D8" w:rsidRPr="00CC5DD0">
        <w:rPr>
          <w:lang w:val="ro-MD" w:eastAsia="ru-RU"/>
        </w:rPr>
        <w:t>Salariul mediu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” </w:t>
      </w:r>
      <w:r w:rsidR="007D454B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se adăugă </w:t>
      </w:r>
      <w:r w:rsidR="00F1332B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cuvântul</w:t>
      </w:r>
      <w:r w:rsidR="00FD12D8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„</w:t>
      </w:r>
      <w:r w:rsidR="00FD12D8" w:rsidRPr="00CC5DD0">
        <w:rPr>
          <w:lang w:val="ro-MD" w:eastAsia="ru-RU"/>
        </w:rPr>
        <w:t>lunar</w:t>
      </w:r>
      <w:r w:rsidR="00FD12D8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”.</w:t>
      </w:r>
    </w:p>
    <w:p w:rsidR="00FE0609" w:rsidRPr="00CC5DD0" w:rsidRDefault="00164C19" w:rsidP="00B63BD9">
      <w:pPr>
        <w:pStyle w:val="NormalWeb"/>
        <w:spacing w:after="120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După punctul 7.1.8. se </w:t>
      </w:r>
      <w:r w:rsidR="00B63BD9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completează cu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următorul text:</w:t>
      </w:r>
    </w:p>
    <w:tbl>
      <w:tblPr>
        <w:tblStyle w:val="GrilTabel3"/>
        <w:tblW w:w="9780" w:type="dxa"/>
        <w:tblLayout w:type="fixed"/>
        <w:tblLook w:val="04A0" w:firstRow="1" w:lastRow="0" w:firstColumn="1" w:lastColumn="0" w:noHBand="0" w:noVBand="1"/>
      </w:tblPr>
      <w:tblGrid>
        <w:gridCol w:w="959"/>
        <w:gridCol w:w="6506"/>
        <w:gridCol w:w="1260"/>
        <w:gridCol w:w="1055"/>
      </w:tblGrid>
      <w:tr w:rsidR="002F2A7E" w:rsidRPr="00F505A1" w:rsidTr="00B63BD9">
        <w:trPr>
          <w:trHeight w:val="4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bookmarkStart w:id="0" w:name="_Hlk520466629"/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7.1.9.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B63BD9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Alte forme de </w:t>
            </w:r>
            <w:r w:rsidR="00F1332B"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învățământ</w:t>
            </w: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n.c.a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 (85.59), limitate la instruirea în domeniul calculatoarelor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rPr>
          <w:trHeight w:val="6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7.1.10.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B63BD9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Activităţi de design specializat (74.10), bazate pe utilizarea echipamentelor de calcul specializate de înaltă </w:t>
            </w:r>
            <w:r w:rsidR="00F1332B"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performanță</w:t>
            </w: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7.1.11.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284"/>
                <w:tab w:val="left" w:pos="709"/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servicii de cercetare şi dezvoltare experimentală în matematică (72.19.11)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7.1.12.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servicii de cercetare şi dezvoltare experimentală în calculatoare şi ştiinţe informatice (72.19.12)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7.1.13.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servicii de cercetare şi dezvoltare experimentală în fizică (72.19.13)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7.1.14.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Cercetare-dezvoltare în alte ştiinţe naturale şi inginerie (72.19), bazată pe utilizarea echipamentelor de calcul specializate de înaltă performanţă, limitată la: servicii de cercetare şi dezvoltare </w:t>
            </w: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lastRenderedPageBreak/>
              <w:t>experimentală în nanotehnologie (72.19.21)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7.1.15.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284"/>
                <w:tab w:val="left" w:pos="709"/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alte servicii de cercetare şi dezvoltare experimentală în inginerie şi tehnologie, cu excepţia biotehnologiei (72.19.29)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7.1.16.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284"/>
                <w:tab w:val="left" w:pos="709"/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servicii de cercetare şi dezvoltare a proiectelor originale în ştiinţe naturale şi inginerie, cu excepţia biotehnologiei (72.19.50)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7.1.17.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biotehnologie (72.11), limitată la: cercetare-dezvoltare experimentală în domeniul bioinformaticii: construcţii de baze de date în geonomică, ordonare de proteine, procese complexe de modelare biologică, inclusiv sisteme biologice.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7.1.18.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Cercetare-dezvoltare în biotehnologie (72.11), limitată la: cercetare-dezvoltare experimentală în domeniul 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nanobiotehnologiei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: unelte 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şi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procese 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nano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/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microfabricaţie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folosite la 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construcţia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de dispozitive pentru studierea biosistemelor şi aplicaţiilor în medicaţie, diagnostice etc.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7.1.19.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Fabricarea componentelor electronice (module) (26.11), limitată la: fabricarea de microprocesoare.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7.1.20.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Fabricarea componentelor electronice (module) (26.11), limitată la: fabricarea de circuite integrate (analogice, digitale sau hibride).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7.1.21.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Activităţi de post-producţie cinematografică, video şi de programe de televiziune (59.12), bazate pe utilizarea echipamentelor de calcul specializate de înaltă performanţă, limitate la: servicii de obţinere de efecte speciale (59.12.14)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F2A7E" w:rsidRPr="00F505A1" w:rsidTr="00B63B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7.1.22.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Activităţi de post-producţie cinematografică, video şi de programe de televiziune (59.12), bazate pe utilizarea echipamentelor de calcul specializate de înaltă performanţă, limitate la: servicii de obţinere de filme de animaţie (59.12.15).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E" w:rsidRPr="00CC5DD0" w:rsidRDefault="002F2A7E" w:rsidP="002F2A7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bookmarkEnd w:id="0"/>
    </w:tbl>
    <w:p w:rsidR="00CC5DD0" w:rsidRDefault="00CC5DD0" w:rsidP="00E1750C">
      <w:pPr>
        <w:pStyle w:val="NormalWeb"/>
        <w:spacing w:before="120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</w:p>
    <w:p w:rsidR="00CC5DD0" w:rsidRDefault="00CC5DD0" w:rsidP="00E1750C">
      <w:pPr>
        <w:pStyle w:val="NormalWeb"/>
        <w:spacing w:before="120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</w:p>
    <w:p w:rsidR="00CC5DD0" w:rsidRDefault="00CC5DD0" w:rsidP="00E1750C">
      <w:pPr>
        <w:pStyle w:val="NormalWeb"/>
        <w:spacing w:before="120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</w:p>
    <w:p w:rsidR="002F2A7E" w:rsidRPr="00CC5DD0" w:rsidRDefault="002F2A7E" w:rsidP="00E1750C">
      <w:pPr>
        <w:pStyle w:val="NormalWeb"/>
        <w:spacing w:before="120"/>
        <w:ind w:firstLine="0"/>
        <w:rPr>
          <w:rStyle w:val="fontstyle21"/>
          <w:rFonts w:ascii="Times New Roman" w:hAnsi="Times New Roman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lastRenderedPageBreak/>
        <w:t>După punctul 7.</w:t>
      </w:r>
      <w:r w:rsidR="004A7F5C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2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.8. se </w:t>
      </w:r>
      <w:r w:rsidR="000D7CE8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completează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următorul text:</w:t>
      </w:r>
    </w:p>
    <w:p w:rsidR="004A7F5C" w:rsidRPr="00CC5DD0" w:rsidRDefault="004A7F5C" w:rsidP="002F2A7E">
      <w:pPr>
        <w:pStyle w:val="NormalWeb"/>
        <w:ind w:firstLine="720"/>
        <w:rPr>
          <w:rStyle w:val="fontstyle21"/>
          <w:rFonts w:ascii="Times New Roman" w:hAnsi="Times New Roman"/>
          <w:sz w:val="24"/>
          <w:szCs w:val="24"/>
          <w:lang w:val="ro-MD"/>
        </w:rPr>
      </w:pPr>
    </w:p>
    <w:tbl>
      <w:tblPr>
        <w:tblStyle w:val="GrilTabel3"/>
        <w:tblW w:w="9780" w:type="dxa"/>
        <w:tblLayout w:type="fixed"/>
        <w:tblLook w:val="04A0" w:firstRow="1" w:lastRow="0" w:firstColumn="1" w:lastColumn="0" w:noHBand="0" w:noVBand="1"/>
      </w:tblPr>
      <w:tblGrid>
        <w:gridCol w:w="959"/>
        <w:gridCol w:w="6506"/>
        <w:gridCol w:w="1260"/>
        <w:gridCol w:w="1055"/>
      </w:tblGrid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7.2.9.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CC5DD0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Alte forme de </w:t>
            </w:r>
            <w:r w:rsidR="00F1332B"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învățământ</w:t>
            </w: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n.c.a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 (85.59), limitate la instruirea în domeniul calculatoarelor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7.2.10.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CC5DD0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Activităţi de design specializat (74.10), bazate pe utilizarea echipamentelor de calcul specializate de înaltă performanţă.</w:t>
            </w:r>
            <w:bookmarkStart w:id="1" w:name="_GoBack"/>
            <w:bookmarkEnd w:id="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7.2.11.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284"/>
                <w:tab w:val="left" w:pos="709"/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servicii de cercetare şi dezvoltare experimentală în matematică (72.19.11)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7.2.12.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servicii de cercetare şi dezvoltare experimentală în calculatoare şi ştiinţe informatice (72.19.12)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7.2.13.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servicii de cercetare şi dezvoltare experimentală în fizică (72.19.13)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7.2.14.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284"/>
                <w:tab w:val="left" w:pos="851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servicii de cercetare şi dezvoltare experimentală în nanotehnologie (72.19.21)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7.2.15.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284"/>
                <w:tab w:val="left" w:pos="709"/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alte servicii de cercetare şi dezvoltare experimentală în inginerie şi tehnologie, cu excepţia biotehnologiei (72.19.29)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7.2.16.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284"/>
                <w:tab w:val="left" w:pos="709"/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alte ştiinţe naturale şi inginerie (72.19), bazată pe utilizarea echipamentelor de calcul specializate de înaltă performanţă, limitată la: servicii de cercetare şi dezvoltare a proiectelor originale în ştiinţe naturale şi inginerie, cu excepţia biotehnologiei (72.19.50)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7.2.17.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Cercetare-dezvoltare în biotehnologie (72.11), limitată la: cercetare-dezvoltare experimentală în domeniul bioinformaticii: construcţii de baze de date în geonomică, ordonare de proteine, procese complexe de modelare biologică, inclusiv sisteme biologice.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7.2.18.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Cercetare-dezvoltare în biotehnologie (72.11), limitată la: cercetare-dezvoltare experimentală în domeniul 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nanobiotehnologiei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: unelte 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şi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procese 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nano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/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microfabricaţie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folosite la </w:t>
            </w:r>
            <w:proofErr w:type="spellStart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construcţia</w:t>
            </w:r>
            <w:proofErr w:type="spellEnd"/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de dispozitive pentru studierea biosistemelor şi aplicaţiilor în medicaţie, diagnostice etc.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7.2.19.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Fabricarea componentelor electronice (module) (26.11), limitată la: fabricarea de microprocesoare.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7.2.20.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Fabricarea componentelor electronice (module) (26.11), limitată la: fabricarea de circuite integrate (analogice, digitale sau hibride).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7.2.21.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Activităţi de post-producţie cinematografică, video şi de programe de televiziune (59.12), bazate pe utilizarea echipamentelor de calcul specializate de înaltă performanţă, limitate la: servicii de obţinere de efecte speciale (59.12.14)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A7F5C" w:rsidRPr="00F505A1" w:rsidTr="007F3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7.2.22.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tabs>
                <w:tab w:val="left" w:pos="851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CC5D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Activităţi de post-producţie cinematografică, video şi de programe de televiziune (59.12), bazate pe utilizarea echipamentelor de calcul specializate de înaltă performanţă, limitate la: servicii de obţinere de filme de animaţie (59.12.15).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5DD0">
              <w:rPr>
                <w:rFonts w:ascii="Times New Roman" w:hAnsi="Times New Roman"/>
                <w:sz w:val="24"/>
                <w:szCs w:val="24"/>
                <w:lang w:val="ro-MD"/>
              </w:rPr>
              <w:t>lei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C" w:rsidRPr="00CC5DD0" w:rsidRDefault="004A7F5C" w:rsidP="004A7F5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</w:tbl>
    <w:p w:rsidR="00FE0609" w:rsidRPr="00CC5DD0" w:rsidRDefault="00FE0609" w:rsidP="002A075B">
      <w:pPr>
        <w:pStyle w:val="tt"/>
        <w:spacing w:after="120"/>
        <w:ind w:firstLine="720"/>
        <w:jc w:val="both"/>
        <w:rPr>
          <w:rStyle w:val="fontstyle21"/>
          <w:rFonts w:ascii="Times New Roman" w:hAnsi="Times New Roman"/>
          <w:b w:val="0"/>
          <w:sz w:val="24"/>
          <w:szCs w:val="24"/>
          <w:lang w:val="ro-MD"/>
        </w:rPr>
      </w:pPr>
    </w:p>
    <w:p w:rsidR="00F22AB9" w:rsidRPr="00CC5DD0" w:rsidRDefault="00F22AB9" w:rsidP="007F3944">
      <w:pPr>
        <w:pStyle w:val="tt"/>
        <w:spacing w:after="120"/>
        <w:jc w:val="both"/>
        <w:rPr>
          <w:rStyle w:val="fontstyle21"/>
          <w:rFonts w:ascii="Times New Roman" w:hAnsi="Times New Roman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2. </w:t>
      </w:r>
      <w:r w:rsidR="00866FD4" w:rsidRPr="00CC5DD0">
        <w:rPr>
          <w:rStyle w:val="fontstyle21"/>
          <w:rFonts w:ascii="Times New Roman" w:hAnsi="Times New Roman"/>
          <w:sz w:val="24"/>
          <w:szCs w:val="24"/>
          <w:lang w:val="ro-MD"/>
        </w:rPr>
        <w:t>Hotărârea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Guvernului </w:t>
      </w:r>
      <w:r w:rsidR="008D0349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nr. 1143/2017 </w:t>
      </w:r>
      <w:r w:rsidR="0014061C" w:rsidRPr="00CC5DD0">
        <w:rPr>
          <w:color w:val="000000"/>
          <w:lang w:val="ro-MD"/>
        </w:rPr>
        <w:t>pentru aprobarea Regulamentului privind evaluarea activității parcului pentru tehnologia informației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 </w:t>
      </w:r>
      <w:r w:rsidR="008D0349" w:rsidRPr="00CC5DD0">
        <w:rPr>
          <w:rStyle w:val="fontstyle21"/>
          <w:rFonts w:ascii="Times New Roman" w:hAnsi="Times New Roman"/>
          <w:sz w:val="24"/>
          <w:szCs w:val="24"/>
          <w:lang w:val="ro-MD"/>
        </w:rPr>
        <w:t xml:space="preserve">(Monitorul Oficial nr.451-463/1271 din 29.12.2017) </w:t>
      </w:r>
      <w:r w:rsidRPr="00CC5DD0">
        <w:rPr>
          <w:rStyle w:val="fontstyle21"/>
          <w:rFonts w:ascii="Times New Roman" w:hAnsi="Times New Roman"/>
          <w:sz w:val="24"/>
          <w:szCs w:val="24"/>
          <w:lang w:val="ro-MD"/>
        </w:rPr>
        <w:t>se modifică după cum urmează:</w:t>
      </w:r>
    </w:p>
    <w:p w:rsidR="002A0D33" w:rsidRPr="00CC5DD0" w:rsidRDefault="00337B1F" w:rsidP="00F31A0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right="19"/>
        <w:jc w:val="both"/>
        <w:rPr>
          <w:rStyle w:val="fontstyle21"/>
          <w:rFonts w:ascii="Times New Roman" w:hAnsi="Times New Roman" w:cs="Times New Roman"/>
          <w:sz w:val="24"/>
          <w:szCs w:val="24"/>
          <w:lang w:val="ro-MD"/>
        </w:rPr>
      </w:pPr>
      <w:r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>La</w:t>
      </w:r>
      <w:r w:rsidR="00F22AB9"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 xml:space="preserve"> punctul 22</w:t>
      </w:r>
      <w:r w:rsidR="005341E6"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>,</w:t>
      </w:r>
      <w:r w:rsidR="00F22AB9"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F3944"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>textul</w:t>
      </w:r>
      <w:r w:rsidR="00F22AB9"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22AB9" w:rsidRPr="00CC5DD0">
        <w:rPr>
          <w:rFonts w:ascii="Times New Roman" w:hAnsi="Times New Roman" w:cs="Times New Roman"/>
          <w:color w:val="000000"/>
          <w:sz w:val="24"/>
          <w:szCs w:val="24"/>
          <w:lang w:val="ro-MD"/>
        </w:rPr>
        <w:t>„auditului anual al activității economico-financiare a rezidenților parcului, prevăzut în</w:t>
      </w:r>
      <w:r w:rsidR="00F22AB9"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 xml:space="preserve">” se substituie cu </w:t>
      </w:r>
      <w:r w:rsidR="00866FD4"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 xml:space="preserve">textul </w:t>
      </w:r>
      <w:r w:rsidR="00F22AB9" w:rsidRPr="00CC5DD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„verificării în vederea </w:t>
      </w:r>
      <w:r w:rsidR="00F22AB9" w:rsidRPr="00CC5DD0">
        <w:rPr>
          <w:rFonts w:ascii="Times New Roman" w:hAnsi="Times New Roman" w:cs="Times New Roman"/>
          <w:sz w:val="24"/>
          <w:szCs w:val="24"/>
          <w:lang w:val="ro-MD"/>
        </w:rPr>
        <w:t>îndeplinirii indicatorilor necesari pentru menținerea statutului rezidentului parcului pentru tehnologia informației, în conformitate cu</w:t>
      </w:r>
      <w:r w:rsidR="00F22AB9" w:rsidRPr="00CC5DD0">
        <w:rPr>
          <w:rStyle w:val="fontstyle21"/>
          <w:rFonts w:ascii="Times New Roman" w:hAnsi="Times New Roman" w:cs="Times New Roman"/>
          <w:sz w:val="24"/>
          <w:szCs w:val="24"/>
          <w:lang w:val="ro-MD"/>
        </w:rPr>
        <w:t>”.</w:t>
      </w:r>
    </w:p>
    <w:p w:rsidR="00F31A0C" w:rsidRPr="00CC5DD0" w:rsidRDefault="00F31A0C" w:rsidP="00F31A0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CC5DD0">
        <w:rPr>
          <w:rFonts w:ascii="Times New Roman" w:hAnsi="Times New Roman" w:cs="Times New Roman"/>
          <w:color w:val="000000"/>
          <w:sz w:val="24"/>
          <w:szCs w:val="24"/>
          <w:lang w:val="ro-MD"/>
        </w:rPr>
        <w:t>3. Prezenta hotărâre intră în vigoare la data publicării.</w:t>
      </w: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5130"/>
      </w:tblGrid>
      <w:tr w:rsidR="002A0D33" w:rsidRPr="00F505A1" w:rsidTr="00CA3E12">
        <w:trPr>
          <w:tblCellSpacing w:w="15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F31A0C" w:rsidRPr="00CC5DD0" w:rsidRDefault="00F31A0C" w:rsidP="008D0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  <w:p w:rsidR="002A0D33" w:rsidRPr="00CC5DD0" w:rsidRDefault="002A0D33" w:rsidP="008D0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CC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PRIM-MINISTRU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31A0C" w:rsidRPr="00CC5DD0" w:rsidRDefault="00F31A0C" w:rsidP="008D0349">
            <w:pPr>
              <w:spacing w:after="0" w:line="240" w:lineRule="auto"/>
              <w:ind w:left="1830" w:right="-16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  <w:p w:rsidR="002A0D33" w:rsidRPr="00CC5DD0" w:rsidRDefault="002A0D33" w:rsidP="008D0349">
            <w:pPr>
              <w:spacing w:after="0" w:line="240" w:lineRule="auto"/>
              <w:ind w:left="1830" w:right="-16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CC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Pavel FILIP</w:t>
            </w:r>
          </w:p>
          <w:p w:rsidR="002A0D33" w:rsidRPr="00CC5DD0" w:rsidRDefault="002A0D33" w:rsidP="008D0349">
            <w:pPr>
              <w:spacing w:after="0" w:line="240" w:lineRule="auto"/>
              <w:ind w:left="1830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CC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 </w:t>
            </w:r>
          </w:p>
        </w:tc>
      </w:tr>
      <w:tr w:rsidR="002A0D33" w:rsidRPr="00F505A1" w:rsidTr="00CA3E12">
        <w:trPr>
          <w:tblCellSpacing w:w="15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A0D33" w:rsidRPr="00CC5DD0" w:rsidRDefault="002A0D33" w:rsidP="00CA3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CC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Contrasemnează:</w:t>
            </w:r>
          </w:p>
          <w:p w:rsidR="002A0D33" w:rsidRPr="00CC5DD0" w:rsidRDefault="002A0D33" w:rsidP="00CA3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A0D33" w:rsidRPr="00CC5DD0" w:rsidRDefault="002A0D33" w:rsidP="00CA3E12">
            <w:pPr>
              <w:spacing w:after="0" w:line="240" w:lineRule="auto"/>
              <w:ind w:left="18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</w:tr>
      <w:tr w:rsidR="002A0D33" w:rsidRPr="00F505A1" w:rsidTr="00CA3E12">
        <w:trPr>
          <w:tblCellSpacing w:w="15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A0D33" w:rsidRPr="00CC5DD0" w:rsidRDefault="002A0D33" w:rsidP="00CA3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CC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ministrul economiei și infrastructurii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A0D33" w:rsidRPr="00CC5DD0" w:rsidRDefault="002A0D33" w:rsidP="00CA3E12">
            <w:pPr>
              <w:spacing w:after="0" w:line="240" w:lineRule="auto"/>
              <w:ind w:left="18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CC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Chiril GABURICI</w:t>
            </w:r>
          </w:p>
        </w:tc>
      </w:tr>
    </w:tbl>
    <w:p w:rsidR="006F500B" w:rsidRPr="00CC5DD0" w:rsidRDefault="006F500B" w:rsidP="008D0349">
      <w:pPr>
        <w:pStyle w:val="tt"/>
        <w:jc w:val="left"/>
        <w:rPr>
          <w:rStyle w:val="fontstyle01"/>
          <w:rFonts w:ascii="Times New Roman" w:hAnsi="Times New Roman"/>
          <w:i/>
          <w:sz w:val="26"/>
          <w:szCs w:val="26"/>
          <w:lang w:val="ro-MD"/>
        </w:rPr>
      </w:pPr>
    </w:p>
    <w:sectPr w:rsidR="006F500B" w:rsidRPr="00CC5DD0" w:rsidSect="00E45E58">
      <w:pgSz w:w="12240" w:h="15840"/>
      <w:pgMar w:top="90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5849"/>
    <w:multiLevelType w:val="hybridMultilevel"/>
    <w:tmpl w:val="CE1A4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C395C"/>
    <w:multiLevelType w:val="multilevel"/>
    <w:tmpl w:val="9C120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43750C0"/>
    <w:multiLevelType w:val="multilevel"/>
    <w:tmpl w:val="595C9AE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>
    <w:nsid w:val="6E660F3C"/>
    <w:multiLevelType w:val="hybridMultilevel"/>
    <w:tmpl w:val="42FE8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C1"/>
    <w:rsid w:val="000037F4"/>
    <w:rsid w:val="00012812"/>
    <w:rsid w:val="00055FB1"/>
    <w:rsid w:val="000571B2"/>
    <w:rsid w:val="00074016"/>
    <w:rsid w:val="00081D81"/>
    <w:rsid w:val="000A43D0"/>
    <w:rsid w:val="000C3140"/>
    <w:rsid w:val="000D19DB"/>
    <w:rsid w:val="000D2D84"/>
    <w:rsid w:val="000D58C9"/>
    <w:rsid w:val="000D6E67"/>
    <w:rsid w:val="000D7CE8"/>
    <w:rsid w:val="000E44E9"/>
    <w:rsid w:val="000E770E"/>
    <w:rsid w:val="000E7752"/>
    <w:rsid w:val="000F321F"/>
    <w:rsid w:val="001231C0"/>
    <w:rsid w:val="00124BE2"/>
    <w:rsid w:val="00131882"/>
    <w:rsid w:val="0014061C"/>
    <w:rsid w:val="00146318"/>
    <w:rsid w:val="00164C19"/>
    <w:rsid w:val="00174D56"/>
    <w:rsid w:val="001A58C5"/>
    <w:rsid w:val="001B5511"/>
    <w:rsid w:val="001C0028"/>
    <w:rsid w:val="001F6B6B"/>
    <w:rsid w:val="00201C51"/>
    <w:rsid w:val="00202FC5"/>
    <w:rsid w:val="00206727"/>
    <w:rsid w:val="002168C1"/>
    <w:rsid w:val="00234C2F"/>
    <w:rsid w:val="002357BC"/>
    <w:rsid w:val="00251AC9"/>
    <w:rsid w:val="002570A5"/>
    <w:rsid w:val="002641E5"/>
    <w:rsid w:val="0028153C"/>
    <w:rsid w:val="00282B04"/>
    <w:rsid w:val="002A075B"/>
    <w:rsid w:val="002A0D33"/>
    <w:rsid w:val="002E35DF"/>
    <w:rsid w:val="002F150A"/>
    <w:rsid w:val="002F2A7E"/>
    <w:rsid w:val="003006AE"/>
    <w:rsid w:val="00311D92"/>
    <w:rsid w:val="0031362B"/>
    <w:rsid w:val="0033010C"/>
    <w:rsid w:val="00337B1F"/>
    <w:rsid w:val="00355F3C"/>
    <w:rsid w:val="0038038F"/>
    <w:rsid w:val="003821BB"/>
    <w:rsid w:val="00391471"/>
    <w:rsid w:val="0039442A"/>
    <w:rsid w:val="003C4266"/>
    <w:rsid w:val="003D0F6C"/>
    <w:rsid w:val="003E4E29"/>
    <w:rsid w:val="00404B06"/>
    <w:rsid w:val="004259D5"/>
    <w:rsid w:val="00431932"/>
    <w:rsid w:val="00450CC0"/>
    <w:rsid w:val="00472C83"/>
    <w:rsid w:val="0048127E"/>
    <w:rsid w:val="004A59BB"/>
    <w:rsid w:val="004A7F5C"/>
    <w:rsid w:val="004B7DBE"/>
    <w:rsid w:val="004C0593"/>
    <w:rsid w:val="004C2435"/>
    <w:rsid w:val="004D6B47"/>
    <w:rsid w:val="004F416D"/>
    <w:rsid w:val="00523210"/>
    <w:rsid w:val="005307FA"/>
    <w:rsid w:val="005341E6"/>
    <w:rsid w:val="00541A78"/>
    <w:rsid w:val="00590FBA"/>
    <w:rsid w:val="005A35EF"/>
    <w:rsid w:val="005C35CA"/>
    <w:rsid w:val="005C3CF1"/>
    <w:rsid w:val="005D53F6"/>
    <w:rsid w:val="005E4978"/>
    <w:rsid w:val="00612064"/>
    <w:rsid w:val="00644829"/>
    <w:rsid w:val="00650C50"/>
    <w:rsid w:val="00663849"/>
    <w:rsid w:val="00664548"/>
    <w:rsid w:val="00665B7B"/>
    <w:rsid w:val="00687D9B"/>
    <w:rsid w:val="006C73CB"/>
    <w:rsid w:val="006F4B6E"/>
    <w:rsid w:val="006F500B"/>
    <w:rsid w:val="00711D3D"/>
    <w:rsid w:val="00724A1D"/>
    <w:rsid w:val="00733A34"/>
    <w:rsid w:val="007407B4"/>
    <w:rsid w:val="00757496"/>
    <w:rsid w:val="00773697"/>
    <w:rsid w:val="00782F0E"/>
    <w:rsid w:val="00795AD6"/>
    <w:rsid w:val="007B41CE"/>
    <w:rsid w:val="007C4752"/>
    <w:rsid w:val="007D454B"/>
    <w:rsid w:val="007E26FC"/>
    <w:rsid w:val="007F0319"/>
    <w:rsid w:val="007F3944"/>
    <w:rsid w:val="00805957"/>
    <w:rsid w:val="00806EA9"/>
    <w:rsid w:val="00823A86"/>
    <w:rsid w:val="00866FD4"/>
    <w:rsid w:val="00867A86"/>
    <w:rsid w:val="00876D1D"/>
    <w:rsid w:val="00881040"/>
    <w:rsid w:val="008D0349"/>
    <w:rsid w:val="008E4363"/>
    <w:rsid w:val="00903F8E"/>
    <w:rsid w:val="00906DCF"/>
    <w:rsid w:val="00921DDB"/>
    <w:rsid w:val="00933B83"/>
    <w:rsid w:val="009522DE"/>
    <w:rsid w:val="009B668F"/>
    <w:rsid w:val="009C0DB5"/>
    <w:rsid w:val="009C21FB"/>
    <w:rsid w:val="009D0638"/>
    <w:rsid w:val="009F6CC3"/>
    <w:rsid w:val="009F7E4B"/>
    <w:rsid w:val="00A2582F"/>
    <w:rsid w:val="00A301A3"/>
    <w:rsid w:val="00A34EBA"/>
    <w:rsid w:val="00AA64B6"/>
    <w:rsid w:val="00AB1F15"/>
    <w:rsid w:val="00AC34D7"/>
    <w:rsid w:val="00AD2474"/>
    <w:rsid w:val="00AD3043"/>
    <w:rsid w:val="00AD5DB0"/>
    <w:rsid w:val="00B164AE"/>
    <w:rsid w:val="00B36F30"/>
    <w:rsid w:val="00B53394"/>
    <w:rsid w:val="00B5546F"/>
    <w:rsid w:val="00B55FC9"/>
    <w:rsid w:val="00B5717E"/>
    <w:rsid w:val="00B6133B"/>
    <w:rsid w:val="00B63BD9"/>
    <w:rsid w:val="00B701FF"/>
    <w:rsid w:val="00BA0D4F"/>
    <w:rsid w:val="00BE0AAB"/>
    <w:rsid w:val="00BE1824"/>
    <w:rsid w:val="00BE3EEA"/>
    <w:rsid w:val="00C1271D"/>
    <w:rsid w:val="00C24474"/>
    <w:rsid w:val="00C27601"/>
    <w:rsid w:val="00C4190D"/>
    <w:rsid w:val="00C45A7C"/>
    <w:rsid w:val="00C47F37"/>
    <w:rsid w:val="00C61056"/>
    <w:rsid w:val="00CB0450"/>
    <w:rsid w:val="00CB2303"/>
    <w:rsid w:val="00CC424E"/>
    <w:rsid w:val="00CC5DD0"/>
    <w:rsid w:val="00CD2670"/>
    <w:rsid w:val="00CD33DE"/>
    <w:rsid w:val="00CE135B"/>
    <w:rsid w:val="00CE4D2D"/>
    <w:rsid w:val="00D1435D"/>
    <w:rsid w:val="00D2231D"/>
    <w:rsid w:val="00D346ED"/>
    <w:rsid w:val="00D449F1"/>
    <w:rsid w:val="00D5544B"/>
    <w:rsid w:val="00D57E31"/>
    <w:rsid w:val="00D63E1F"/>
    <w:rsid w:val="00D83AF4"/>
    <w:rsid w:val="00D85CA8"/>
    <w:rsid w:val="00DA7689"/>
    <w:rsid w:val="00DB0CB3"/>
    <w:rsid w:val="00DC772C"/>
    <w:rsid w:val="00DD5569"/>
    <w:rsid w:val="00DE77F2"/>
    <w:rsid w:val="00E1750C"/>
    <w:rsid w:val="00E3207A"/>
    <w:rsid w:val="00E33DDC"/>
    <w:rsid w:val="00E4040A"/>
    <w:rsid w:val="00E41C39"/>
    <w:rsid w:val="00E433CC"/>
    <w:rsid w:val="00E45E58"/>
    <w:rsid w:val="00E51D84"/>
    <w:rsid w:val="00E52FDC"/>
    <w:rsid w:val="00E62E55"/>
    <w:rsid w:val="00E63B7A"/>
    <w:rsid w:val="00E74491"/>
    <w:rsid w:val="00E81851"/>
    <w:rsid w:val="00E95837"/>
    <w:rsid w:val="00EA1EEA"/>
    <w:rsid w:val="00EB2825"/>
    <w:rsid w:val="00EB4C9C"/>
    <w:rsid w:val="00EC5E69"/>
    <w:rsid w:val="00EE3593"/>
    <w:rsid w:val="00F00DF9"/>
    <w:rsid w:val="00F05D4D"/>
    <w:rsid w:val="00F1332B"/>
    <w:rsid w:val="00F21AA0"/>
    <w:rsid w:val="00F22AB9"/>
    <w:rsid w:val="00F2718F"/>
    <w:rsid w:val="00F31A0C"/>
    <w:rsid w:val="00F4297D"/>
    <w:rsid w:val="00F505A1"/>
    <w:rsid w:val="00F50C7B"/>
    <w:rsid w:val="00F64899"/>
    <w:rsid w:val="00F6571B"/>
    <w:rsid w:val="00F74B00"/>
    <w:rsid w:val="00F817F5"/>
    <w:rsid w:val="00F830FF"/>
    <w:rsid w:val="00FA0A5F"/>
    <w:rsid w:val="00FB4BC0"/>
    <w:rsid w:val="00FD12D8"/>
    <w:rsid w:val="00FD6930"/>
    <w:rsid w:val="00FE0609"/>
    <w:rsid w:val="00FE30B2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24D11-095E-4D46-A727-66FE5162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68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68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C1"/>
    <w:rPr>
      <w:rFonts w:ascii="Tahoma" w:hAnsi="Tahoma" w:cs="Tahoma"/>
      <w:sz w:val="16"/>
      <w:szCs w:val="16"/>
    </w:rPr>
  </w:style>
  <w:style w:type="paragraph" w:customStyle="1" w:styleId="rg">
    <w:name w:val="rg"/>
    <w:basedOn w:val="Normal"/>
    <w:rsid w:val="002168C1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2168C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168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2168C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">
    <w:name w:val="doc_header"/>
    <w:basedOn w:val="DefaultParagraphFont"/>
    <w:rsid w:val="00DC772C"/>
  </w:style>
  <w:style w:type="paragraph" w:styleId="ListParagraph">
    <w:name w:val="List Paragraph"/>
    <w:basedOn w:val="Normal"/>
    <w:uiPriority w:val="34"/>
    <w:qFormat/>
    <w:rsid w:val="00E51D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0FB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62E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lTabel3">
    <w:name w:val="Grilă Tabel3"/>
    <w:basedOn w:val="TableNormal"/>
    <w:uiPriority w:val="59"/>
    <w:rsid w:val="004B7DB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1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19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1D56-7668-4F21-B8EB-4AEC8E7B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5</Pages>
  <Words>1670</Words>
  <Characters>9525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Voitovschii</dc:creator>
  <cp:lastModifiedBy>Oxana</cp:lastModifiedBy>
  <cp:revision>19</cp:revision>
  <cp:lastPrinted>2018-09-05T12:52:00Z</cp:lastPrinted>
  <dcterms:created xsi:type="dcterms:W3CDTF">2018-09-05T07:31:00Z</dcterms:created>
  <dcterms:modified xsi:type="dcterms:W3CDTF">2018-09-11T10:57:00Z</dcterms:modified>
</cp:coreProperties>
</file>