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68" w:rsidRPr="00382AE9" w:rsidRDefault="006C3468" w:rsidP="00513074">
      <w:pPr>
        <w:tabs>
          <w:tab w:val="left" w:pos="884"/>
          <w:tab w:val="left" w:pos="1196"/>
        </w:tabs>
        <w:jc w:val="center"/>
        <w:rPr>
          <w:b/>
          <w:sz w:val="28"/>
          <w:szCs w:val="28"/>
          <w:lang w:val="ro-MD"/>
        </w:rPr>
      </w:pPr>
      <w:r w:rsidRPr="00382AE9">
        <w:rPr>
          <w:b/>
          <w:sz w:val="28"/>
          <w:szCs w:val="28"/>
          <w:lang w:val="ro-MD"/>
        </w:rPr>
        <w:t xml:space="preserve">SINTEZA </w:t>
      </w:r>
    </w:p>
    <w:p w:rsidR="006C3468" w:rsidRPr="00382AE9" w:rsidRDefault="006C3468" w:rsidP="00513074">
      <w:pPr>
        <w:tabs>
          <w:tab w:val="left" w:pos="884"/>
          <w:tab w:val="left" w:pos="1196"/>
        </w:tabs>
        <w:jc w:val="center"/>
        <w:rPr>
          <w:b/>
          <w:lang w:val="ro-MD"/>
        </w:rPr>
      </w:pPr>
      <w:r w:rsidRPr="00382AE9">
        <w:rPr>
          <w:b/>
          <w:lang w:val="ro-MD"/>
        </w:rPr>
        <w:t xml:space="preserve">obiecţiilor şi propunerilor (recomandărilor) la proiectul  </w:t>
      </w:r>
    </w:p>
    <w:p w:rsidR="006C3468" w:rsidRPr="00382AE9" w:rsidRDefault="006C3468" w:rsidP="00513074">
      <w:pPr>
        <w:jc w:val="center"/>
        <w:rPr>
          <w:b/>
          <w:lang w:val="ro-MD"/>
        </w:rPr>
      </w:pPr>
      <w:r w:rsidRPr="00382AE9">
        <w:rPr>
          <w:b/>
          <w:lang w:val="ro-MD"/>
        </w:rPr>
        <w:t>hotărîrii Guvernului ”</w:t>
      </w:r>
      <w:r w:rsidRPr="00382AE9">
        <w:rPr>
          <w:rStyle w:val="docheader"/>
          <w:b/>
          <w:color w:val="000000" w:themeColor="text1"/>
          <w:lang w:val="ro-MD"/>
        </w:rPr>
        <w:t xml:space="preserve">Pentru </w:t>
      </w:r>
      <w:r w:rsidR="009A38DB" w:rsidRPr="00382AE9">
        <w:rPr>
          <w:rStyle w:val="docheader"/>
          <w:b/>
          <w:color w:val="000000" w:themeColor="text1"/>
          <w:lang w:val="ro-MD"/>
        </w:rPr>
        <w:t>aprobarea</w:t>
      </w:r>
      <w:r w:rsidR="00544D60" w:rsidRPr="00382AE9">
        <w:rPr>
          <w:rStyle w:val="docheader"/>
          <w:b/>
          <w:color w:val="000000" w:themeColor="text1"/>
          <w:lang w:val="ro-MD"/>
        </w:rPr>
        <w:t xml:space="preserve"> Regulamentului privi</w:t>
      </w:r>
      <w:r w:rsidR="009A38DB" w:rsidRPr="00382AE9">
        <w:rPr>
          <w:rStyle w:val="docheader"/>
          <w:b/>
          <w:color w:val="000000" w:themeColor="text1"/>
          <w:lang w:val="ro-MD"/>
        </w:rPr>
        <w:t>nd</w:t>
      </w:r>
      <w:r w:rsidR="00544D60" w:rsidRPr="00382AE9">
        <w:rPr>
          <w:rStyle w:val="docheader"/>
          <w:b/>
          <w:color w:val="000000" w:themeColor="text1"/>
          <w:lang w:val="ro-MD"/>
        </w:rPr>
        <w:t xml:space="preserve"> </w:t>
      </w:r>
      <w:r w:rsidR="009A38DB" w:rsidRPr="00382AE9">
        <w:rPr>
          <w:rStyle w:val="docheader"/>
          <w:b/>
          <w:color w:val="000000" w:themeColor="text1"/>
          <w:lang w:val="ro-MD"/>
        </w:rPr>
        <w:t>organizarea și funcționarea Sistemului de instruire inițială și continuă a personalului din domeniul asistenței sociale</w:t>
      </w:r>
      <w:r w:rsidRPr="00382AE9">
        <w:rPr>
          <w:b/>
          <w:lang w:val="ro-MD"/>
        </w:rPr>
        <w:t>”</w:t>
      </w:r>
    </w:p>
    <w:p w:rsidR="006C3468" w:rsidRPr="00382AE9" w:rsidRDefault="006C3468" w:rsidP="00FF7E68">
      <w:pPr>
        <w:rPr>
          <w:b/>
          <w:sz w:val="20"/>
          <w:szCs w:val="20"/>
          <w:lang w:val="ro-MD"/>
        </w:rPr>
      </w:pPr>
    </w:p>
    <w:p w:rsidR="006C3468" w:rsidRPr="00382AE9" w:rsidRDefault="006C3468" w:rsidP="00513074">
      <w:pPr>
        <w:jc w:val="center"/>
        <w:rPr>
          <w:b/>
          <w:sz w:val="20"/>
          <w:szCs w:val="20"/>
          <w:lang w:val="ro-MD"/>
        </w:rPr>
      </w:pPr>
    </w:p>
    <w:tbl>
      <w:tblPr>
        <w:tblStyle w:val="a3"/>
        <w:tblW w:w="0" w:type="auto"/>
        <w:tblLook w:val="04A0" w:firstRow="1" w:lastRow="0" w:firstColumn="1" w:lastColumn="0" w:noHBand="0" w:noVBand="1"/>
      </w:tblPr>
      <w:tblGrid>
        <w:gridCol w:w="2689"/>
        <w:gridCol w:w="7321"/>
        <w:gridCol w:w="5006"/>
      </w:tblGrid>
      <w:tr w:rsidR="006C3468" w:rsidRPr="00382AE9" w:rsidTr="00110EDF">
        <w:tc>
          <w:tcPr>
            <w:tcW w:w="2689" w:type="dxa"/>
          </w:tcPr>
          <w:p w:rsidR="006C3468" w:rsidRPr="00382AE9" w:rsidRDefault="006C3468" w:rsidP="00513074">
            <w:pPr>
              <w:jc w:val="center"/>
              <w:rPr>
                <w:b/>
                <w:lang w:val="ro-MD"/>
              </w:rPr>
            </w:pPr>
            <w:r w:rsidRPr="00382AE9">
              <w:rPr>
                <w:b/>
                <w:lang w:val="ro-MD"/>
              </w:rPr>
              <w:t>Participantul la avizare (expertizare)/consultare publică</w:t>
            </w:r>
          </w:p>
        </w:tc>
        <w:tc>
          <w:tcPr>
            <w:tcW w:w="7321" w:type="dxa"/>
          </w:tcPr>
          <w:p w:rsidR="00513074" w:rsidRPr="00382AE9" w:rsidRDefault="00513074" w:rsidP="00513074">
            <w:pPr>
              <w:tabs>
                <w:tab w:val="left" w:pos="884"/>
                <w:tab w:val="left" w:pos="1196"/>
              </w:tabs>
              <w:jc w:val="center"/>
              <w:rPr>
                <w:b/>
                <w:lang w:val="ro-MD"/>
              </w:rPr>
            </w:pPr>
            <w:r w:rsidRPr="00382AE9">
              <w:rPr>
                <w:b/>
                <w:lang w:val="ro-MD"/>
              </w:rPr>
              <w:t>Conţinutul obiecţiei/</w:t>
            </w:r>
          </w:p>
          <w:p w:rsidR="006C3468" w:rsidRPr="00382AE9" w:rsidRDefault="00513074" w:rsidP="00513074">
            <w:pPr>
              <w:jc w:val="center"/>
              <w:rPr>
                <w:b/>
                <w:lang w:val="ro-MD"/>
              </w:rPr>
            </w:pPr>
            <w:r w:rsidRPr="00382AE9">
              <w:rPr>
                <w:b/>
                <w:lang w:val="ro-MD"/>
              </w:rPr>
              <w:t>propunerii (recomandării)</w:t>
            </w:r>
          </w:p>
        </w:tc>
        <w:tc>
          <w:tcPr>
            <w:tcW w:w="5006" w:type="dxa"/>
          </w:tcPr>
          <w:p w:rsidR="00513074" w:rsidRPr="00382AE9" w:rsidRDefault="00513074" w:rsidP="00513074">
            <w:pPr>
              <w:tabs>
                <w:tab w:val="left" w:pos="884"/>
                <w:tab w:val="left" w:pos="1196"/>
              </w:tabs>
              <w:jc w:val="center"/>
              <w:rPr>
                <w:b/>
                <w:lang w:val="ro-MD"/>
              </w:rPr>
            </w:pPr>
            <w:r w:rsidRPr="00382AE9">
              <w:rPr>
                <w:b/>
                <w:lang w:val="ro-MD"/>
              </w:rPr>
              <w:t xml:space="preserve">Argumentarea </w:t>
            </w:r>
          </w:p>
          <w:p w:rsidR="006C3468" w:rsidRPr="00382AE9" w:rsidRDefault="00513074" w:rsidP="00513074">
            <w:pPr>
              <w:jc w:val="center"/>
              <w:rPr>
                <w:b/>
                <w:lang w:val="ro-MD"/>
              </w:rPr>
            </w:pPr>
            <w:r w:rsidRPr="00382AE9">
              <w:rPr>
                <w:b/>
                <w:lang w:val="ro-MD"/>
              </w:rPr>
              <w:t>autorului proiectului</w:t>
            </w:r>
          </w:p>
        </w:tc>
      </w:tr>
      <w:tr w:rsidR="00F35077" w:rsidRPr="00382AE9" w:rsidTr="00110EDF">
        <w:tc>
          <w:tcPr>
            <w:tcW w:w="2689" w:type="dxa"/>
            <w:vMerge w:val="restart"/>
          </w:tcPr>
          <w:p w:rsidR="00F35077" w:rsidRPr="00382AE9" w:rsidRDefault="00E67B4C" w:rsidP="00F35077">
            <w:pPr>
              <w:jc w:val="center"/>
              <w:rPr>
                <w:b/>
                <w:lang w:val="ro-MD"/>
              </w:rPr>
            </w:pPr>
            <w:r w:rsidRPr="00382AE9">
              <w:rPr>
                <w:b/>
                <w:lang w:val="ro-MD"/>
              </w:rPr>
              <w:t xml:space="preserve">Ministerul Finanțelor </w:t>
            </w:r>
          </w:p>
        </w:tc>
        <w:tc>
          <w:tcPr>
            <w:tcW w:w="7321" w:type="dxa"/>
          </w:tcPr>
          <w:p w:rsidR="00866ED2" w:rsidRPr="00382AE9" w:rsidRDefault="00E67B4C" w:rsidP="00E67B4C">
            <w:pPr>
              <w:jc w:val="both"/>
              <w:rPr>
                <w:lang w:val="ro-MD"/>
              </w:rPr>
            </w:pPr>
            <w:r w:rsidRPr="00382AE9">
              <w:rPr>
                <w:b/>
                <w:lang w:val="ro-MD"/>
              </w:rPr>
              <w:t>La proiectul hotărîrii.</w:t>
            </w:r>
            <w:r w:rsidRPr="00382AE9">
              <w:rPr>
                <w:lang w:val="ro-MD"/>
              </w:rPr>
              <w:t xml:space="preserve"> </w:t>
            </w:r>
          </w:p>
          <w:p w:rsidR="00F35077" w:rsidRPr="00382AE9" w:rsidRDefault="00E67B4C" w:rsidP="00E67B4C">
            <w:pPr>
              <w:jc w:val="both"/>
              <w:rPr>
                <w:lang w:val="ro-MD"/>
              </w:rPr>
            </w:pPr>
            <w:r w:rsidRPr="00382AE9">
              <w:rPr>
                <w:lang w:val="ro-MD"/>
              </w:rPr>
              <w:t>La punctul 2 sintagma ”bugetele unităților administrativ-teritoriale” de substituit cu sintagma ”bugetele locale”, conform pre</w:t>
            </w:r>
            <w:r w:rsidR="00C22676" w:rsidRPr="00382AE9">
              <w:rPr>
                <w:lang w:val="ro-MD"/>
              </w:rPr>
              <w:t xml:space="preserve">vederilor Legii finanțelor publice și responsabilității bugetar-fiscale nr. 181 din 25 iulie 2014. </w:t>
            </w:r>
          </w:p>
        </w:tc>
        <w:tc>
          <w:tcPr>
            <w:tcW w:w="5006" w:type="dxa"/>
          </w:tcPr>
          <w:p w:rsidR="00F35077" w:rsidRPr="00382AE9" w:rsidRDefault="00866ED2" w:rsidP="00F35077">
            <w:pPr>
              <w:rPr>
                <w:b/>
                <w:lang w:val="ro-MD"/>
              </w:rPr>
            </w:pPr>
            <w:r w:rsidRPr="00382AE9">
              <w:rPr>
                <w:b/>
                <w:lang w:val="ro-MD"/>
              </w:rPr>
              <w:t>Se acceptă.</w:t>
            </w:r>
          </w:p>
        </w:tc>
      </w:tr>
      <w:tr w:rsidR="00F35077" w:rsidRPr="00700FD8" w:rsidTr="00110EDF">
        <w:tc>
          <w:tcPr>
            <w:tcW w:w="2689" w:type="dxa"/>
            <w:vMerge/>
          </w:tcPr>
          <w:p w:rsidR="00F35077" w:rsidRPr="00382AE9" w:rsidRDefault="00F35077" w:rsidP="00F35077">
            <w:pPr>
              <w:jc w:val="center"/>
              <w:rPr>
                <w:b/>
                <w:lang w:val="ro-MD"/>
              </w:rPr>
            </w:pPr>
          </w:p>
        </w:tc>
        <w:tc>
          <w:tcPr>
            <w:tcW w:w="7321" w:type="dxa"/>
          </w:tcPr>
          <w:p w:rsidR="00F35077" w:rsidRPr="00382AE9" w:rsidRDefault="007C4B24" w:rsidP="00005D91">
            <w:pPr>
              <w:jc w:val="both"/>
              <w:rPr>
                <w:b/>
                <w:lang w:val="ro-MD"/>
              </w:rPr>
            </w:pPr>
            <w:r w:rsidRPr="00382AE9">
              <w:rPr>
                <w:b/>
                <w:lang w:val="ro-MD"/>
              </w:rPr>
              <w:t>La proiectul Regulamentului.</w:t>
            </w:r>
          </w:p>
          <w:p w:rsidR="007C4B24" w:rsidRPr="00382AE9" w:rsidRDefault="007C4B24" w:rsidP="00005D91">
            <w:pPr>
              <w:jc w:val="both"/>
              <w:rPr>
                <w:lang w:val="ro-MD"/>
              </w:rPr>
            </w:pPr>
            <w:r w:rsidRPr="00382AE9">
              <w:rPr>
                <w:lang w:val="ro-MD"/>
              </w:rPr>
              <w:t xml:space="preserve">Punctul 2: La noțiunile ”Comisia de evaluare a cursurilor și a prestatorilor de instruire” și ”Comisia de evaluare a calității instruirilor în domeniul asistenței sociale” este necesar de specificat clar care este statutul acestor organe, precum și modul desfășurării activității. Totodată, considerăm oportun să fie instituit un singur organ abilitat cu dreptul de evaluare a cursurilor și de analiză a calității procesului de instruire. </w:t>
            </w:r>
          </w:p>
        </w:tc>
        <w:tc>
          <w:tcPr>
            <w:tcW w:w="5006" w:type="dxa"/>
          </w:tcPr>
          <w:p w:rsidR="00F35077" w:rsidRPr="00382AE9" w:rsidRDefault="00110EDF" w:rsidP="00110EDF">
            <w:pPr>
              <w:jc w:val="both"/>
              <w:rPr>
                <w:b/>
                <w:lang w:val="ro-MD"/>
              </w:rPr>
            </w:pPr>
            <w:r w:rsidRPr="00382AE9">
              <w:rPr>
                <w:b/>
                <w:lang w:val="ro-MD"/>
              </w:rPr>
              <w:t>Nu se acceptă.</w:t>
            </w:r>
          </w:p>
          <w:p w:rsidR="00110EDF" w:rsidRPr="00382AE9" w:rsidRDefault="00110EDF" w:rsidP="00110EDF">
            <w:pPr>
              <w:jc w:val="both"/>
              <w:rPr>
                <w:lang w:val="ro-MD"/>
              </w:rPr>
            </w:pPr>
            <w:r w:rsidRPr="00382AE9">
              <w:rPr>
                <w:lang w:val="ro-MD"/>
              </w:rPr>
              <w:t>În punctul 2 al Regulamentului se definiesc ”Comisia de evaluare a cursurilor și a prestatorilor de instruire” și ”Comisia de evaluare a calității instruirilor în domeniul asistenței sociale”.</w:t>
            </w:r>
          </w:p>
          <w:p w:rsidR="00110EDF" w:rsidRPr="00382AE9" w:rsidRDefault="00110EDF" w:rsidP="00110EDF">
            <w:pPr>
              <w:jc w:val="both"/>
              <w:rPr>
                <w:lang w:val="ro-MD"/>
              </w:rPr>
            </w:pPr>
            <w:r w:rsidRPr="00382AE9">
              <w:rPr>
                <w:lang w:val="ro-MD"/>
              </w:rPr>
              <w:t>Totodată, în Regulament sunt specificate rolul și atribuțiile comisiilor vizate, fiind strict delimitate.</w:t>
            </w:r>
          </w:p>
          <w:p w:rsidR="00110EDF" w:rsidRPr="00382AE9" w:rsidRDefault="00110EDF" w:rsidP="00110EDF">
            <w:pPr>
              <w:jc w:val="both"/>
              <w:rPr>
                <w:lang w:val="ro-MD"/>
              </w:rPr>
            </w:pPr>
            <w:r w:rsidRPr="00382AE9">
              <w:rPr>
                <w:lang w:val="ro-MD"/>
              </w:rPr>
              <w:t>Suplimentar, menționăm că proiectul a fost consultat cu sociatatea civilă și expertizat de către Ministerul Muncii și Politicilor Sociale din Republica Cehă.</w:t>
            </w:r>
          </w:p>
        </w:tc>
      </w:tr>
      <w:tr w:rsidR="00F35077" w:rsidRPr="00700FD8" w:rsidTr="00110EDF">
        <w:tc>
          <w:tcPr>
            <w:tcW w:w="2689" w:type="dxa"/>
            <w:vMerge/>
          </w:tcPr>
          <w:p w:rsidR="00F35077" w:rsidRPr="00382AE9" w:rsidRDefault="00F35077" w:rsidP="00F35077">
            <w:pPr>
              <w:jc w:val="center"/>
              <w:rPr>
                <w:b/>
                <w:lang w:val="ro-MD"/>
              </w:rPr>
            </w:pPr>
          </w:p>
        </w:tc>
        <w:tc>
          <w:tcPr>
            <w:tcW w:w="7321" w:type="dxa"/>
          </w:tcPr>
          <w:p w:rsidR="007C4B24" w:rsidRPr="00382AE9" w:rsidRDefault="007C4B24" w:rsidP="00D4645F">
            <w:pPr>
              <w:jc w:val="both"/>
              <w:rPr>
                <w:lang w:val="ro-MD"/>
              </w:rPr>
            </w:pPr>
            <w:r w:rsidRPr="00382AE9">
              <w:rPr>
                <w:lang w:val="ro-MD"/>
              </w:rPr>
              <w:t>În proiectul Regulamentului sistemul de instruire inițial și continu sînt tratate ca două sisteme diferite, ceea ce este necesar de argumentat, în special din punct de vedere a faptului dacă sînt aplicate diferite metode de instruire sau există priorități variate între acestea. În cele din urmă, instruirea în ambele cazuri necesită să fie asigurată profesional și calitativ.</w:t>
            </w:r>
          </w:p>
        </w:tc>
        <w:tc>
          <w:tcPr>
            <w:tcW w:w="5006" w:type="dxa"/>
          </w:tcPr>
          <w:p w:rsidR="00F35077" w:rsidRPr="00382AE9" w:rsidRDefault="00110EDF" w:rsidP="00077D1A">
            <w:pPr>
              <w:jc w:val="both"/>
              <w:rPr>
                <w:b/>
                <w:lang w:val="ro-MD"/>
              </w:rPr>
            </w:pPr>
            <w:r w:rsidRPr="00382AE9">
              <w:rPr>
                <w:b/>
                <w:lang w:val="ro-MD"/>
              </w:rPr>
              <w:t>Nu se acceptă.</w:t>
            </w:r>
          </w:p>
          <w:p w:rsidR="00110EDF" w:rsidRPr="00382AE9" w:rsidRDefault="00110EDF" w:rsidP="00077D1A">
            <w:pPr>
              <w:jc w:val="both"/>
              <w:rPr>
                <w:lang w:val="ro-MD"/>
              </w:rPr>
            </w:pPr>
            <w:r w:rsidRPr="00382AE9">
              <w:rPr>
                <w:lang w:val="ro-MD"/>
              </w:rPr>
              <w:t>Instruirea inițială și continuă sunt distincte, totodată existînd o legătură între acestea.</w:t>
            </w:r>
          </w:p>
          <w:p w:rsidR="00110EDF" w:rsidRPr="00382AE9" w:rsidRDefault="00110EDF" w:rsidP="00077D1A">
            <w:pPr>
              <w:jc w:val="both"/>
              <w:rPr>
                <w:lang w:val="ro-MD"/>
              </w:rPr>
            </w:pPr>
            <w:r w:rsidRPr="00382AE9">
              <w:rPr>
                <w:lang w:val="ro-MD"/>
              </w:rPr>
              <w:t>Menționăm că, toate regulamentele și standardele minime de calitate privind organizarea și funcționarea serviciilor sociale aprobate de Guvern prevăd</w:t>
            </w:r>
            <w:r w:rsidR="00077D1A" w:rsidRPr="00382AE9">
              <w:rPr>
                <w:lang w:val="ro-MD"/>
              </w:rPr>
              <w:t xml:space="preserve"> obligativitatea </w:t>
            </w:r>
            <w:r w:rsidRPr="00382AE9">
              <w:rPr>
                <w:lang w:val="ro-MD"/>
              </w:rPr>
              <w:t>instru</w:t>
            </w:r>
            <w:r w:rsidR="00077D1A" w:rsidRPr="00382AE9">
              <w:rPr>
                <w:lang w:val="ro-MD"/>
              </w:rPr>
              <w:t>ii</w:t>
            </w:r>
            <w:r w:rsidRPr="00382AE9">
              <w:rPr>
                <w:lang w:val="ro-MD"/>
              </w:rPr>
              <w:t xml:space="preserve"> inițial</w:t>
            </w:r>
            <w:r w:rsidR="00077D1A" w:rsidRPr="00382AE9">
              <w:rPr>
                <w:lang w:val="ro-MD"/>
              </w:rPr>
              <w:t>e</w:t>
            </w:r>
            <w:r w:rsidRPr="00382AE9">
              <w:rPr>
                <w:lang w:val="ro-MD"/>
              </w:rPr>
              <w:t xml:space="preserve"> și continu</w:t>
            </w:r>
            <w:r w:rsidR="00077D1A" w:rsidRPr="00382AE9">
              <w:rPr>
                <w:lang w:val="ro-MD"/>
              </w:rPr>
              <w:t>e a personalului ca elemente</w:t>
            </w:r>
            <w:r w:rsidRPr="00382AE9">
              <w:rPr>
                <w:lang w:val="ro-MD"/>
              </w:rPr>
              <w:t xml:space="preserve"> obligatorii în prestarea serviciilor.</w:t>
            </w:r>
          </w:p>
          <w:p w:rsidR="00077D1A" w:rsidRPr="00382AE9" w:rsidRDefault="00110EDF" w:rsidP="00077D1A">
            <w:pPr>
              <w:jc w:val="both"/>
              <w:rPr>
                <w:color w:val="000000"/>
                <w:lang w:val="ro-MD"/>
              </w:rPr>
            </w:pPr>
            <w:r w:rsidRPr="00382AE9">
              <w:rPr>
                <w:lang w:val="ro-MD"/>
              </w:rPr>
              <w:t xml:space="preserve">Totodată, </w:t>
            </w:r>
            <w:r w:rsidR="00077D1A" w:rsidRPr="00382AE9">
              <w:rPr>
                <w:lang w:val="ro-MD"/>
              </w:rPr>
              <w:t xml:space="preserve">promovarea proiectului dat are drept scop </w:t>
            </w:r>
            <w:r w:rsidR="00077D1A" w:rsidRPr="00382AE9">
              <w:rPr>
                <w:color w:val="000000"/>
                <w:lang w:val="ro-MD"/>
              </w:rPr>
              <w:t xml:space="preserve">dezvoltarea și aprofundarea capacităților profesionale ale personalului din sistemul de asistență socială pentru asigurarea calității serviciilor prestate de către aceștia în domeniul </w:t>
            </w:r>
            <w:r w:rsidR="00077D1A" w:rsidRPr="00382AE9">
              <w:rPr>
                <w:color w:val="000000"/>
                <w:lang w:val="ro-MD"/>
              </w:rPr>
              <w:lastRenderedPageBreak/>
              <w:t>asistenței sociale, precum și asigurarea calității instruirilor inițiale și continue.</w:t>
            </w:r>
          </w:p>
          <w:p w:rsidR="00110EDF" w:rsidRPr="00382AE9" w:rsidRDefault="00077D1A" w:rsidP="00077D1A">
            <w:pPr>
              <w:jc w:val="both"/>
              <w:rPr>
                <w:b/>
                <w:lang w:val="ro-MD"/>
              </w:rPr>
            </w:pPr>
            <w:r w:rsidRPr="00382AE9">
              <w:rPr>
                <w:color w:val="000000"/>
                <w:lang w:val="ro-MD"/>
              </w:rPr>
              <w:t>Este de menționat faptul că, actualemnete spre deosebire de sistemele de educație, sănătate etc. în sistemul de asistență socială instruirea personalului se efectuează în mod sporadic în special de către ONG-uri</w:t>
            </w:r>
            <w:r w:rsidR="00D62D2F" w:rsidRPr="00382AE9">
              <w:rPr>
                <w:color w:val="000000"/>
                <w:lang w:val="ro-MD"/>
              </w:rPr>
              <w:t>,</w:t>
            </w:r>
            <w:r w:rsidRPr="00382AE9">
              <w:rPr>
                <w:color w:val="000000"/>
                <w:lang w:val="ro-MD"/>
              </w:rPr>
              <w:t xml:space="preserve"> neexistînd un sistem organizat de instruire și de asigurare a calității materialelor de formare.</w:t>
            </w:r>
            <w:r w:rsidR="00110EDF" w:rsidRPr="00382AE9">
              <w:rPr>
                <w:b/>
                <w:lang w:val="ro-MD"/>
              </w:rPr>
              <w:t xml:space="preserve"> </w:t>
            </w:r>
          </w:p>
        </w:tc>
      </w:tr>
      <w:tr w:rsidR="00F35077" w:rsidRPr="00382AE9" w:rsidTr="00110EDF">
        <w:tc>
          <w:tcPr>
            <w:tcW w:w="2689" w:type="dxa"/>
            <w:vMerge/>
          </w:tcPr>
          <w:p w:rsidR="00F35077" w:rsidRPr="00382AE9" w:rsidRDefault="00F35077" w:rsidP="00F35077">
            <w:pPr>
              <w:jc w:val="center"/>
              <w:rPr>
                <w:b/>
                <w:lang w:val="ro-MD"/>
              </w:rPr>
            </w:pPr>
          </w:p>
        </w:tc>
        <w:tc>
          <w:tcPr>
            <w:tcW w:w="7321" w:type="dxa"/>
          </w:tcPr>
          <w:p w:rsidR="00EF4CB5" w:rsidRPr="00382AE9" w:rsidRDefault="007C4B24" w:rsidP="003E6AC4">
            <w:pPr>
              <w:jc w:val="both"/>
              <w:rPr>
                <w:lang w:val="ro-MD"/>
              </w:rPr>
            </w:pPr>
            <w:r w:rsidRPr="00382AE9">
              <w:rPr>
                <w:lang w:val="ro-MD"/>
              </w:rPr>
              <w:t xml:space="preserve">La noțiunea ”beneficiari de instruire”, precum și la punctul 10 se face referință </w:t>
            </w:r>
            <w:r w:rsidR="00EF4CB5" w:rsidRPr="00382AE9">
              <w:rPr>
                <w:lang w:val="ro-MD"/>
              </w:rPr>
              <w:t>la Anexele nr. 1 și 2, care nu sînt anexate și respectiv nu este posibilitatea să ne expunem pe marginea acestora.</w:t>
            </w:r>
          </w:p>
        </w:tc>
        <w:tc>
          <w:tcPr>
            <w:tcW w:w="5006" w:type="dxa"/>
          </w:tcPr>
          <w:p w:rsidR="00F35077" w:rsidRPr="00382AE9" w:rsidRDefault="00866ED2" w:rsidP="003E6AC4">
            <w:pPr>
              <w:rPr>
                <w:b/>
                <w:lang w:val="ro-MD"/>
              </w:rPr>
            </w:pPr>
            <w:r w:rsidRPr="00382AE9">
              <w:rPr>
                <w:b/>
                <w:lang w:val="ro-MD"/>
              </w:rPr>
              <w:t>Se acceptă.</w:t>
            </w:r>
          </w:p>
          <w:p w:rsidR="00E809E5" w:rsidRPr="00382AE9" w:rsidRDefault="00E809E5" w:rsidP="003E6AC4">
            <w:pPr>
              <w:rPr>
                <w:b/>
                <w:lang w:val="ro-MD"/>
              </w:rPr>
            </w:pPr>
          </w:p>
          <w:p w:rsidR="00866ED2" w:rsidRPr="00382AE9" w:rsidRDefault="00866ED2" w:rsidP="003E6AC4">
            <w:pPr>
              <w:rPr>
                <w:b/>
                <w:lang w:val="ro-MD"/>
              </w:rPr>
            </w:pPr>
          </w:p>
        </w:tc>
      </w:tr>
      <w:tr w:rsidR="00EF4CB5" w:rsidRPr="00700FD8" w:rsidTr="00110EDF">
        <w:tc>
          <w:tcPr>
            <w:tcW w:w="2689" w:type="dxa"/>
          </w:tcPr>
          <w:p w:rsidR="00EF4CB5" w:rsidRPr="00382AE9" w:rsidRDefault="00EF4CB5" w:rsidP="00F35077">
            <w:pPr>
              <w:jc w:val="center"/>
              <w:rPr>
                <w:b/>
                <w:lang w:val="ro-MD"/>
              </w:rPr>
            </w:pPr>
          </w:p>
        </w:tc>
        <w:tc>
          <w:tcPr>
            <w:tcW w:w="7321" w:type="dxa"/>
          </w:tcPr>
          <w:p w:rsidR="00EF4CB5" w:rsidRPr="00382AE9" w:rsidRDefault="00EF4CB5" w:rsidP="003E6AC4">
            <w:pPr>
              <w:jc w:val="both"/>
              <w:rPr>
                <w:lang w:val="ro-MD"/>
              </w:rPr>
            </w:pPr>
            <w:r w:rsidRPr="00382AE9">
              <w:rPr>
                <w:lang w:val="ro-MD"/>
              </w:rPr>
              <w:t xml:space="preserve">La punctul 12 este menționat că, evaluarea necesităților de instruire continuă se realizează în baza Ghidului privind procedura standardizată de formare continuă a personalului, aprobat prin Ordinul MMPSF în anul 2015. Astfel, poate este necesar reexaminarea sau actualizarea acestuia, totodată acest ghid prevede doar instruirea continuă, cum rămîne cu instruirea inițială.  </w:t>
            </w:r>
          </w:p>
        </w:tc>
        <w:tc>
          <w:tcPr>
            <w:tcW w:w="5006" w:type="dxa"/>
          </w:tcPr>
          <w:p w:rsidR="00EF4CB5" w:rsidRPr="00382AE9" w:rsidRDefault="00D62D2F" w:rsidP="003E6AC4">
            <w:pPr>
              <w:rPr>
                <w:b/>
                <w:lang w:val="ro-MD"/>
              </w:rPr>
            </w:pPr>
            <w:r w:rsidRPr="00382AE9">
              <w:rPr>
                <w:b/>
                <w:lang w:val="ro-MD"/>
              </w:rPr>
              <w:t>Nu se acceptă.</w:t>
            </w:r>
          </w:p>
          <w:p w:rsidR="00AA796B" w:rsidRPr="00382AE9" w:rsidRDefault="00AA796B" w:rsidP="00AA796B">
            <w:pPr>
              <w:jc w:val="both"/>
              <w:rPr>
                <w:lang w:val="ro-MD"/>
              </w:rPr>
            </w:pPr>
            <w:r w:rsidRPr="00382AE9">
              <w:rPr>
                <w:lang w:val="ro-MD"/>
              </w:rPr>
              <w:t>Instruirea inițială este predeterminată ca și conținut pentru inițierea cu privire la sistemul de asistență socială. Menționăm că sunt servicii sociale în cadrul cărora instruirea inițială este efectuată cu candidații la funcțiile îngrijitor/prestator.</w:t>
            </w:r>
          </w:p>
          <w:p w:rsidR="00D62D2F" w:rsidRPr="00382AE9" w:rsidRDefault="00D62D2F" w:rsidP="00AA796B">
            <w:pPr>
              <w:jc w:val="both"/>
              <w:rPr>
                <w:lang w:val="ro-MD"/>
              </w:rPr>
            </w:pPr>
            <w:r w:rsidRPr="00382AE9">
              <w:rPr>
                <w:lang w:val="ro-MD"/>
              </w:rPr>
              <w:t xml:space="preserve">Instruirea </w:t>
            </w:r>
            <w:r w:rsidR="00AA796B" w:rsidRPr="00382AE9">
              <w:rPr>
                <w:lang w:val="ro-MD"/>
              </w:rPr>
              <w:t>continuă este complexă și este corelată strict cu necesitățile angajaților din sistemul de asistență socială, context în care evaluarea necesităților de instruire inițială.</w:t>
            </w:r>
          </w:p>
        </w:tc>
      </w:tr>
      <w:tr w:rsidR="00853F50" w:rsidRPr="00700FD8" w:rsidTr="00110EDF">
        <w:tc>
          <w:tcPr>
            <w:tcW w:w="2689" w:type="dxa"/>
          </w:tcPr>
          <w:p w:rsidR="00853F50" w:rsidRPr="00382AE9" w:rsidRDefault="00853F50" w:rsidP="00F35077">
            <w:pPr>
              <w:jc w:val="center"/>
              <w:rPr>
                <w:b/>
                <w:lang w:val="ro-MD"/>
              </w:rPr>
            </w:pPr>
          </w:p>
        </w:tc>
        <w:tc>
          <w:tcPr>
            <w:tcW w:w="7321" w:type="dxa"/>
          </w:tcPr>
          <w:p w:rsidR="00853F50" w:rsidRPr="00382AE9" w:rsidRDefault="00853F50" w:rsidP="00114F3E">
            <w:pPr>
              <w:jc w:val="both"/>
              <w:rPr>
                <w:lang w:val="ro-MD"/>
              </w:rPr>
            </w:pPr>
            <w:r w:rsidRPr="00382AE9">
              <w:rPr>
                <w:lang w:val="ro-MD"/>
              </w:rPr>
              <w:t xml:space="preserve">La punctele 19, 24, 25, 26 și 41 prevederile nu sînt clare și anume, ce concret examinează Comisia, totodată în proiect se face referință la </w:t>
            </w:r>
            <w:r w:rsidR="00AA796B" w:rsidRPr="00382AE9">
              <w:rPr>
                <w:lang w:val="ro-MD"/>
              </w:rPr>
              <w:t>Metodologia privind evaluarea instruirilor și respectiv nu poate fi expusă opinia prevederilor punctele 20, 30, 35 și 49.</w:t>
            </w:r>
          </w:p>
        </w:tc>
        <w:tc>
          <w:tcPr>
            <w:tcW w:w="5006" w:type="dxa"/>
          </w:tcPr>
          <w:p w:rsidR="00AA796B" w:rsidRPr="00382AE9" w:rsidRDefault="00AA796B" w:rsidP="00AA796B">
            <w:pPr>
              <w:jc w:val="both"/>
              <w:rPr>
                <w:b/>
                <w:lang w:val="ro-MD"/>
              </w:rPr>
            </w:pPr>
            <w:r w:rsidRPr="00382AE9">
              <w:rPr>
                <w:b/>
                <w:lang w:val="ro-MD"/>
              </w:rPr>
              <w:t xml:space="preserve">Se acceptă parțial. </w:t>
            </w:r>
          </w:p>
          <w:p w:rsidR="00AA796B" w:rsidRPr="00382AE9" w:rsidRDefault="00AA796B" w:rsidP="00AA796B">
            <w:pPr>
              <w:jc w:val="both"/>
              <w:rPr>
                <w:lang w:val="ro-MD"/>
              </w:rPr>
            </w:pPr>
            <w:r w:rsidRPr="00382AE9">
              <w:rPr>
                <w:lang w:val="ro-MD"/>
              </w:rPr>
              <w:t xml:space="preserve">Punctele 19, 24, 25, 26 se conțin în Secțiunea 2. Aprobarea programelor de instruire inițială/cursurilor de instruire, iar punctul 41 se conține în Secțiunea 3. </w:t>
            </w:r>
            <w:r w:rsidRPr="00382AE9">
              <w:rPr>
                <w:color w:val="000000"/>
                <w:lang w:val="ro-MD"/>
              </w:rPr>
              <w:t>Autorizarea prestatorilor/formatorilor de instruire inițială/continua, context în care sunt două procese distincte și reglementate clar.</w:t>
            </w:r>
          </w:p>
          <w:p w:rsidR="00AA796B" w:rsidRPr="00382AE9" w:rsidRDefault="00AA796B" w:rsidP="00AA796B">
            <w:pPr>
              <w:jc w:val="both"/>
              <w:rPr>
                <w:b/>
                <w:lang w:val="ro-MD"/>
              </w:rPr>
            </w:pPr>
          </w:p>
          <w:p w:rsidR="00AA796B" w:rsidRPr="00382AE9" w:rsidRDefault="00AA796B" w:rsidP="00AA796B">
            <w:pPr>
              <w:jc w:val="both"/>
              <w:rPr>
                <w:lang w:val="ro-MD"/>
              </w:rPr>
            </w:pPr>
            <w:r w:rsidRPr="00382AE9">
              <w:rPr>
                <w:lang w:val="ro-MD"/>
              </w:rPr>
              <w:t>Proiectul hotărîrii Guvernului vizat a fost completat cu un punct nou cu următorul conținut:</w:t>
            </w:r>
          </w:p>
          <w:p w:rsidR="00114F3E" w:rsidRPr="00382AE9" w:rsidRDefault="00AA796B" w:rsidP="00AA796B">
            <w:pPr>
              <w:jc w:val="both"/>
              <w:rPr>
                <w:b/>
                <w:lang w:val="ro-MD"/>
              </w:rPr>
            </w:pPr>
            <w:r w:rsidRPr="00382AE9">
              <w:rPr>
                <w:lang w:val="ro-MD"/>
              </w:rPr>
              <w:t>,,</w:t>
            </w:r>
            <w:r w:rsidRPr="00382AE9">
              <w:rPr>
                <w:color w:val="000000"/>
                <w:lang w:val="ro-MD"/>
              </w:rPr>
              <w:t>3. Ministerul Sănătății, Muncii și Protecției Sociale va aproba, în termen de 3 luni, actele necesare pentru implementarea prezentei hotărîri.</w:t>
            </w:r>
            <w:r w:rsidRPr="00382AE9">
              <w:rPr>
                <w:lang w:val="ro-MD"/>
              </w:rPr>
              <w:t>”.</w:t>
            </w:r>
          </w:p>
        </w:tc>
      </w:tr>
      <w:tr w:rsidR="00853F50" w:rsidRPr="00700FD8" w:rsidTr="00110EDF">
        <w:tc>
          <w:tcPr>
            <w:tcW w:w="2689" w:type="dxa"/>
          </w:tcPr>
          <w:p w:rsidR="00853F50" w:rsidRPr="00382AE9" w:rsidRDefault="00853F50" w:rsidP="00F35077">
            <w:pPr>
              <w:jc w:val="center"/>
              <w:rPr>
                <w:b/>
                <w:lang w:val="ro-MD"/>
              </w:rPr>
            </w:pPr>
          </w:p>
        </w:tc>
        <w:tc>
          <w:tcPr>
            <w:tcW w:w="7321" w:type="dxa"/>
          </w:tcPr>
          <w:p w:rsidR="00853F50" w:rsidRPr="00382AE9" w:rsidRDefault="00853F50" w:rsidP="003E6AC4">
            <w:pPr>
              <w:jc w:val="both"/>
              <w:rPr>
                <w:lang w:val="ro-MD"/>
              </w:rPr>
            </w:pPr>
            <w:r w:rsidRPr="00382AE9">
              <w:rPr>
                <w:lang w:val="ro-MD"/>
              </w:rPr>
              <w:t>La punctul 21 și pe parcursul Regulamentul se utilizează noțiunea de ”solicitant”, care urmează a fi definită la punctul 2.</w:t>
            </w:r>
          </w:p>
        </w:tc>
        <w:tc>
          <w:tcPr>
            <w:tcW w:w="5006" w:type="dxa"/>
          </w:tcPr>
          <w:p w:rsidR="00853F50" w:rsidRPr="00382AE9" w:rsidRDefault="00B74961" w:rsidP="003E6AC4">
            <w:pPr>
              <w:rPr>
                <w:b/>
                <w:lang w:val="ro-MD"/>
              </w:rPr>
            </w:pPr>
            <w:r w:rsidRPr="00382AE9">
              <w:rPr>
                <w:b/>
                <w:lang w:val="ro-MD"/>
              </w:rPr>
              <w:t>Se acceptă.</w:t>
            </w:r>
          </w:p>
          <w:p w:rsidR="00B74961" w:rsidRPr="00382AE9" w:rsidRDefault="00B74961" w:rsidP="003E6AC4">
            <w:pPr>
              <w:rPr>
                <w:lang w:val="ro-MD"/>
              </w:rPr>
            </w:pPr>
            <w:r w:rsidRPr="00382AE9">
              <w:rPr>
                <w:lang w:val="ro-MD"/>
              </w:rPr>
              <w:lastRenderedPageBreak/>
              <w:t>Proiectul a fost completat cu noțiunea de solicitant.</w:t>
            </w:r>
          </w:p>
          <w:p w:rsidR="00B74961" w:rsidRPr="00382AE9" w:rsidRDefault="00B74961" w:rsidP="003E6AC4">
            <w:pPr>
              <w:rPr>
                <w:b/>
                <w:lang w:val="ro-MD"/>
              </w:rPr>
            </w:pPr>
          </w:p>
        </w:tc>
      </w:tr>
      <w:tr w:rsidR="00853F50" w:rsidRPr="00700FD8" w:rsidTr="00110EDF">
        <w:tc>
          <w:tcPr>
            <w:tcW w:w="2689" w:type="dxa"/>
          </w:tcPr>
          <w:p w:rsidR="00853F50" w:rsidRPr="00382AE9" w:rsidRDefault="00853F50" w:rsidP="00F35077">
            <w:pPr>
              <w:jc w:val="center"/>
              <w:rPr>
                <w:b/>
                <w:lang w:val="ro-MD"/>
              </w:rPr>
            </w:pPr>
          </w:p>
        </w:tc>
        <w:tc>
          <w:tcPr>
            <w:tcW w:w="7321" w:type="dxa"/>
          </w:tcPr>
          <w:p w:rsidR="00853F50" w:rsidRPr="00382AE9" w:rsidRDefault="00853F50" w:rsidP="003E6AC4">
            <w:pPr>
              <w:jc w:val="both"/>
              <w:rPr>
                <w:lang w:val="ro-MD"/>
              </w:rPr>
            </w:pPr>
            <w:r w:rsidRPr="00382AE9">
              <w:rPr>
                <w:lang w:val="ro-MD"/>
              </w:rPr>
              <w:t>La punctul 69, prevederile literei g) necesită a fi argumentate.</w:t>
            </w:r>
          </w:p>
        </w:tc>
        <w:tc>
          <w:tcPr>
            <w:tcW w:w="5006" w:type="dxa"/>
          </w:tcPr>
          <w:p w:rsidR="00853F50" w:rsidRPr="00382AE9" w:rsidRDefault="003A46A2" w:rsidP="003E6AC4">
            <w:pPr>
              <w:rPr>
                <w:b/>
                <w:lang w:val="ro-MD"/>
              </w:rPr>
            </w:pPr>
            <w:r w:rsidRPr="00382AE9">
              <w:rPr>
                <w:b/>
                <w:lang w:val="ro-MD"/>
              </w:rPr>
              <w:t>Se acceptă.</w:t>
            </w:r>
          </w:p>
          <w:p w:rsidR="003A46A2" w:rsidRPr="00382AE9" w:rsidRDefault="003A46A2" w:rsidP="003A46A2">
            <w:pPr>
              <w:jc w:val="both"/>
              <w:rPr>
                <w:lang w:val="ro-MD"/>
              </w:rPr>
            </w:pPr>
            <w:r w:rsidRPr="00382AE9">
              <w:rPr>
                <w:lang w:val="ro-MD"/>
              </w:rPr>
              <w:t>Prevederile punctului 69, lit. g) au fost revizuite.</w:t>
            </w:r>
          </w:p>
        </w:tc>
      </w:tr>
      <w:tr w:rsidR="00853F50" w:rsidRPr="00700FD8" w:rsidTr="00110EDF">
        <w:tc>
          <w:tcPr>
            <w:tcW w:w="2689" w:type="dxa"/>
          </w:tcPr>
          <w:p w:rsidR="00853F50" w:rsidRPr="00382AE9" w:rsidRDefault="00853F50" w:rsidP="00F35077">
            <w:pPr>
              <w:jc w:val="center"/>
              <w:rPr>
                <w:b/>
                <w:lang w:val="ro-MD"/>
              </w:rPr>
            </w:pPr>
          </w:p>
        </w:tc>
        <w:tc>
          <w:tcPr>
            <w:tcW w:w="7321" w:type="dxa"/>
          </w:tcPr>
          <w:p w:rsidR="00853F50" w:rsidRPr="00382AE9" w:rsidRDefault="00853F50" w:rsidP="00853F50">
            <w:pPr>
              <w:jc w:val="both"/>
              <w:rPr>
                <w:lang w:val="ro-MD"/>
              </w:rPr>
            </w:pPr>
            <w:r w:rsidRPr="00382AE9">
              <w:rPr>
                <w:lang w:val="ro-MD"/>
              </w:rPr>
              <w:t xml:space="preserve">La punctul 70 de concretizat scopul taxelor fixe și totodată menționăm că, lipsește metodologia privind aplicarea acestuia. </w:t>
            </w:r>
          </w:p>
        </w:tc>
        <w:tc>
          <w:tcPr>
            <w:tcW w:w="5006" w:type="dxa"/>
          </w:tcPr>
          <w:p w:rsidR="00853F50" w:rsidRPr="00382AE9" w:rsidRDefault="001F7B53" w:rsidP="003E6AC4">
            <w:pPr>
              <w:rPr>
                <w:b/>
                <w:lang w:val="ro-MD"/>
              </w:rPr>
            </w:pPr>
            <w:r w:rsidRPr="00382AE9">
              <w:rPr>
                <w:b/>
                <w:lang w:val="ro-MD"/>
              </w:rPr>
              <w:t>Se acceptă.</w:t>
            </w:r>
          </w:p>
          <w:p w:rsidR="001F7B53" w:rsidRPr="00382AE9" w:rsidRDefault="001F7B53" w:rsidP="001F7B53">
            <w:pPr>
              <w:jc w:val="both"/>
              <w:rPr>
                <w:lang w:val="ro-MD"/>
              </w:rPr>
            </w:pPr>
            <w:r w:rsidRPr="00382AE9">
              <w:rPr>
                <w:lang w:val="ro-MD"/>
              </w:rPr>
              <w:t>Actele specificate în punctul 3 al proiectului hotărîrii Guvernului vor conține norme cu privire la sopul taxeleor respective.</w:t>
            </w:r>
          </w:p>
        </w:tc>
      </w:tr>
      <w:tr w:rsidR="00853F50" w:rsidRPr="00700FD8" w:rsidTr="00110EDF">
        <w:tc>
          <w:tcPr>
            <w:tcW w:w="2689" w:type="dxa"/>
          </w:tcPr>
          <w:p w:rsidR="00853F50" w:rsidRPr="00382AE9" w:rsidRDefault="00853F50" w:rsidP="00F35077">
            <w:pPr>
              <w:jc w:val="center"/>
              <w:rPr>
                <w:b/>
                <w:lang w:val="ro-MD"/>
              </w:rPr>
            </w:pPr>
          </w:p>
        </w:tc>
        <w:tc>
          <w:tcPr>
            <w:tcW w:w="7321" w:type="dxa"/>
          </w:tcPr>
          <w:p w:rsidR="00853F50" w:rsidRPr="00382AE9" w:rsidRDefault="00853F50" w:rsidP="00853F50">
            <w:pPr>
              <w:jc w:val="both"/>
              <w:rPr>
                <w:lang w:val="ro-MD"/>
              </w:rPr>
            </w:pPr>
            <w:r w:rsidRPr="00382AE9">
              <w:rPr>
                <w:lang w:val="ro-MD"/>
              </w:rPr>
              <w:t xml:space="preserve">La punctul 72 literele d) și e) este necesar de exclus, deoarece reprezintă venituri </w:t>
            </w:r>
            <w:r w:rsidR="00D04CA8" w:rsidRPr="00382AE9">
              <w:rPr>
                <w:lang w:val="ro-MD"/>
              </w:rPr>
              <w:t>colectate, care sînt parte componentă a bugetului.</w:t>
            </w:r>
          </w:p>
          <w:p w:rsidR="00D04CA8" w:rsidRPr="00382AE9" w:rsidRDefault="00D04CA8" w:rsidP="00853F50">
            <w:pPr>
              <w:jc w:val="both"/>
              <w:rPr>
                <w:lang w:val="ro-MD"/>
              </w:rPr>
            </w:pPr>
            <w:r w:rsidRPr="00382AE9">
              <w:rPr>
                <w:lang w:val="ro-MD"/>
              </w:rPr>
              <w:t>Proiectul nu conține prevederi privind organul, care va gestiona cheltuielile de organizare și funcționare a Sistemului de instruire, totodată conform proiectului este clar că cheltuieli respective vor fi efectuate și din contul veniturilor colectate, propunere care nu a fost înaintată în procesul de examinate a CBTM pentru anii 2019-2021.</w:t>
            </w:r>
          </w:p>
        </w:tc>
        <w:tc>
          <w:tcPr>
            <w:tcW w:w="5006" w:type="dxa"/>
          </w:tcPr>
          <w:p w:rsidR="00853F50" w:rsidRPr="00382AE9" w:rsidRDefault="0065692A" w:rsidP="003E6AC4">
            <w:pPr>
              <w:rPr>
                <w:b/>
                <w:lang w:val="ro-MD"/>
              </w:rPr>
            </w:pPr>
            <w:r w:rsidRPr="00382AE9">
              <w:rPr>
                <w:b/>
                <w:lang w:val="ro-MD"/>
              </w:rPr>
              <w:t>Nu se acceptă.</w:t>
            </w:r>
          </w:p>
          <w:p w:rsidR="00900BC2" w:rsidRPr="00382AE9" w:rsidRDefault="00900BC2" w:rsidP="00900BC2">
            <w:pPr>
              <w:jc w:val="both"/>
              <w:rPr>
                <w:lang w:val="ro-MD"/>
              </w:rPr>
            </w:pPr>
            <w:r w:rsidRPr="00382AE9">
              <w:rPr>
                <w:lang w:val="ro-MD"/>
              </w:rPr>
              <w:t>Proiectul a fost completat cu un punct nou cu următorul conținut:</w:t>
            </w:r>
          </w:p>
          <w:p w:rsidR="0065692A" w:rsidRPr="00382AE9" w:rsidRDefault="00900BC2" w:rsidP="00900BC2">
            <w:pPr>
              <w:tabs>
                <w:tab w:val="left" w:pos="1134"/>
              </w:tabs>
              <w:jc w:val="both"/>
              <w:rPr>
                <w:lang w:val="ro-MD"/>
              </w:rPr>
            </w:pPr>
            <w:r w:rsidRPr="00382AE9">
              <w:rPr>
                <w:lang w:val="ro-MD"/>
              </w:rPr>
              <w:t>,,</w:t>
            </w:r>
            <w:r w:rsidRPr="00382AE9">
              <w:rPr>
                <w:color w:val="000000"/>
                <w:lang w:val="ro-MD"/>
              </w:rPr>
              <w:t xml:space="preserve">73. Taxele și mijloacele specificate în punctul 72, lit. d) și </w:t>
            </w:r>
            <w:r w:rsidRPr="00382AE9">
              <w:rPr>
                <w:lang w:val="ro-MD"/>
              </w:rPr>
              <w:t xml:space="preserve">e) se achită prin instituţiile financiare de către solicitanții de aprobare a  </w:t>
            </w:r>
            <w:r w:rsidRPr="00382AE9">
              <w:rPr>
                <w:color w:val="000000"/>
                <w:lang w:val="ro-MD"/>
              </w:rPr>
              <w:t>programelor de instruire inițială/cursurilor de instruire.</w:t>
            </w:r>
            <w:r w:rsidRPr="00382AE9">
              <w:rPr>
                <w:lang w:val="ro-MD"/>
              </w:rPr>
              <w:t>”.</w:t>
            </w:r>
          </w:p>
        </w:tc>
      </w:tr>
      <w:tr w:rsidR="00D04CA8" w:rsidRPr="00382AE9" w:rsidTr="00110EDF">
        <w:tc>
          <w:tcPr>
            <w:tcW w:w="2689" w:type="dxa"/>
          </w:tcPr>
          <w:p w:rsidR="00D04CA8" w:rsidRPr="00382AE9" w:rsidRDefault="00D04CA8" w:rsidP="00F35077">
            <w:pPr>
              <w:jc w:val="center"/>
              <w:rPr>
                <w:b/>
                <w:lang w:val="ro-MD"/>
              </w:rPr>
            </w:pPr>
          </w:p>
        </w:tc>
        <w:tc>
          <w:tcPr>
            <w:tcW w:w="7321" w:type="dxa"/>
          </w:tcPr>
          <w:p w:rsidR="00D04CA8" w:rsidRPr="00382AE9" w:rsidRDefault="00D04CA8" w:rsidP="00853F50">
            <w:pPr>
              <w:jc w:val="both"/>
              <w:rPr>
                <w:lang w:val="ro-MD"/>
              </w:rPr>
            </w:pPr>
            <w:r w:rsidRPr="00382AE9">
              <w:rPr>
                <w:lang w:val="ro-MD"/>
              </w:rPr>
              <w:t>În nota informativă la proiect, în partea ce ține de fundamentarea economico-financiară, din cheltuielile totale anuale estimate în sumă de 2300,9 mii lei nu este reflectat impactul financiar separat pe bugete.</w:t>
            </w:r>
          </w:p>
          <w:p w:rsidR="00D356B4" w:rsidRPr="00382AE9" w:rsidRDefault="00D356B4" w:rsidP="00853F50">
            <w:pPr>
              <w:jc w:val="both"/>
              <w:rPr>
                <w:lang w:val="ro-MD"/>
              </w:rPr>
            </w:pPr>
            <w:r w:rsidRPr="00382AE9">
              <w:rPr>
                <w:lang w:val="ro-MD"/>
              </w:rPr>
              <w:t>Este necesar de argumentat textul din notă, precum că, în cazul instruirilor inițiale costurile vor fi acoperite în continuare din sursele partenerilor de dezvoltare.</w:t>
            </w:r>
          </w:p>
          <w:p w:rsidR="00D356B4" w:rsidRPr="00382AE9" w:rsidRDefault="00D356B4" w:rsidP="00853F50">
            <w:pPr>
              <w:jc w:val="both"/>
              <w:rPr>
                <w:lang w:val="ro-MD"/>
              </w:rPr>
            </w:pPr>
            <w:r w:rsidRPr="00382AE9">
              <w:rPr>
                <w:lang w:val="ro-MD"/>
              </w:rPr>
              <w:t xml:space="preserve">Concomitent menționăm că, proiectul în cauză implică și cheltuieli din contul bugetelor locale, inițiativa dată urmează </w:t>
            </w:r>
            <w:r w:rsidR="001A0E96" w:rsidRPr="00382AE9">
              <w:rPr>
                <w:lang w:val="ro-MD"/>
              </w:rPr>
              <w:t>a fi consultată și cu Congresul Autorităților  Locale din Moldova (CALM).</w:t>
            </w:r>
          </w:p>
          <w:p w:rsidR="001A0E96" w:rsidRPr="00382AE9" w:rsidRDefault="001A0E96" w:rsidP="00853F50">
            <w:pPr>
              <w:jc w:val="both"/>
              <w:rPr>
                <w:lang w:val="ro-MD"/>
              </w:rPr>
            </w:pPr>
            <w:r w:rsidRPr="00382AE9">
              <w:rPr>
                <w:lang w:val="ro-MD"/>
              </w:rPr>
              <w:t>Reieșind din cele menționate mai sus, precum și lipsa anexelor și metodologie le proiectul hotărîrii, Ministerul Finanțelor este privat de susținerea proiectului.</w:t>
            </w:r>
          </w:p>
        </w:tc>
        <w:tc>
          <w:tcPr>
            <w:tcW w:w="5006" w:type="dxa"/>
          </w:tcPr>
          <w:p w:rsidR="00DF59A3" w:rsidRPr="00382AE9" w:rsidRDefault="005B009F" w:rsidP="00DF59A3">
            <w:pPr>
              <w:rPr>
                <w:b/>
                <w:lang w:val="ro-MD"/>
              </w:rPr>
            </w:pPr>
            <w:r w:rsidRPr="00382AE9">
              <w:rPr>
                <w:b/>
                <w:lang w:val="ro-MD"/>
              </w:rPr>
              <w:t>Se acceptă</w:t>
            </w:r>
            <w:r w:rsidR="00DF59A3" w:rsidRPr="00382AE9">
              <w:rPr>
                <w:b/>
                <w:lang w:val="ro-MD"/>
              </w:rPr>
              <w:t>.</w:t>
            </w:r>
          </w:p>
        </w:tc>
      </w:tr>
      <w:tr w:rsidR="009F36E4" w:rsidRPr="00700FD8" w:rsidTr="00110EDF">
        <w:tc>
          <w:tcPr>
            <w:tcW w:w="2689" w:type="dxa"/>
          </w:tcPr>
          <w:p w:rsidR="009F36E4" w:rsidRPr="00382AE9" w:rsidRDefault="009A38DB" w:rsidP="00F35077">
            <w:pPr>
              <w:jc w:val="center"/>
              <w:rPr>
                <w:b/>
                <w:lang w:val="ro-MD"/>
              </w:rPr>
            </w:pPr>
            <w:r w:rsidRPr="00382AE9">
              <w:rPr>
                <w:b/>
                <w:lang w:val="ro-MD"/>
              </w:rPr>
              <w:t>Avocatul Poporului</w:t>
            </w:r>
          </w:p>
        </w:tc>
        <w:tc>
          <w:tcPr>
            <w:tcW w:w="7321" w:type="dxa"/>
          </w:tcPr>
          <w:p w:rsidR="007A1502" w:rsidRPr="00382AE9" w:rsidRDefault="00616E29" w:rsidP="007A1502">
            <w:pPr>
              <w:jc w:val="both"/>
              <w:rPr>
                <w:lang w:val="ro-MD"/>
              </w:rPr>
            </w:pPr>
            <w:r w:rsidRPr="00382AE9">
              <w:rPr>
                <w:lang w:val="ro-MD"/>
              </w:rPr>
              <w:t xml:space="preserve">Susține ideea de </w:t>
            </w:r>
            <w:r w:rsidR="007A1502" w:rsidRPr="00382AE9">
              <w:rPr>
                <w:lang w:val="ro-MD"/>
              </w:rPr>
              <w:t>constituire</w:t>
            </w:r>
            <w:r w:rsidRPr="00382AE9">
              <w:rPr>
                <w:lang w:val="ro-MD"/>
              </w:rPr>
              <w:t xml:space="preserve"> a unui sistem de instruire </w:t>
            </w:r>
            <w:r w:rsidR="007A1502" w:rsidRPr="00382AE9">
              <w:rPr>
                <w:lang w:val="ro-MD"/>
              </w:rPr>
              <w:t>inițială și continuă a personalului din domeniul asistenței sociale, însă proiectul vizat necesită a fi perfecționat.</w:t>
            </w:r>
          </w:p>
          <w:p w:rsidR="007A1502" w:rsidRPr="00382AE9" w:rsidRDefault="007A1502" w:rsidP="007A1502">
            <w:pPr>
              <w:jc w:val="both"/>
              <w:rPr>
                <w:lang w:val="ro-MD"/>
              </w:rPr>
            </w:pPr>
            <w:r w:rsidRPr="00382AE9">
              <w:rPr>
                <w:lang w:val="ro-MD"/>
              </w:rPr>
              <w:t>Atenționăm asupra faptului, că proiectul Regulamentului privind organizarea și funcționarea Sistemului de instruire inițială și continuă a personalului din domeniul asistenței sociale, nu conține norme care ar reglementa modul de formare a formatorilor. De asemenea, ne este indicată nici instituția care ar putea oferi un act confirmativ că persoana deține competențele și abilitățile necesare pentru instruire în domeniu, sau cine ar putea evalua calitatea instruirii oferite și care sunt criteriile după care această evaluare va fi desfășurată.</w:t>
            </w:r>
          </w:p>
          <w:p w:rsidR="00787358" w:rsidRPr="00382AE9" w:rsidRDefault="00787358" w:rsidP="007A1502">
            <w:pPr>
              <w:jc w:val="both"/>
              <w:rPr>
                <w:lang w:val="ro-MD"/>
              </w:rPr>
            </w:pPr>
            <w:r w:rsidRPr="00382AE9">
              <w:rPr>
                <w:lang w:val="ro-MD"/>
              </w:rPr>
              <w:lastRenderedPageBreak/>
              <w:t>În aceeași ordine de idei, la pct. 33 al proiectului Regulamentului menționat, recomandăm, că prin criteriu pentru autorizarea formatorilor să fie actul care confirmă că persoana a absolvit un curs de formare de formatori.</w:t>
            </w:r>
          </w:p>
          <w:p w:rsidR="009F36E4" w:rsidRPr="00382AE9" w:rsidRDefault="00787358" w:rsidP="007A1502">
            <w:pPr>
              <w:jc w:val="both"/>
              <w:rPr>
                <w:lang w:val="ro-MD"/>
              </w:rPr>
            </w:pPr>
            <w:r w:rsidRPr="00382AE9">
              <w:rPr>
                <w:lang w:val="ro-MD"/>
              </w:rPr>
              <w:t xml:space="preserve">Respectiv, considerăm necesară revizuirea proiectului vizat conform celor menționate întru asigurarea respectării drepturilor și libertăților fundamentale ale omului. </w:t>
            </w:r>
            <w:r w:rsidR="007A1502" w:rsidRPr="00382AE9">
              <w:rPr>
                <w:lang w:val="ro-MD"/>
              </w:rPr>
              <w:t xml:space="preserve"> </w:t>
            </w:r>
          </w:p>
        </w:tc>
        <w:tc>
          <w:tcPr>
            <w:tcW w:w="5006" w:type="dxa"/>
          </w:tcPr>
          <w:p w:rsidR="000A0043" w:rsidRPr="00382AE9" w:rsidRDefault="00D51295" w:rsidP="00D51295">
            <w:pPr>
              <w:jc w:val="both"/>
              <w:rPr>
                <w:b/>
                <w:lang w:val="ro-MD"/>
              </w:rPr>
            </w:pPr>
            <w:r w:rsidRPr="00382AE9">
              <w:rPr>
                <w:b/>
                <w:lang w:val="ro-MD"/>
              </w:rPr>
              <w:lastRenderedPageBreak/>
              <w:t>Nu se acceptă.</w:t>
            </w:r>
          </w:p>
          <w:p w:rsidR="00D51295" w:rsidRPr="00382AE9" w:rsidRDefault="00D51295" w:rsidP="00D51295">
            <w:pPr>
              <w:jc w:val="both"/>
              <w:rPr>
                <w:lang w:val="ro-MD"/>
              </w:rPr>
            </w:pPr>
            <w:r w:rsidRPr="00382AE9">
              <w:rPr>
                <w:lang w:val="ro-MD"/>
              </w:rPr>
              <w:t xml:space="preserve">În punctul 33 din proiectul Regulamentului sînt specificate expres criteriile de evaluare a formatorilor. </w:t>
            </w:r>
          </w:p>
          <w:p w:rsidR="003E3702" w:rsidRPr="00382AE9" w:rsidRDefault="00D51295" w:rsidP="00D51295">
            <w:pPr>
              <w:jc w:val="both"/>
              <w:rPr>
                <w:color w:val="000000"/>
                <w:lang w:val="ro-MD"/>
              </w:rPr>
            </w:pPr>
            <w:r w:rsidRPr="00382AE9">
              <w:rPr>
                <w:lang w:val="ro-MD"/>
              </w:rPr>
              <w:t xml:space="preserve">Mai mult ca atît, potrivt proiectului vizat </w:t>
            </w:r>
            <w:r w:rsidRPr="00382AE9">
              <w:rPr>
                <w:color w:val="000000"/>
                <w:lang w:val="ro-MD"/>
              </w:rPr>
              <w:t>Comisia de evaluare a cursurilor și a prestatorilor de instruire</w:t>
            </w:r>
            <w:r w:rsidRPr="00382AE9">
              <w:rPr>
                <w:b/>
                <w:i/>
                <w:color w:val="000000"/>
                <w:lang w:val="ro-MD"/>
              </w:rPr>
              <w:t xml:space="preserve"> </w:t>
            </w:r>
            <w:r w:rsidRPr="00382AE9">
              <w:rPr>
                <w:color w:val="000000"/>
                <w:lang w:val="ro-MD"/>
              </w:rPr>
              <w:t>este</w:t>
            </w:r>
            <w:r w:rsidRPr="00382AE9">
              <w:rPr>
                <w:b/>
                <w:i/>
                <w:color w:val="000000"/>
                <w:lang w:val="ro-MD"/>
              </w:rPr>
              <w:t xml:space="preserve"> </w:t>
            </w:r>
            <w:r w:rsidRPr="00382AE9">
              <w:rPr>
                <w:color w:val="000000"/>
                <w:lang w:val="ro-MD"/>
              </w:rPr>
              <w:t>abilitată cu dreptul de evaluare și eliberare a avizelor privind oportunitatea eliberării de către Agenția Națională Asistență Socială a  certificatului de autorizare a prestatorilor de instruire inițială/continuă în domeniul asistenței sociale.</w:t>
            </w:r>
          </w:p>
          <w:p w:rsidR="002E381C" w:rsidRPr="00382AE9" w:rsidRDefault="002E381C" w:rsidP="00D51295">
            <w:pPr>
              <w:jc w:val="both"/>
              <w:rPr>
                <w:color w:val="000000"/>
                <w:lang w:val="ro-MD"/>
              </w:rPr>
            </w:pPr>
            <w:r w:rsidRPr="00382AE9">
              <w:rPr>
                <w:color w:val="000000"/>
                <w:lang w:val="ro-MD"/>
              </w:rPr>
              <w:lastRenderedPageBreak/>
              <w:t>În aceeași ordine de idei menționăm că</w:t>
            </w:r>
            <w:r w:rsidR="009D2D03" w:rsidRPr="00382AE9">
              <w:rPr>
                <w:color w:val="000000"/>
                <w:lang w:val="ro-MD"/>
              </w:rPr>
              <w:t>, fiecare curs de instruire are specificul său în dependență de profilul beneficiarilor, aspecte teoretice sau practice, cadrul normativ în domeniu, etc. respectiv, anumite cursuri pot fi predate de lectori universitari, doctori în științe, etc.</w:t>
            </w:r>
          </w:p>
          <w:p w:rsidR="00D51295" w:rsidRPr="00382AE9" w:rsidRDefault="00D51295" w:rsidP="009D2D03">
            <w:pPr>
              <w:jc w:val="both"/>
              <w:rPr>
                <w:lang w:val="ro-MD"/>
              </w:rPr>
            </w:pPr>
          </w:p>
        </w:tc>
      </w:tr>
      <w:tr w:rsidR="009A38DB" w:rsidRPr="00700FD8" w:rsidTr="00110EDF">
        <w:tc>
          <w:tcPr>
            <w:tcW w:w="2689" w:type="dxa"/>
          </w:tcPr>
          <w:p w:rsidR="009A38DB" w:rsidRPr="00382AE9" w:rsidRDefault="009A38DB" w:rsidP="009A38DB">
            <w:pPr>
              <w:jc w:val="center"/>
              <w:rPr>
                <w:b/>
                <w:lang w:val="ro-MD"/>
              </w:rPr>
            </w:pPr>
            <w:r w:rsidRPr="00382AE9">
              <w:rPr>
                <w:b/>
                <w:lang w:val="ro-MD"/>
              </w:rPr>
              <w:lastRenderedPageBreak/>
              <w:t>Confederația Națională a Sindicatelor din Moldova</w:t>
            </w:r>
          </w:p>
        </w:tc>
        <w:tc>
          <w:tcPr>
            <w:tcW w:w="7321" w:type="dxa"/>
          </w:tcPr>
          <w:p w:rsidR="009A38DB" w:rsidRPr="00382AE9" w:rsidRDefault="009A38DB" w:rsidP="003E6AC4">
            <w:pPr>
              <w:jc w:val="both"/>
              <w:rPr>
                <w:lang w:val="ro-MD"/>
              </w:rPr>
            </w:pPr>
            <w:r w:rsidRPr="00382AE9">
              <w:rPr>
                <w:lang w:val="ro-MD"/>
              </w:rPr>
              <w:t>Comunică lipsa obiecțiilor și propunerilor</w:t>
            </w:r>
          </w:p>
        </w:tc>
        <w:tc>
          <w:tcPr>
            <w:tcW w:w="5006" w:type="dxa"/>
          </w:tcPr>
          <w:p w:rsidR="009A38DB" w:rsidRPr="00382AE9" w:rsidRDefault="009A38DB" w:rsidP="003E6AC4">
            <w:pPr>
              <w:rPr>
                <w:b/>
                <w:lang w:val="ro-MD"/>
              </w:rPr>
            </w:pPr>
          </w:p>
        </w:tc>
      </w:tr>
      <w:tr w:rsidR="009A38DB" w:rsidRPr="00700FD8" w:rsidTr="00110EDF">
        <w:tc>
          <w:tcPr>
            <w:tcW w:w="2689" w:type="dxa"/>
          </w:tcPr>
          <w:p w:rsidR="009A38DB" w:rsidRPr="00382AE9" w:rsidRDefault="009A38DB" w:rsidP="009A38DB">
            <w:pPr>
              <w:jc w:val="center"/>
              <w:rPr>
                <w:b/>
                <w:lang w:val="ro-MD"/>
              </w:rPr>
            </w:pPr>
            <w:r w:rsidRPr="00382AE9">
              <w:rPr>
                <w:b/>
                <w:lang w:val="ro-MD"/>
              </w:rPr>
              <w:t>Agenția Națională Asistență Socială</w:t>
            </w:r>
          </w:p>
        </w:tc>
        <w:tc>
          <w:tcPr>
            <w:tcW w:w="7321" w:type="dxa"/>
          </w:tcPr>
          <w:p w:rsidR="009A38DB" w:rsidRPr="00382AE9" w:rsidRDefault="009A38DB" w:rsidP="003E6AC4">
            <w:pPr>
              <w:jc w:val="both"/>
              <w:rPr>
                <w:lang w:val="ro-MD"/>
              </w:rPr>
            </w:pPr>
            <w:r w:rsidRPr="00382AE9">
              <w:rPr>
                <w:lang w:val="ro-MD"/>
              </w:rPr>
              <w:t>Comunică lipsa obiecțiilor și propunerilor</w:t>
            </w:r>
          </w:p>
        </w:tc>
        <w:tc>
          <w:tcPr>
            <w:tcW w:w="5006" w:type="dxa"/>
          </w:tcPr>
          <w:p w:rsidR="009A38DB" w:rsidRPr="00382AE9" w:rsidRDefault="009A38DB" w:rsidP="003E6AC4">
            <w:pPr>
              <w:rPr>
                <w:b/>
                <w:lang w:val="ro-MD"/>
              </w:rPr>
            </w:pPr>
          </w:p>
        </w:tc>
      </w:tr>
    </w:tbl>
    <w:p w:rsidR="006C3468" w:rsidRPr="00382AE9" w:rsidRDefault="006C3468" w:rsidP="00513074">
      <w:pPr>
        <w:jc w:val="center"/>
        <w:rPr>
          <w:b/>
          <w:lang w:val="ro-MD"/>
        </w:rPr>
      </w:pPr>
    </w:p>
    <w:p w:rsidR="006C3468" w:rsidRPr="00382AE9" w:rsidRDefault="006C3468" w:rsidP="00513074">
      <w:pPr>
        <w:jc w:val="center"/>
        <w:rPr>
          <w:b/>
          <w:lang w:val="ro-MD"/>
        </w:rPr>
      </w:pPr>
    </w:p>
    <w:p w:rsidR="0041799E" w:rsidRPr="00382AE9" w:rsidRDefault="0041799E" w:rsidP="00FF7E68">
      <w:pPr>
        <w:tabs>
          <w:tab w:val="left" w:pos="1276"/>
        </w:tabs>
        <w:ind w:firstLine="567"/>
        <w:rPr>
          <w:b/>
          <w:bCs/>
          <w:color w:val="000000" w:themeColor="text1"/>
          <w:sz w:val="20"/>
          <w:szCs w:val="20"/>
          <w:lang w:val="ro-MD"/>
        </w:rPr>
      </w:pPr>
    </w:p>
    <w:p w:rsidR="00513074" w:rsidRPr="00382AE9" w:rsidRDefault="00513074" w:rsidP="00513074">
      <w:pPr>
        <w:tabs>
          <w:tab w:val="left" w:pos="1276"/>
        </w:tabs>
        <w:ind w:firstLine="567"/>
        <w:jc w:val="center"/>
        <w:rPr>
          <w:b/>
          <w:bCs/>
          <w:color w:val="000000" w:themeColor="text1"/>
          <w:sz w:val="20"/>
          <w:szCs w:val="20"/>
          <w:lang w:val="ro-MD"/>
        </w:rPr>
      </w:pPr>
    </w:p>
    <w:p w:rsidR="0041799E" w:rsidRPr="00382AE9" w:rsidRDefault="0041799E" w:rsidP="00513074">
      <w:pPr>
        <w:tabs>
          <w:tab w:val="left" w:pos="1276"/>
        </w:tabs>
        <w:ind w:firstLine="567"/>
        <w:jc w:val="center"/>
        <w:rPr>
          <w:b/>
          <w:bCs/>
          <w:color w:val="000000" w:themeColor="text1"/>
          <w:sz w:val="20"/>
          <w:szCs w:val="20"/>
          <w:lang w:val="ro-MD"/>
        </w:rPr>
      </w:pPr>
    </w:p>
    <w:p w:rsidR="00647664" w:rsidRPr="00D51295" w:rsidRDefault="00700FD8" w:rsidP="00700FD8">
      <w:pPr>
        <w:tabs>
          <w:tab w:val="left" w:pos="1276"/>
        </w:tabs>
        <w:ind w:firstLine="567"/>
        <w:jc w:val="center"/>
        <w:rPr>
          <w:b/>
          <w:bCs/>
          <w:color w:val="000000" w:themeColor="text1"/>
          <w:lang w:val="ro-MD"/>
        </w:rPr>
      </w:pPr>
      <w:r>
        <w:rPr>
          <w:b/>
          <w:color w:val="000000" w:themeColor="text1"/>
          <w:sz w:val="28"/>
          <w:szCs w:val="28"/>
          <w:lang w:val="ro-MD"/>
        </w:rPr>
        <w:t xml:space="preserve">Secretar de Stat                         </w:t>
      </w:r>
      <w:r>
        <w:rPr>
          <w:b/>
          <w:color w:val="000000" w:themeColor="text1"/>
          <w:sz w:val="28"/>
          <w:szCs w:val="28"/>
          <w:lang w:val="ro-MD"/>
        </w:rPr>
        <w:t xml:space="preserve">                                                             </w:t>
      </w:r>
      <w:bookmarkStart w:id="0" w:name="_GoBack"/>
      <w:bookmarkEnd w:id="0"/>
      <w:r>
        <w:rPr>
          <w:b/>
          <w:color w:val="000000" w:themeColor="text1"/>
          <w:sz w:val="28"/>
          <w:szCs w:val="28"/>
          <w:lang w:val="ro-MD"/>
        </w:rPr>
        <w:t xml:space="preserve">                             Viorica Dumbrăveanu</w:t>
      </w:r>
    </w:p>
    <w:sectPr w:rsidR="00647664" w:rsidRPr="00D51295" w:rsidSect="00B2286F">
      <w:pgSz w:w="16838" w:h="11906" w:orient="landscape"/>
      <w:pgMar w:top="450" w:right="678" w:bottom="27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5AC4384"/>
    <w:multiLevelType w:val="multilevel"/>
    <w:tmpl w:val="D76A91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7285B"/>
    <w:multiLevelType w:val="multilevel"/>
    <w:tmpl w:val="48707A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522DA"/>
    <w:multiLevelType w:val="hybridMultilevel"/>
    <w:tmpl w:val="6F1A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C9F"/>
    <w:multiLevelType w:val="multilevel"/>
    <w:tmpl w:val="D7C086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94230"/>
    <w:multiLevelType w:val="hybridMultilevel"/>
    <w:tmpl w:val="8260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81DA2"/>
    <w:multiLevelType w:val="multilevel"/>
    <w:tmpl w:val="6FBE5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E5119"/>
    <w:multiLevelType w:val="hybridMultilevel"/>
    <w:tmpl w:val="82EC0A74"/>
    <w:lvl w:ilvl="0" w:tplc="4BF8FB4E">
      <w:start w:val="1"/>
      <w:numFmt w:val="decimal"/>
      <w:lvlText w:val="(%1)"/>
      <w:lvlJc w:val="left"/>
      <w:pPr>
        <w:ind w:left="705" w:hanging="40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20ED4C83"/>
    <w:multiLevelType w:val="multilevel"/>
    <w:tmpl w:val="0B08B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F01784"/>
    <w:multiLevelType w:val="multilevel"/>
    <w:tmpl w:val="A1A6D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242DD"/>
    <w:multiLevelType w:val="multilevel"/>
    <w:tmpl w:val="0B08B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627565"/>
    <w:multiLevelType w:val="hybridMultilevel"/>
    <w:tmpl w:val="E1CAC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252634"/>
    <w:multiLevelType w:val="hybridMultilevel"/>
    <w:tmpl w:val="BA140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67904"/>
    <w:multiLevelType w:val="hybridMultilevel"/>
    <w:tmpl w:val="1E366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6218A"/>
    <w:multiLevelType w:val="multilevel"/>
    <w:tmpl w:val="CCBC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9E0EF1"/>
    <w:multiLevelType w:val="hybridMultilevel"/>
    <w:tmpl w:val="800EF872"/>
    <w:lvl w:ilvl="0" w:tplc="2698E26C">
      <w:start w:val="1"/>
      <w:numFmt w:val="decimal"/>
      <w:lvlText w:val="%1."/>
      <w:lvlJc w:val="left"/>
      <w:pPr>
        <w:ind w:left="786" w:hanging="360"/>
      </w:pPr>
      <w:rPr>
        <w:b w:val="0"/>
      </w:rPr>
    </w:lvl>
    <w:lvl w:ilvl="1" w:tplc="04190017">
      <w:start w:val="1"/>
      <w:numFmt w:val="lowerLetter"/>
      <w:lvlText w:val="%2)"/>
      <w:lvlJc w:val="left"/>
      <w:pPr>
        <w:ind w:left="1440" w:hanging="360"/>
      </w:pPr>
    </w:lvl>
    <w:lvl w:ilvl="2" w:tplc="187A480A">
      <w:start w:val="39"/>
      <w:numFmt w:val="bullet"/>
      <w:lvlText w:val="-"/>
      <w:lvlJc w:val="left"/>
      <w:pPr>
        <w:ind w:left="2340" w:hanging="360"/>
      </w:pPr>
      <w:rPr>
        <w:rFonts w:ascii="Times New Roman" w:eastAsiaTheme="minorEastAsia" w:hAnsi="Times New Roman" w:cs="Times New Roman" w:hint="default"/>
        <w:b/>
      </w:rPr>
    </w:lvl>
    <w:lvl w:ilvl="3" w:tplc="7FCC1A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3762D"/>
    <w:multiLevelType w:val="multilevel"/>
    <w:tmpl w:val="C46CF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85A47"/>
    <w:multiLevelType w:val="hybridMultilevel"/>
    <w:tmpl w:val="90BAAED6"/>
    <w:lvl w:ilvl="0" w:tplc="4C467196">
      <w:start w:val="1"/>
      <w:numFmt w:val="decimal"/>
      <w:lvlText w:val="%1."/>
      <w:lvlJc w:val="left"/>
      <w:pPr>
        <w:tabs>
          <w:tab w:val="num" w:pos="517"/>
        </w:tabs>
        <w:ind w:left="517" w:hanging="375"/>
      </w:pPr>
      <w:rPr>
        <w:rFonts w:cs="Times New Roman" w:hint="default"/>
        <w:b w:val="0"/>
        <w:sz w:val="28"/>
        <w:szCs w:val="28"/>
      </w:rPr>
    </w:lvl>
    <w:lvl w:ilvl="1" w:tplc="04090001">
      <w:start w:val="1"/>
      <w:numFmt w:val="bullet"/>
      <w:lvlText w:val=""/>
      <w:lvlJc w:val="left"/>
      <w:pPr>
        <w:tabs>
          <w:tab w:val="num" w:pos="900"/>
        </w:tabs>
        <w:ind w:left="900" w:hanging="360"/>
      </w:pPr>
      <w:rPr>
        <w:rFonts w:ascii="Symbol" w:hAnsi="Symbol" w:hint="default"/>
      </w:rPr>
    </w:lvl>
    <w:lvl w:ilvl="2" w:tplc="04190011">
      <w:start w:val="1"/>
      <w:numFmt w:val="decimal"/>
      <w:lvlText w:val="%3)"/>
      <w:lvlJc w:val="left"/>
      <w:pPr>
        <w:tabs>
          <w:tab w:val="num" w:pos="1815"/>
        </w:tabs>
        <w:ind w:left="1815" w:hanging="375"/>
      </w:pPr>
      <w:rPr>
        <w:rFonts w:cs="Times New Roman" w:hint="default"/>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8" w15:restartNumberingAfterBreak="0">
    <w:nsid w:val="3BAC62A2"/>
    <w:multiLevelType w:val="hybridMultilevel"/>
    <w:tmpl w:val="66FC6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977AEC"/>
    <w:multiLevelType w:val="multilevel"/>
    <w:tmpl w:val="E70AE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665A01"/>
    <w:multiLevelType w:val="multilevel"/>
    <w:tmpl w:val="449A2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AF2F3B"/>
    <w:multiLevelType w:val="hybridMultilevel"/>
    <w:tmpl w:val="2790188A"/>
    <w:lvl w:ilvl="0" w:tplc="2698E26C">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6323B62"/>
    <w:multiLevelType w:val="multilevel"/>
    <w:tmpl w:val="DC7E8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C95A20"/>
    <w:multiLevelType w:val="hybridMultilevel"/>
    <w:tmpl w:val="B2389F58"/>
    <w:lvl w:ilvl="0" w:tplc="04190017">
      <w:start w:val="1"/>
      <w:numFmt w:val="lowerLetter"/>
      <w:lvlText w:val="%1)"/>
      <w:lvlJc w:val="left"/>
      <w:pPr>
        <w:ind w:left="1379" w:hanging="360"/>
      </w:p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4" w15:restartNumberingAfterBreak="0">
    <w:nsid w:val="480E027C"/>
    <w:multiLevelType w:val="multilevel"/>
    <w:tmpl w:val="DC7E8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EB0C48"/>
    <w:multiLevelType w:val="hybridMultilevel"/>
    <w:tmpl w:val="D27EC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57F25"/>
    <w:multiLevelType w:val="hybridMultilevel"/>
    <w:tmpl w:val="E578C0FE"/>
    <w:lvl w:ilvl="0" w:tplc="D4EE61D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853346A"/>
    <w:multiLevelType w:val="hybridMultilevel"/>
    <w:tmpl w:val="1E5879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5ECA2761"/>
    <w:multiLevelType w:val="multilevel"/>
    <w:tmpl w:val="E5905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42FAC"/>
    <w:multiLevelType w:val="hybridMultilevel"/>
    <w:tmpl w:val="A77CEBB6"/>
    <w:lvl w:ilvl="0" w:tplc="A82A01AE">
      <w:numFmt w:val="bullet"/>
      <w:lvlText w:val="-"/>
      <w:lvlJc w:val="left"/>
      <w:pPr>
        <w:ind w:left="400" w:hanging="360"/>
      </w:pPr>
      <w:rPr>
        <w:rFonts w:ascii="Times New Roman" w:eastAsia="Times New Roman" w:hAnsi="Times New Roman" w:cs="Times New Roman" w:hint="default"/>
        <w:color w:val="00000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15:restartNumberingAfterBreak="0">
    <w:nsid w:val="706F1636"/>
    <w:multiLevelType w:val="hybridMultilevel"/>
    <w:tmpl w:val="1EB8BC4C"/>
    <w:lvl w:ilvl="0" w:tplc="1F822468">
      <w:start w:val="7"/>
      <w:numFmt w:val="decimal"/>
      <w:lvlText w:val="%1."/>
      <w:lvlJc w:val="left"/>
      <w:pPr>
        <w:ind w:left="720" w:hanging="360"/>
      </w:pPr>
      <w:rPr>
        <w:rFonts w:eastAsiaTheme="minorHAnsi" w:cstheme="minorBid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9703E"/>
    <w:multiLevelType w:val="multilevel"/>
    <w:tmpl w:val="71DA4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B219D"/>
    <w:multiLevelType w:val="hybridMultilevel"/>
    <w:tmpl w:val="17627F84"/>
    <w:lvl w:ilvl="0" w:tplc="5C8E50FA">
      <w:start w:val="1"/>
      <w:numFmt w:val="decimal"/>
      <w:lvlText w:val="%1)"/>
      <w:lvlJc w:val="left"/>
      <w:pPr>
        <w:tabs>
          <w:tab w:val="num" w:pos="1548"/>
        </w:tabs>
        <w:ind w:left="1548" w:hanging="8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2"/>
  </w:num>
  <w:num w:numId="2">
    <w:abstractNumId w:val="17"/>
  </w:num>
  <w:num w:numId="3">
    <w:abstractNumId w:val="23"/>
  </w:num>
  <w:num w:numId="4">
    <w:abstractNumId w:val="15"/>
  </w:num>
  <w:num w:numId="5">
    <w:abstractNumId w:val="6"/>
  </w:num>
  <w:num w:numId="6">
    <w:abstractNumId w:val="30"/>
  </w:num>
  <w:num w:numId="7">
    <w:abstractNumId w:val="8"/>
  </w:num>
  <w:num w:numId="8">
    <w:abstractNumId w:val="10"/>
  </w:num>
  <w:num w:numId="9">
    <w:abstractNumId w:val="31"/>
  </w:num>
  <w:num w:numId="10">
    <w:abstractNumId w:val="13"/>
  </w:num>
  <w:num w:numId="11">
    <w:abstractNumId w:val="21"/>
  </w:num>
  <w:num w:numId="12">
    <w:abstractNumId w:val="18"/>
  </w:num>
  <w:num w:numId="13">
    <w:abstractNumId w:val="29"/>
  </w:num>
  <w:num w:numId="14">
    <w:abstractNumId w:val="4"/>
  </w:num>
  <w:num w:numId="15">
    <w:abstractNumId w:val="9"/>
  </w:num>
  <w:num w:numId="16">
    <w:abstractNumId w:val="19"/>
  </w:num>
  <w:num w:numId="17">
    <w:abstractNumId w:val="16"/>
  </w:num>
  <w:num w:numId="18">
    <w:abstractNumId w:val="27"/>
  </w:num>
  <w:num w:numId="19">
    <w:abstractNumId w:val="26"/>
  </w:num>
  <w:num w:numId="20">
    <w:abstractNumId w:val="7"/>
  </w:num>
  <w:num w:numId="21">
    <w:abstractNumId w:val="11"/>
  </w:num>
  <w:num w:numId="22">
    <w:abstractNumId w:val="32"/>
  </w:num>
  <w:num w:numId="23">
    <w:abstractNumId w:val="20"/>
  </w:num>
  <w:num w:numId="24">
    <w:abstractNumId w:val="28"/>
  </w:num>
  <w:num w:numId="25">
    <w:abstractNumId w:val="14"/>
  </w:num>
  <w:num w:numId="26">
    <w:abstractNumId w:val="0"/>
  </w:num>
  <w:num w:numId="27">
    <w:abstractNumId w:val="24"/>
  </w:num>
  <w:num w:numId="28">
    <w:abstractNumId w:val="22"/>
  </w:num>
  <w:num w:numId="29">
    <w:abstractNumId w:val="3"/>
  </w:num>
  <w:num w:numId="30">
    <w:abstractNumId w:val="5"/>
  </w:num>
  <w:num w:numId="31">
    <w:abstractNumId w:val="25"/>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F9"/>
    <w:rsid w:val="00001292"/>
    <w:rsid w:val="00003F9C"/>
    <w:rsid w:val="00005D91"/>
    <w:rsid w:val="00006068"/>
    <w:rsid w:val="00007091"/>
    <w:rsid w:val="00011DA0"/>
    <w:rsid w:val="00012D8B"/>
    <w:rsid w:val="00021957"/>
    <w:rsid w:val="00021CA4"/>
    <w:rsid w:val="0002205E"/>
    <w:rsid w:val="000241F7"/>
    <w:rsid w:val="000245EB"/>
    <w:rsid w:val="00032541"/>
    <w:rsid w:val="00033AC6"/>
    <w:rsid w:val="000345CE"/>
    <w:rsid w:val="000427DD"/>
    <w:rsid w:val="00050435"/>
    <w:rsid w:val="00050513"/>
    <w:rsid w:val="00053BF9"/>
    <w:rsid w:val="00054D49"/>
    <w:rsid w:val="000565BF"/>
    <w:rsid w:val="000568F2"/>
    <w:rsid w:val="0005762D"/>
    <w:rsid w:val="000643F5"/>
    <w:rsid w:val="000700F7"/>
    <w:rsid w:val="000727D6"/>
    <w:rsid w:val="00077D1A"/>
    <w:rsid w:val="000868B6"/>
    <w:rsid w:val="00095366"/>
    <w:rsid w:val="000A0043"/>
    <w:rsid w:val="000A126F"/>
    <w:rsid w:val="000A43E9"/>
    <w:rsid w:val="000A77E9"/>
    <w:rsid w:val="000B30F7"/>
    <w:rsid w:val="000B43ED"/>
    <w:rsid w:val="000C20F2"/>
    <w:rsid w:val="000C2431"/>
    <w:rsid w:val="000C5AB7"/>
    <w:rsid w:val="000C5FC4"/>
    <w:rsid w:val="000C7738"/>
    <w:rsid w:val="000D07A3"/>
    <w:rsid w:val="000D2AC9"/>
    <w:rsid w:val="000E18CB"/>
    <w:rsid w:val="000E2B0D"/>
    <w:rsid w:val="000E37C1"/>
    <w:rsid w:val="000E66E8"/>
    <w:rsid w:val="000E7047"/>
    <w:rsid w:val="000F1522"/>
    <w:rsid w:val="000F38C2"/>
    <w:rsid w:val="000F3C76"/>
    <w:rsid w:val="000F71C4"/>
    <w:rsid w:val="000F7802"/>
    <w:rsid w:val="001015B8"/>
    <w:rsid w:val="00104606"/>
    <w:rsid w:val="00106051"/>
    <w:rsid w:val="0010787F"/>
    <w:rsid w:val="00110540"/>
    <w:rsid w:val="00110EDF"/>
    <w:rsid w:val="00111424"/>
    <w:rsid w:val="00111E63"/>
    <w:rsid w:val="001137CD"/>
    <w:rsid w:val="00114F3E"/>
    <w:rsid w:val="00116FB2"/>
    <w:rsid w:val="00122392"/>
    <w:rsid w:val="00123718"/>
    <w:rsid w:val="00125B21"/>
    <w:rsid w:val="00130A44"/>
    <w:rsid w:val="00131F56"/>
    <w:rsid w:val="00133249"/>
    <w:rsid w:val="00136240"/>
    <w:rsid w:val="00136C71"/>
    <w:rsid w:val="00137D4F"/>
    <w:rsid w:val="001458F0"/>
    <w:rsid w:val="001469E8"/>
    <w:rsid w:val="001474E1"/>
    <w:rsid w:val="001506E5"/>
    <w:rsid w:val="001518F8"/>
    <w:rsid w:val="001536D8"/>
    <w:rsid w:val="00154570"/>
    <w:rsid w:val="001571E3"/>
    <w:rsid w:val="00164AD6"/>
    <w:rsid w:val="00166403"/>
    <w:rsid w:val="00173B7B"/>
    <w:rsid w:val="00177417"/>
    <w:rsid w:val="0017779A"/>
    <w:rsid w:val="00181FAB"/>
    <w:rsid w:val="00186AE3"/>
    <w:rsid w:val="001908ED"/>
    <w:rsid w:val="001A0449"/>
    <w:rsid w:val="001A0E96"/>
    <w:rsid w:val="001A2627"/>
    <w:rsid w:val="001A4786"/>
    <w:rsid w:val="001B00A2"/>
    <w:rsid w:val="001B3AD2"/>
    <w:rsid w:val="001C6174"/>
    <w:rsid w:val="001E0ED3"/>
    <w:rsid w:val="001E24AB"/>
    <w:rsid w:val="001E3B86"/>
    <w:rsid w:val="001E4B1A"/>
    <w:rsid w:val="001E565C"/>
    <w:rsid w:val="001E5F37"/>
    <w:rsid w:val="001F1715"/>
    <w:rsid w:val="001F3DA6"/>
    <w:rsid w:val="001F4920"/>
    <w:rsid w:val="001F5C87"/>
    <w:rsid w:val="001F7B53"/>
    <w:rsid w:val="00200F0D"/>
    <w:rsid w:val="002054C1"/>
    <w:rsid w:val="00213C24"/>
    <w:rsid w:val="00213F4C"/>
    <w:rsid w:val="00214032"/>
    <w:rsid w:val="00221E03"/>
    <w:rsid w:val="00222424"/>
    <w:rsid w:val="00225080"/>
    <w:rsid w:val="00234FB3"/>
    <w:rsid w:val="00242DBA"/>
    <w:rsid w:val="00245CCB"/>
    <w:rsid w:val="00246245"/>
    <w:rsid w:val="002524B9"/>
    <w:rsid w:val="00256044"/>
    <w:rsid w:val="00260427"/>
    <w:rsid w:val="00260A94"/>
    <w:rsid w:val="00260DFA"/>
    <w:rsid w:val="00261453"/>
    <w:rsid w:val="002636D0"/>
    <w:rsid w:val="00270F24"/>
    <w:rsid w:val="00272221"/>
    <w:rsid w:val="0028021F"/>
    <w:rsid w:val="002813F2"/>
    <w:rsid w:val="00281F55"/>
    <w:rsid w:val="002839DC"/>
    <w:rsid w:val="00287764"/>
    <w:rsid w:val="0029099A"/>
    <w:rsid w:val="00290C10"/>
    <w:rsid w:val="0029240B"/>
    <w:rsid w:val="002946CE"/>
    <w:rsid w:val="002958A3"/>
    <w:rsid w:val="002A11E4"/>
    <w:rsid w:val="002A1580"/>
    <w:rsid w:val="002A2326"/>
    <w:rsid w:val="002B1BF1"/>
    <w:rsid w:val="002B391A"/>
    <w:rsid w:val="002C1883"/>
    <w:rsid w:val="002C5BA2"/>
    <w:rsid w:val="002D119F"/>
    <w:rsid w:val="002D3E7D"/>
    <w:rsid w:val="002E22C5"/>
    <w:rsid w:val="002E381C"/>
    <w:rsid w:val="002F4E04"/>
    <w:rsid w:val="002F6B58"/>
    <w:rsid w:val="0030241C"/>
    <w:rsid w:val="00302FFE"/>
    <w:rsid w:val="00312392"/>
    <w:rsid w:val="00314628"/>
    <w:rsid w:val="003148E5"/>
    <w:rsid w:val="00321DAD"/>
    <w:rsid w:val="00322596"/>
    <w:rsid w:val="003275EA"/>
    <w:rsid w:val="00330446"/>
    <w:rsid w:val="00331895"/>
    <w:rsid w:val="00334FB5"/>
    <w:rsid w:val="00336683"/>
    <w:rsid w:val="003377EE"/>
    <w:rsid w:val="00345257"/>
    <w:rsid w:val="00347D24"/>
    <w:rsid w:val="00350969"/>
    <w:rsid w:val="003516F7"/>
    <w:rsid w:val="00353544"/>
    <w:rsid w:val="00355342"/>
    <w:rsid w:val="00355D2A"/>
    <w:rsid w:val="00364E54"/>
    <w:rsid w:val="003678A2"/>
    <w:rsid w:val="00367BFE"/>
    <w:rsid w:val="00370107"/>
    <w:rsid w:val="003713DA"/>
    <w:rsid w:val="00372EC6"/>
    <w:rsid w:val="00376D52"/>
    <w:rsid w:val="003770BB"/>
    <w:rsid w:val="0037711B"/>
    <w:rsid w:val="00382549"/>
    <w:rsid w:val="00382AE9"/>
    <w:rsid w:val="00392B5A"/>
    <w:rsid w:val="00392D35"/>
    <w:rsid w:val="00393F1D"/>
    <w:rsid w:val="003943BD"/>
    <w:rsid w:val="00395659"/>
    <w:rsid w:val="003971CD"/>
    <w:rsid w:val="003A03A0"/>
    <w:rsid w:val="003A0B5C"/>
    <w:rsid w:val="003A2781"/>
    <w:rsid w:val="003A46A2"/>
    <w:rsid w:val="003A666E"/>
    <w:rsid w:val="003B027D"/>
    <w:rsid w:val="003B1DEB"/>
    <w:rsid w:val="003C3205"/>
    <w:rsid w:val="003C3FEC"/>
    <w:rsid w:val="003C554D"/>
    <w:rsid w:val="003C5B7F"/>
    <w:rsid w:val="003C70EE"/>
    <w:rsid w:val="003C7D01"/>
    <w:rsid w:val="003D07D2"/>
    <w:rsid w:val="003D2083"/>
    <w:rsid w:val="003D2729"/>
    <w:rsid w:val="003D2CFE"/>
    <w:rsid w:val="003D6ED2"/>
    <w:rsid w:val="003D7C1F"/>
    <w:rsid w:val="003E1B37"/>
    <w:rsid w:val="003E3702"/>
    <w:rsid w:val="003E69EA"/>
    <w:rsid w:val="003E6AC4"/>
    <w:rsid w:val="003F1121"/>
    <w:rsid w:val="003F15A6"/>
    <w:rsid w:val="003F1965"/>
    <w:rsid w:val="003F42F6"/>
    <w:rsid w:val="003F75C0"/>
    <w:rsid w:val="003F79BD"/>
    <w:rsid w:val="004016E6"/>
    <w:rsid w:val="00402421"/>
    <w:rsid w:val="0040261B"/>
    <w:rsid w:val="0040348D"/>
    <w:rsid w:val="00411B13"/>
    <w:rsid w:val="004137D9"/>
    <w:rsid w:val="00414118"/>
    <w:rsid w:val="0041799E"/>
    <w:rsid w:val="0042014F"/>
    <w:rsid w:val="00421E73"/>
    <w:rsid w:val="00422311"/>
    <w:rsid w:val="00425860"/>
    <w:rsid w:val="004262E4"/>
    <w:rsid w:val="00432353"/>
    <w:rsid w:val="00434D4F"/>
    <w:rsid w:val="00435353"/>
    <w:rsid w:val="004419BA"/>
    <w:rsid w:val="004429D4"/>
    <w:rsid w:val="0044486A"/>
    <w:rsid w:val="00446020"/>
    <w:rsid w:val="00446374"/>
    <w:rsid w:val="00447B1F"/>
    <w:rsid w:val="00447E5C"/>
    <w:rsid w:val="00450502"/>
    <w:rsid w:val="00450FBF"/>
    <w:rsid w:val="00454ED7"/>
    <w:rsid w:val="00455BD8"/>
    <w:rsid w:val="0045762B"/>
    <w:rsid w:val="00463721"/>
    <w:rsid w:val="00463E4D"/>
    <w:rsid w:val="004702F6"/>
    <w:rsid w:val="004764C3"/>
    <w:rsid w:val="004810C8"/>
    <w:rsid w:val="00482CA8"/>
    <w:rsid w:val="00484CEB"/>
    <w:rsid w:val="004902E2"/>
    <w:rsid w:val="0049251E"/>
    <w:rsid w:val="0049389F"/>
    <w:rsid w:val="00494F0A"/>
    <w:rsid w:val="00495AA3"/>
    <w:rsid w:val="004A4396"/>
    <w:rsid w:val="004A4BFE"/>
    <w:rsid w:val="004A5D7F"/>
    <w:rsid w:val="004A74B0"/>
    <w:rsid w:val="004B1FE8"/>
    <w:rsid w:val="004B21C9"/>
    <w:rsid w:val="004B41B2"/>
    <w:rsid w:val="004B719B"/>
    <w:rsid w:val="004C0E4C"/>
    <w:rsid w:val="004C1AD7"/>
    <w:rsid w:val="004C37B2"/>
    <w:rsid w:val="004C5778"/>
    <w:rsid w:val="004C63AA"/>
    <w:rsid w:val="004C65FB"/>
    <w:rsid w:val="004D21DB"/>
    <w:rsid w:val="004D22A8"/>
    <w:rsid w:val="004E421F"/>
    <w:rsid w:val="004E5C7E"/>
    <w:rsid w:val="004F441B"/>
    <w:rsid w:val="004F54E2"/>
    <w:rsid w:val="004F6673"/>
    <w:rsid w:val="004F763A"/>
    <w:rsid w:val="0050042F"/>
    <w:rsid w:val="00504C99"/>
    <w:rsid w:val="00504E07"/>
    <w:rsid w:val="00505052"/>
    <w:rsid w:val="00505E0C"/>
    <w:rsid w:val="00506D7C"/>
    <w:rsid w:val="0051066A"/>
    <w:rsid w:val="005116A1"/>
    <w:rsid w:val="00511EC2"/>
    <w:rsid w:val="00512D7D"/>
    <w:rsid w:val="00513074"/>
    <w:rsid w:val="005132AC"/>
    <w:rsid w:val="00516C4A"/>
    <w:rsid w:val="00520F86"/>
    <w:rsid w:val="005214D5"/>
    <w:rsid w:val="00521565"/>
    <w:rsid w:val="00524193"/>
    <w:rsid w:val="0053068A"/>
    <w:rsid w:val="00530E65"/>
    <w:rsid w:val="00533D41"/>
    <w:rsid w:val="00536BFF"/>
    <w:rsid w:val="0054067A"/>
    <w:rsid w:val="00542E98"/>
    <w:rsid w:val="00543AB6"/>
    <w:rsid w:val="00544D60"/>
    <w:rsid w:val="00546008"/>
    <w:rsid w:val="00546926"/>
    <w:rsid w:val="00547453"/>
    <w:rsid w:val="0055101F"/>
    <w:rsid w:val="00551260"/>
    <w:rsid w:val="005516BE"/>
    <w:rsid w:val="00552BDE"/>
    <w:rsid w:val="00553D41"/>
    <w:rsid w:val="005540D8"/>
    <w:rsid w:val="005663FE"/>
    <w:rsid w:val="00581DBB"/>
    <w:rsid w:val="0058208C"/>
    <w:rsid w:val="00583B17"/>
    <w:rsid w:val="0058426E"/>
    <w:rsid w:val="00584F4B"/>
    <w:rsid w:val="00585486"/>
    <w:rsid w:val="00595AB4"/>
    <w:rsid w:val="0059618A"/>
    <w:rsid w:val="005A4F0F"/>
    <w:rsid w:val="005B009F"/>
    <w:rsid w:val="005B0AF8"/>
    <w:rsid w:val="005B0E42"/>
    <w:rsid w:val="005B1B73"/>
    <w:rsid w:val="005B41B3"/>
    <w:rsid w:val="005B4E7F"/>
    <w:rsid w:val="005B7C1A"/>
    <w:rsid w:val="005C1AFF"/>
    <w:rsid w:val="005C212D"/>
    <w:rsid w:val="005D1914"/>
    <w:rsid w:val="005D2473"/>
    <w:rsid w:val="005D6E7B"/>
    <w:rsid w:val="005E21F7"/>
    <w:rsid w:val="005E3110"/>
    <w:rsid w:val="005E7B23"/>
    <w:rsid w:val="005F45C3"/>
    <w:rsid w:val="005F4DE8"/>
    <w:rsid w:val="005F64BB"/>
    <w:rsid w:val="006013C7"/>
    <w:rsid w:val="0060155E"/>
    <w:rsid w:val="0060317B"/>
    <w:rsid w:val="00604B75"/>
    <w:rsid w:val="00605DA9"/>
    <w:rsid w:val="00616E29"/>
    <w:rsid w:val="0062281F"/>
    <w:rsid w:val="00630905"/>
    <w:rsid w:val="00630A5D"/>
    <w:rsid w:val="00632241"/>
    <w:rsid w:val="006329F0"/>
    <w:rsid w:val="00642A9B"/>
    <w:rsid w:val="00644049"/>
    <w:rsid w:val="00644129"/>
    <w:rsid w:val="00644C22"/>
    <w:rsid w:val="00647664"/>
    <w:rsid w:val="006508B2"/>
    <w:rsid w:val="006510F9"/>
    <w:rsid w:val="006546FA"/>
    <w:rsid w:val="00654AD5"/>
    <w:rsid w:val="006561A5"/>
    <w:rsid w:val="0065692A"/>
    <w:rsid w:val="006574FE"/>
    <w:rsid w:val="006612ED"/>
    <w:rsid w:val="006617A2"/>
    <w:rsid w:val="006630FC"/>
    <w:rsid w:val="0066435B"/>
    <w:rsid w:val="00672A55"/>
    <w:rsid w:val="006732E7"/>
    <w:rsid w:val="00674202"/>
    <w:rsid w:val="00674694"/>
    <w:rsid w:val="0067681F"/>
    <w:rsid w:val="006803DC"/>
    <w:rsid w:val="00680DCD"/>
    <w:rsid w:val="0068245E"/>
    <w:rsid w:val="00685A3D"/>
    <w:rsid w:val="00693C8E"/>
    <w:rsid w:val="0069402D"/>
    <w:rsid w:val="00694795"/>
    <w:rsid w:val="00695627"/>
    <w:rsid w:val="006A144B"/>
    <w:rsid w:val="006A2D81"/>
    <w:rsid w:val="006A2DA3"/>
    <w:rsid w:val="006A3F21"/>
    <w:rsid w:val="006A6359"/>
    <w:rsid w:val="006A6420"/>
    <w:rsid w:val="006B1072"/>
    <w:rsid w:val="006B172B"/>
    <w:rsid w:val="006B2449"/>
    <w:rsid w:val="006B5E67"/>
    <w:rsid w:val="006B61D7"/>
    <w:rsid w:val="006B629B"/>
    <w:rsid w:val="006B6BB8"/>
    <w:rsid w:val="006C1D2C"/>
    <w:rsid w:val="006C3468"/>
    <w:rsid w:val="006C4C28"/>
    <w:rsid w:val="006C65AF"/>
    <w:rsid w:val="006C72F3"/>
    <w:rsid w:val="006C7661"/>
    <w:rsid w:val="006D0E20"/>
    <w:rsid w:val="006D1E58"/>
    <w:rsid w:val="006D393B"/>
    <w:rsid w:val="006D3E7D"/>
    <w:rsid w:val="006D4667"/>
    <w:rsid w:val="006D659A"/>
    <w:rsid w:val="006D74CA"/>
    <w:rsid w:val="006E66BB"/>
    <w:rsid w:val="006E6B3B"/>
    <w:rsid w:val="006F1B33"/>
    <w:rsid w:val="00700FD8"/>
    <w:rsid w:val="007012CE"/>
    <w:rsid w:val="00702058"/>
    <w:rsid w:val="00703F7F"/>
    <w:rsid w:val="00705209"/>
    <w:rsid w:val="00705E89"/>
    <w:rsid w:val="007072CE"/>
    <w:rsid w:val="00712BA5"/>
    <w:rsid w:val="007149A2"/>
    <w:rsid w:val="00715525"/>
    <w:rsid w:val="00717D52"/>
    <w:rsid w:val="007215F7"/>
    <w:rsid w:val="007275AC"/>
    <w:rsid w:val="00727E9A"/>
    <w:rsid w:val="00734D3D"/>
    <w:rsid w:val="00745875"/>
    <w:rsid w:val="00746B18"/>
    <w:rsid w:val="0074711D"/>
    <w:rsid w:val="007471F6"/>
    <w:rsid w:val="00747433"/>
    <w:rsid w:val="00752813"/>
    <w:rsid w:val="00752E2B"/>
    <w:rsid w:val="007556BD"/>
    <w:rsid w:val="00756FAF"/>
    <w:rsid w:val="007577A5"/>
    <w:rsid w:val="00764802"/>
    <w:rsid w:val="0077160C"/>
    <w:rsid w:val="00772CBA"/>
    <w:rsid w:val="0077534A"/>
    <w:rsid w:val="00775408"/>
    <w:rsid w:val="00776D3C"/>
    <w:rsid w:val="00780406"/>
    <w:rsid w:val="00785C57"/>
    <w:rsid w:val="00787358"/>
    <w:rsid w:val="00794844"/>
    <w:rsid w:val="00794E9C"/>
    <w:rsid w:val="007955E4"/>
    <w:rsid w:val="007A05E8"/>
    <w:rsid w:val="007A1502"/>
    <w:rsid w:val="007A1C6F"/>
    <w:rsid w:val="007A731C"/>
    <w:rsid w:val="007A7CB4"/>
    <w:rsid w:val="007B02F9"/>
    <w:rsid w:val="007B5600"/>
    <w:rsid w:val="007B6613"/>
    <w:rsid w:val="007C006B"/>
    <w:rsid w:val="007C1015"/>
    <w:rsid w:val="007C2C2B"/>
    <w:rsid w:val="007C38D3"/>
    <w:rsid w:val="007C4028"/>
    <w:rsid w:val="007C4B24"/>
    <w:rsid w:val="007C5A50"/>
    <w:rsid w:val="007C6070"/>
    <w:rsid w:val="007D0ACD"/>
    <w:rsid w:val="007D5019"/>
    <w:rsid w:val="007D5A4D"/>
    <w:rsid w:val="007D6265"/>
    <w:rsid w:val="007F4F1C"/>
    <w:rsid w:val="007F658D"/>
    <w:rsid w:val="00800574"/>
    <w:rsid w:val="00800DCA"/>
    <w:rsid w:val="008014E9"/>
    <w:rsid w:val="008029C7"/>
    <w:rsid w:val="008046DA"/>
    <w:rsid w:val="00804FDD"/>
    <w:rsid w:val="008060DA"/>
    <w:rsid w:val="00810602"/>
    <w:rsid w:val="00811B85"/>
    <w:rsid w:val="00813671"/>
    <w:rsid w:val="008240FC"/>
    <w:rsid w:val="00825C8D"/>
    <w:rsid w:val="00832F92"/>
    <w:rsid w:val="008346F1"/>
    <w:rsid w:val="00834FB3"/>
    <w:rsid w:val="00836A6D"/>
    <w:rsid w:val="008404EB"/>
    <w:rsid w:val="00842281"/>
    <w:rsid w:val="00842490"/>
    <w:rsid w:val="00853379"/>
    <w:rsid w:val="00853F50"/>
    <w:rsid w:val="00855B11"/>
    <w:rsid w:val="008572A9"/>
    <w:rsid w:val="00857BF7"/>
    <w:rsid w:val="00861E5D"/>
    <w:rsid w:val="00862F88"/>
    <w:rsid w:val="00863A2F"/>
    <w:rsid w:val="008662C9"/>
    <w:rsid w:val="00866ED2"/>
    <w:rsid w:val="00880E5C"/>
    <w:rsid w:val="0088126D"/>
    <w:rsid w:val="00884A12"/>
    <w:rsid w:val="00885995"/>
    <w:rsid w:val="00894566"/>
    <w:rsid w:val="00894AF8"/>
    <w:rsid w:val="00894FF8"/>
    <w:rsid w:val="00896A77"/>
    <w:rsid w:val="008A17E0"/>
    <w:rsid w:val="008A26C3"/>
    <w:rsid w:val="008A3944"/>
    <w:rsid w:val="008A6BAE"/>
    <w:rsid w:val="008A6F97"/>
    <w:rsid w:val="008A6FEA"/>
    <w:rsid w:val="008B0580"/>
    <w:rsid w:val="008B0FC5"/>
    <w:rsid w:val="008C17A5"/>
    <w:rsid w:val="008C2453"/>
    <w:rsid w:val="008C48B0"/>
    <w:rsid w:val="008C4A55"/>
    <w:rsid w:val="008C5ED2"/>
    <w:rsid w:val="008D2715"/>
    <w:rsid w:val="008D2DF8"/>
    <w:rsid w:val="008D450E"/>
    <w:rsid w:val="008E2A12"/>
    <w:rsid w:val="008E3F56"/>
    <w:rsid w:val="008E4A53"/>
    <w:rsid w:val="008F00CE"/>
    <w:rsid w:val="008F31E3"/>
    <w:rsid w:val="008F545F"/>
    <w:rsid w:val="008F6442"/>
    <w:rsid w:val="008F76E5"/>
    <w:rsid w:val="00900BC2"/>
    <w:rsid w:val="00900E74"/>
    <w:rsid w:val="00902D96"/>
    <w:rsid w:val="0091023A"/>
    <w:rsid w:val="00910388"/>
    <w:rsid w:val="009110A9"/>
    <w:rsid w:val="0091271C"/>
    <w:rsid w:val="0091459C"/>
    <w:rsid w:val="00916B6C"/>
    <w:rsid w:val="009223AA"/>
    <w:rsid w:val="00922ABE"/>
    <w:rsid w:val="00922C3E"/>
    <w:rsid w:val="0092656D"/>
    <w:rsid w:val="00930F12"/>
    <w:rsid w:val="00932A1A"/>
    <w:rsid w:val="009360A3"/>
    <w:rsid w:val="00936139"/>
    <w:rsid w:val="00941B99"/>
    <w:rsid w:val="00941BBF"/>
    <w:rsid w:val="00941E69"/>
    <w:rsid w:val="00941FFB"/>
    <w:rsid w:val="009433D7"/>
    <w:rsid w:val="00946805"/>
    <w:rsid w:val="00950C70"/>
    <w:rsid w:val="009517D5"/>
    <w:rsid w:val="00953258"/>
    <w:rsid w:val="00953945"/>
    <w:rsid w:val="00955E9F"/>
    <w:rsid w:val="0097017F"/>
    <w:rsid w:val="00972642"/>
    <w:rsid w:val="00974AA6"/>
    <w:rsid w:val="009768CC"/>
    <w:rsid w:val="009778C3"/>
    <w:rsid w:val="00980B32"/>
    <w:rsid w:val="00980B9B"/>
    <w:rsid w:val="00981922"/>
    <w:rsid w:val="00982060"/>
    <w:rsid w:val="00986D39"/>
    <w:rsid w:val="009906CC"/>
    <w:rsid w:val="00990D74"/>
    <w:rsid w:val="00990FC3"/>
    <w:rsid w:val="00991E4A"/>
    <w:rsid w:val="00992BF7"/>
    <w:rsid w:val="00992CCA"/>
    <w:rsid w:val="00994228"/>
    <w:rsid w:val="009A38DB"/>
    <w:rsid w:val="009A5815"/>
    <w:rsid w:val="009A5C6B"/>
    <w:rsid w:val="009A65F2"/>
    <w:rsid w:val="009A6FB9"/>
    <w:rsid w:val="009B0649"/>
    <w:rsid w:val="009B6DE1"/>
    <w:rsid w:val="009C3B05"/>
    <w:rsid w:val="009C44DA"/>
    <w:rsid w:val="009D1171"/>
    <w:rsid w:val="009D1EE6"/>
    <w:rsid w:val="009D2D03"/>
    <w:rsid w:val="009D7BEA"/>
    <w:rsid w:val="009E090B"/>
    <w:rsid w:val="009E4573"/>
    <w:rsid w:val="009E7DAF"/>
    <w:rsid w:val="009F0636"/>
    <w:rsid w:val="009F36E4"/>
    <w:rsid w:val="009F4480"/>
    <w:rsid w:val="009F4E7C"/>
    <w:rsid w:val="009F584E"/>
    <w:rsid w:val="009F7DC4"/>
    <w:rsid w:val="00A02734"/>
    <w:rsid w:val="00A02747"/>
    <w:rsid w:val="00A106CB"/>
    <w:rsid w:val="00A11DB4"/>
    <w:rsid w:val="00A12B81"/>
    <w:rsid w:val="00A1549B"/>
    <w:rsid w:val="00A15C8C"/>
    <w:rsid w:val="00A161BE"/>
    <w:rsid w:val="00A225FF"/>
    <w:rsid w:val="00A22B33"/>
    <w:rsid w:val="00A22E28"/>
    <w:rsid w:val="00A239C8"/>
    <w:rsid w:val="00A247E8"/>
    <w:rsid w:val="00A25861"/>
    <w:rsid w:val="00A314D2"/>
    <w:rsid w:val="00A334BB"/>
    <w:rsid w:val="00A35891"/>
    <w:rsid w:val="00A400A0"/>
    <w:rsid w:val="00A406BC"/>
    <w:rsid w:val="00A422A4"/>
    <w:rsid w:val="00A44EF0"/>
    <w:rsid w:val="00A46A55"/>
    <w:rsid w:val="00A553CA"/>
    <w:rsid w:val="00A57C18"/>
    <w:rsid w:val="00A60112"/>
    <w:rsid w:val="00A607EC"/>
    <w:rsid w:val="00A65B9E"/>
    <w:rsid w:val="00A720F9"/>
    <w:rsid w:val="00A73290"/>
    <w:rsid w:val="00A73874"/>
    <w:rsid w:val="00A74685"/>
    <w:rsid w:val="00A762FC"/>
    <w:rsid w:val="00A76660"/>
    <w:rsid w:val="00A76FC4"/>
    <w:rsid w:val="00A81DB6"/>
    <w:rsid w:val="00A84D46"/>
    <w:rsid w:val="00A86A1C"/>
    <w:rsid w:val="00A923A1"/>
    <w:rsid w:val="00A939D6"/>
    <w:rsid w:val="00A93E86"/>
    <w:rsid w:val="00AA13D5"/>
    <w:rsid w:val="00AA4580"/>
    <w:rsid w:val="00AA479C"/>
    <w:rsid w:val="00AA796B"/>
    <w:rsid w:val="00AA7E58"/>
    <w:rsid w:val="00AB4FE1"/>
    <w:rsid w:val="00AB73EA"/>
    <w:rsid w:val="00AC7053"/>
    <w:rsid w:val="00AD0201"/>
    <w:rsid w:val="00AD46ED"/>
    <w:rsid w:val="00AD6CEC"/>
    <w:rsid w:val="00AD7DED"/>
    <w:rsid w:val="00AE0E57"/>
    <w:rsid w:val="00AE2F4E"/>
    <w:rsid w:val="00AE5F4A"/>
    <w:rsid w:val="00AE5FD8"/>
    <w:rsid w:val="00AE64C9"/>
    <w:rsid w:val="00AF09E4"/>
    <w:rsid w:val="00AF1DE5"/>
    <w:rsid w:val="00AF2C87"/>
    <w:rsid w:val="00AF33FD"/>
    <w:rsid w:val="00AF34FB"/>
    <w:rsid w:val="00AF39B7"/>
    <w:rsid w:val="00AF6329"/>
    <w:rsid w:val="00B11DFB"/>
    <w:rsid w:val="00B13B9A"/>
    <w:rsid w:val="00B2286F"/>
    <w:rsid w:val="00B240F4"/>
    <w:rsid w:val="00B24F8C"/>
    <w:rsid w:val="00B25690"/>
    <w:rsid w:val="00B25CA4"/>
    <w:rsid w:val="00B3098F"/>
    <w:rsid w:val="00B30F65"/>
    <w:rsid w:val="00B334EC"/>
    <w:rsid w:val="00B40D46"/>
    <w:rsid w:val="00B45078"/>
    <w:rsid w:val="00B451AD"/>
    <w:rsid w:val="00B45CF2"/>
    <w:rsid w:val="00B46226"/>
    <w:rsid w:val="00B47994"/>
    <w:rsid w:val="00B506FB"/>
    <w:rsid w:val="00B5133E"/>
    <w:rsid w:val="00B5304C"/>
    <w:rsid w:val="00B53922"/>
    <w:rsid w:val="00B54FA3"/>
    <w:rsid w:val="00B551D2"/>
    <w:rsid w:val="00B62597"/>
    <w:rsid w:val="00B63C24"/>
    <w:rsid w:val="00B66AA4"/>
    <w:rsid w:val="00B74961"/>
    <w:rsid w:val="00B74A75"/>
    <w:rsid w:val="00B75796"/>
    <w:rsid w:val="00B9455D"/>
    <w:rsid w:val="00B94DA2"/>
    <w:rsid w:val="00B96D6A"/>
    <w:rsid w:val="00BA0476"/>
    <w:rsid w:val="00BA19A3"/>
    <w:rsid w:val="00BA6398"/>
    <w:rsid w:val="00BA7CEE"/>
    <w:rsid w:val="00BB4475"/>
    <w:rsid w:val="00BB5160"/>
    <w:rsid w:val="00BC0C0B"/>
    <w:rsid w:val="00BC12B3"/>
    <w:rsid w:val="00BC308E"/>
    <w:rsid w:val="00BD0C08"/>
    <w:rsid w:val="00BD0EE4"/>
    <w:rsid w:val="00BD1C44"/>
    <w:rsid w:val="00BD3B43"/>
    <w:rsid w:val="00BD60C7"/>
    <w:rsid w:val="00BE0656"/>
    <w:rsid w:val="00BE2899"/>
    <w:rsid w:val="00BE46EE"/>
    <w:rsid w:val="00BF1A69"/>
    <w:rsid w:val="00BF2025"/>
    <w:rsid w:val="00C01D49"/>
    <w:rsid w:val="00C02BE5"/>
    <w:rsid w:val="00C0508E"/>
    <w:rsid w:val="00C06A8D"/>
    <w:rsid w:val="00C073F6"/>
    <w:rsid w:val="00C07D23"/>
    <w:rsid w:val="00C10F14"/>
    <w:rsid w:val="00C12CF6"/>
    <w:rsid w:val="00C15B6C"/>
    <w:rsid w:val="00C15FF4"/>
    <w:rsid w:val="00C20627"/>
    <w:rsid w:val="00C22676"/>
    <w:rsid w:val="00C22F41"/>
    <w:rsid w:val="00C25810"/>
    <w:rsid w:val="00C3219D"/>
    <w:rsid w:val="00C36912"/>
    <w:rsid w:val="00C40DE9"/>
    <w:rsid w:val="00C43E45"/>
    <w:rsid w:val="00C465E7"/>
    <w:rsid w:val="00C51443"/>
    <w:rsid w:val="00C54914"/>
    <w:rsid w:val="00C637FF"/>
    <w:rsid w:val="00C65C8C"/>
    <w:rsid w:val="00C7094D"/>
    <w:rsid w:val="00C757F5"/>
    <w:rsid w:val="00C76F83"/>
    <w:rsid w:val="00C7722B"/>
    <w:rsid w:val="00C8202C"/>
    <w:rsid w:val="00C97AA3"/>
    <w:rsid w:val="00CA132C"/>
    <w:rsid w:val="00CA1E1F"/>
    <w:rsid w:val="00CA395D"/>
    <w:rsid w:val="00CA63E3"/>
    <w:rsid w:val="00CC04CB"/>
    <w:rsid w:val="00CC074C"/>
    <w:rsid w:val="00CC2B3C"/>
    <w:rsid w:val="00CD454F"/>
    <w:rsid w:val="00CD5E6E"/>
    <w:rsid w:val="00CD6DDE"/>
    <w:rsid w:val="00CE0057"/>
    <w:rsid w:val="00CE0381"/>
    <w:rsid w:val="00CE1CC1"/>
    <w:rsid w:val="00CE3F91"/>
    <w:rsid w:val="00CE5519"/>
    <w:rsid w:val="00CE5EA3"/>
    <w:rsid w:val="00CF7896"/>
    <w:rsid w:val="00CF7EF2"/>
    <w:rsid w:val="00D04CA8"/>
    <w:rsid w:val="00D06AB6"/>
    <w:rsid w:val="00D129E0"/>
    <w:rsid w:val="00D14ABD"/>
    <w:rsid w:val="00D1568D"/>
    <w:rsid w:val="00D25987"/>
    <w:rsid w:val="00D26A23"/>
    <w:rsid w:val="00D32266"/>
    <w:rsid w:val="00D353BB"/>
    <w:rsid w:val="00D356B4"/>
    <w:rsid w:val="00D42164"/>
    <w:rsid w:val="00D4247B"/>
    <w:rsid w:val="00D44099"/>
    <w:rsid w:val="00D45333"/>
    <w:rsid w:val="00D4600A"/>
    <w:rsid w:val="00D4645F"/>
    <w:rsid w:val="00D51295"/>
    <w:rsid w:val="00D573A4"/>
    <w:rsid w:val="00D62742"/>
    <w:rsid w:val="00D62D2F"/>
    <w:rsid w:val="00D6561A"/>
    <w:rsid w:val="00D664BD"/>
    <w:rsid w:val="00D71696"/>
    <w:rsid w:val="00D81472"/>
    <w:rsid w:val="00D82909"/>
    <w:rsid w:val="00D8710E"/>
    <w:rsid w:val="00D90F46"/>
    <w:rsid w:val="00D92CF8"/>
    <w:rsid w:val="00DA23BC"/>
    <w:rsid w:val="00DA7036"/>
    <w:rsid w:val="00DB387B"/>
    <w:rsid w:val="00DC6A93"/>
    <w:rsid w:val="00DD0121"/>
    <w:rsid w:val="00DD0984"/>
    <w:rsid w:val="00DD0ED2"/>
    <w:rsid w:val="00DD1F4F"/>
    <w:rsid w:val="00DD4750"/>
    <w:rsid w:val="00DD72A3"/>
    <w:rsid w:val="00DD7DAF"/>
    <w:rsid w:val="00DE14A3"/>
    <w:rsid w:val="00DF058B"/>
    <w:rsid w:val="00DF0758"/>
    <w:rsid w:val="00DF1B6E"/>
    <w:rsid w:val="00DF59A3"/>
    <w:rsid w:val="00E02003"/>
    <w:rsid w:val="00E07A9B"/>
    <w:rsid w:val="00E07D92"/>
    <w:rsid w:val="00E11A7E"/>
    <w:rsid w:val="00E1294A"/>
    <w:rsid w:val="00E16000"/>
    <w:rsid w:val="00E17256"/>
    <w:rsid w:val="00E2022E"/>
    <w:rsid w:val="00E20585"/>
    <w:rsid w:val="00E22100"/>
    <w:rsid w:val="00E24A19"/>
    <w:rsid w:val="00E24B0A"/>
    <w:rsid w:val="00E26075"/>
    <w:rsid w:val="00E30BED"/>
    <w:rsid w:val="00E31AB8"/>
    <w:rsid w:val="00E3218D"/>
    <w:rsid w:val="00E34474"/>
    <w:rsid w:val="00E3499A"/>
    <w:rsid w:val="00E364FB"/>
    <w:rsid w:val="00E370AA"/>
    <w:rsid w:val="00E4201D"/>
    <w:rsid w:val="00E42DEC"/>
    <w:rsid w:val="00E43991"/>
    <w:rsid w:val="00E439D0"/>
    <w:rsid w:val="00E5198A"/>
    <w:rsid w:val="00E52C31"/>
    <w:rsid w:val="00E536AB"/>
    <w:rsid w:val="00E53CB2"/>
    <w:rsid w:val="00E53E04"/>
    <w:rsid w:val="00E557F2"/>
    <w:rsid w:val="00E57CD1"/>
    <w:rsid w:val="00E60C37"/>
    <w:rsid w:val="00E610D4"/>
    <w:rsid w:val="00E61FE2"/>
    <w:rsid w:val="00E6338F"/>
    <w:rsid w:val="00E63DEE"/>
    <w:rsid w:val="00E677F4"/>
    <w:rsid w:val="00E67B4C"/>
    <w:rsid w:val="00E73158"/>
    <w:rsid w:val="00E73172"/>
    <w:rsid w:val="00E746C6"/>
    <w:rsid w:val="00E76D47"/>
    <w:rsid w:val="00E8029A"/>
    <w:rsid w:val="00E809E5"/>
    <w:rsid w:val="00E81654"/>
    <w:rsid w:val="00E847CE"/>
    <w:rsid w:val="00E84858"/>
    <w:rsid w:val="00E87436"/>
    <w:rsid w:val="00E94347"/>
    <w:rsid w:val="00E9463C"/>
    <w:rsid w:val="00E94D6E"/>
    <w:rsid w:val="00EA1CEB"/>
    <w:rsid w:val="00EA2CBE"/>
    <w:rsid w:val="00EA33E7"/>
    <w:rsid w:val="00EA379C"/>
    <w:rsid w:val="00EA3B93"/>
    <w:rsid w:val="00EB0FED"/>
    <w:rsid w:val="00EB1E2C"/>
    <w:rsid w:val="00EB451F"/>
    <w:rsid w:val="00EC2BC2"/>
    <w:rsid w:val="00EC3D71"/>
    <w:rsid w:val="00EC3E01"/>
    <w:rsid w:val="00EC42DD"/>
    <w:rsid w:val="00EC7973"/>
    <w:rsid w:val="00ED2358"/>
    <w:rsid w:val="00ED2BDF"/>
    <w:rsid w:val="00ED4260"/>
    <w:rsid w:val="00ED7C8F"/>
    <w:rsid w:val="00EE0519"/>
    <w:rsid w:val="00EE1846"/>
    <w:rsid w:val="00EE609F"/>
    <w:rsid w:val="00EE665D"/>
    <w:rsid w:val="00EF0735"/>
    <w:rsid w:val="00EF0E96"/>
    <w:rsid w:val="00EF2B28"/>
    <w:rsid w:val="00EF4CB5"/>
    <w:rsid w:val="00EF4F28"/>
    <w:rsid w:val="00EF4F4F"/>
    <w:rsid w:val="00F029FB"/>
    <w:rsid w:val="00F1127B"/>
    <w:rsid w:val="00F20940"/>
    <w:rsid w:val="00F219EA"/>
    <w:rsid w:val="00F21B2F"/>
    <w:rsid w:val="00F21C0D"/>
    <w:rsid w:val="00F25E9C"/>
    <w:rsid w:val="00F32C4C"/>
    <w:rsid w:val="00F3421C"/>
    <w:rsid w:val="00F34EA1"/>
    <w:rsid w:val="00F35077"/>
    <w:rsid w:val="00F363BE"/>
    <w:rsid w:val="00F37D3F"/>
    <w:rsid w:val="00F4527B"/>
    <w:rsid w:val="00F46AF4"/>
    <w:rsid w:val="00F4708A"/>
    <w:rsid w:val="00F475F9"/>
    <w:rsid w:val="00F47C7B"/>
    <w:rsid w:val="00F51B6A"/>
    <w:rsid w:val="00F53B36"/>
    <w:rsid w:val="00F62022"/>
    <w:rsid w:val="00F657B0"/>
    <w:rsid w:val="00F667D8"/>
    <w:rsid w:val="00F72448"/>
    <w:rsid w:val="00F73A6C"/>
    <w:rsid w:val="00F744AE"/>
    <w:rsid w:val="00F77B69"/>
    <w:rsid w:val="00F77D6E"/>
    <w:rsid w:val="00F8011E"/>
    <w:rsid w:val="00F830B6"/>
    <w:rsid w:val="00F865AF"/>
    <w:rsid w:val="00F87DDF"/>
    <w:rsid w:val="00F9436C"/>
    <w:rsid w:val="00F959A6"/>
    <w:rsid w:val="00F97043"/>
    <w:rsid w:val="00FA1E86"/>
    <w:rsid w:val="00FA4C3F"/>
    <w:rsid w:val="00FA6658"/>
    <w:rsid w:val="00FA6698"/>
    <w:rsid w:val="00FA70FC"/>
    <w:rsid w:val="00FB5563"/>
    <w:rsid w:val="00FC315F"/>
    <w:rsid w:val="00FC3178"/>
    <w:rsid w:val="00FC4793"/>
    <w:rsid w:val="00FC5B97"/>
    <w:rsid w:val="00FC5F0D"/>
    <w:rsid w:val="00FC6E7B"/>
    <w:rsid w:val="00FD061B"/>
    <w:rsid w:val="00FD4AC3"/>
    <w:rsid w:val="00FD538C"/>
    <w:rsid w:val="00FE0996"/>
    <w:rsid w:val="00FE20E4"/>
    <w:rsid w:val="00FE56FC"/>
    <w:rsid w:val="00FF051A"/>
    <w:rsid w:val="00FF076F"/>
    <w:rsid w:val="00FF534A"/>
    <w:rsid w:val="00FF662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96C5"/>
  <w15:docId w15:val="{EB517AC4-2937-402A-93C6-73F618D1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0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D0EE4"/>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6510F9"/>
  </w:style>
  <w:style w:type="character" w:customStyle="1" w:styleId="docsign1">
    <w:name w:val="doc_sign1"/>
    <w:basedOn w:val="a0"/>
    <w:rsid w:val="006510F9"/>
  </w:style>
  <w:style w:type="paragraph" w:styleId="a4">
    <w:name w:val="Normal (Web)"/>
    <w:basedOn w:val="a"/>
    <w:uiPriority w:val="99"/>
    <w:rsid w:val="006510F9"/>
    <w:pPr>
      <w:spacing w:before="100" w:beforeAutospacing="1" w:after="100" w:afterAutospacing="1"/>
    </w:pPr>
  </w:style>
  <w:style w:type="paragraph" w:styleId="a5">
    <w:name w:val="List Paragraph"/>
    <w:basedOn w:val="a"/>
    <w:link w:val="a6"/>
    <w:uiPriority w:val="34"/>
    <w:qFormat/>
    <w:rsid w:val="006D1E58"/>
    <w:pPr>
      <w:ind w:left="720"/>
      <w:contextualSpacing/>
    </w:pPr>
  </w:style>
  <w:style w:type="character" w:styleId="a7">
    <w:name w:val="Strong"/>
    <w:basedOn w:val="a0"/>
    <w:uiPriority w:val="22"/>
    <w:qFormat/>
    <w:rsid w:val="00511EC2"/>
    <w:rPr>
      <w:b/>
      <w:bCs/>
    </w:rPr>
  </w:style>
  <w:style w:type="character" w:styleId="a8">
    <w:name w:val="Hyperlink"/>
    <w:basedOn w:val="a0"/>
    <w:uiPriority w:val="99"/>
    <w:unhideWhenUsed/>
    <w:rsid w:val="00447E5C"/>
    <w:rPr>
      <w:color w:val="0000FF" w:themeColor="hyperlink"/>
      <w:u w:val="single"/>
    </w:rPr>
  </w:style>
  <w:style w:type="character" w:customStyle="1" w:styleId="a9">
    <w:name w:val="Основной текст_"/>
    <w:basedOn w:val="a0"/>
    <w:link w:val="21"/>
    <w:rsid w:val="005B7C1A"/>
    <w:rPr>
      <w:rFonts w:ascii="Times New Roman" w:eastAsia="Times New Roman" w:hAnsi="Times New Roman" w:cs="Times New Roman"/>
      <w:b w:val="0"/>
      <w:bCs w:val="0"/>
      <w:i w:val="0"/>
      <w:iCs w:val="0"/>
      <w:smallCaps w:val="0"/>
      <w:strike w:val="0"/>
      <w:u w:val="none"/>
    </w:rPr>
  </w:style>
  <w:style w:type="character" w:customStyle="1" w:styleId="aa">
    <w:name w:val="Основной текст + Курсив"/>
    <w:basedOn w:val="a9"/>
    <w:rsid w:val="005B7C1A"/>
    <w:rPr>
      <w:rFonts w:ascii="Times New Roman" w:eastAsia="Times New Roman" w:hAnsi="Times New Roman" w:cs="Times New Roman"/>
      <w:b w:val="0"/>
      <w:bCs w:val="0"/>
      <w:i/>
      <w:iCs/>
      <w:smallCaps w:val="0"/>
      <w:strike w:val="0"/>
      <w:color w:val="000000"/>
      <w:spacing w:val="0"/>
      <w:w w:val="100"/>
      <w:position w:val="0"/>
      <w:sz w:val="24"/>
      <w:szCs w:val="24"/>
      <w:u w:val="none"/>
      <w:lang w:val="ro-RO"/>
    </w:rPr>
  </w:style>
  <w:style w:type="character" w:customStyle="1" w:styleId="1">
    <w:name w:val="Основной текст1"/>
    <w:basedOn w:val="a9"/>
    <w:rsid w:val="005B7C1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4pt">
    <w:name w:val="Основной текст + 4 pt"/>
    <w:aliases w:val="Курсив,Основной текст + 13 pt"/>
    <w:basedOn w:val="a9"/>
    <w:rsid w:val="005B7C1A"/>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4">
    <w:name w:val="Основной текст (4)_"/>
    <w:basedOn w:val="a0"/>
    <w:link w:val="40"/>
    <w:rsid w:val="0030241C"/>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30241C"/>
    <w:pPr>
      <w:widowControl w:val="0"/>
      <w:shd w:val="clear" w:color="auto" w:fill="FFFFFF"/>
      <w:spacing w:line="378" w:lineRule="exact"/>
    </w:pPr>
    <w:rPr>
      <w:b/>
      <w:bCs/>
      <w:sz w:val="25"/>
      <w:szCs w:val="25"/>
      <w:lang w:eastAsia="en-US"/>
    </w:rPr>
  </w:style>
  <w:style w:type="character" w:customStyle="1" w:styleId="7">
    <w:name w:val="Основной текст (7)_"/>
    <w:basedOn w:val="a0"/>
    <w:link w:val="70"/>
    <w:rsid w:val="005663FE"/>
    <w:rPr>
      <w:rFonts w:ascii="Times New Roman" w:eastAsia="Times New Roman" w:hAnsi="Times New Roman" w:cs="Times New Roman"/>
      <w:w w:val="120"/>
      <w:sz w:val="8"/>
      <w:szCs w:val="8"/>
      <w:shd w:val="clear" w:color="auto" w:fill="FFFFFF"/>
    </w:rPr>
  </w:style>
  <w:style w:type="paragraph" w:customStyle="1" w:styleId="70">
    <w:name w:val="Основной текст (7)"/>
    <w:basedOn w:val="a"/>
    <w:link w:val="7"/>
    <w:rsid w:val="005663FE"/>
    <w:pPr>
      <w:widowControl w:val="0"/>
      <w:shd w:val="clear" w:color="auto" w:fill="FFFFFF"/>
      <w:spacing w:line="0" w:lineRule="atLeast"/>
      <w:jc w:val="both"/>
    </w:pPr>
    <w:rPr>
      <w:w w:val="120"/>
      <w:sz w:val="8"/>
      <w:szCs w:val="8"/>
      <w:lang w:eastAsia="en-US"/>
    </w:rPr>
  </w:style>
  <w:style w:type="character" w:customStyle="1" w:styleId="8">
    <w:name w:val="Основной текст (8)_"/>
    <w:basedOn w:val="a0"/>
    <w:link w:val="80"/>
    <w:rsid w:val="007471F6"/>
    <w:rPr>
      <w:rFonts w:ascii="Bookman Old Style" w:eastAsia="Bookman Old Style" w:hAnsi="Bookman Old Style" w:cs="Bookman Old Style"/>
      <w:sz w:val="8"/>
      <w:szCs w:val="8"/>
      <w:shd w:val="clear" w:color="auto" w:fill="FFFFFF"/>
    </w:rPr>
  </w:style>
  <w:style w:type="character" w:customStyle="1" w:styleId="8TimesNewRoman">
    <w:name w:val="Основной текст (8) + Times New Roman"/>
    <w:aliases w:val="10 pt"/>
    <w:basedOn w:val="8"/>
    <w:rsid w:val="007471F6"/>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80">
    <w:name w:val="Основной текст (8)"/>
    <w:basedOn w:val="a"/>
    <w:link w:val="8"/>
    <w:rsid w:val="007471F6"/>
    <w:pPr>
      <w:widowControl w:val="0"/>
      <w:shd w:val="clear" w:color="auto" w:fill="FFFFFF"/>
      <w:spacing w:line="0" w:lineRule="atLeast"/>
    </w:pPr>
    <w:rPr>
      <w:rFonts w:ascii="Bookman Old Style" w:eastAsia="Bookman Old Style" w:hAnsi="Bookman Old Style" w:cs="Bookman Old Style"/>
      <w:sz w:val="8"/>
      <w:szCs w:val="8"/>
      <w:lang w:eastAsia="en-US"/>
    </w:rPr>
  </w:style>
  <w:style w:type="paragraph" w:styleId="ab">
    <w:name w:val="No Spacing"/>
    <w:uiPriority w:val="1"/>
    <w:qFormat/>
    <w:rsid w:val="008A17E0"/>
    <w:pPr>
      <w:spacing w:after="0" w:line="240" w:lineRule="auto"/>
    </w:pPr>
    <w:rPr>
      <w:rFonts w:ascii="Times New Roman" w:eastAsia="Times New Roman" w:hAnsi="Times New Roman" w:cs="Times New Roman"/>
      <w:sz w:val="24"/>
      <w:szCs w:val="24"/>
      <w:lang w:eastAsia="ru-RU"/>
    </w:rPr>
  </w:style>
  <w:style w:type="paragraph" w:customStyle="1" w:styleId="tt">
    <w:name w:val="tt"/>
    <w:basedOn w:val="a"/>
    <w:rsid w:val="001E4B1A"/>
    <w:pPr>
      <w:jc w:val="center"/>
    </w:pPr>
    <w:rPr>
      <w:rFonts w:eastAsiaTheme="minorEastAsia"/>
      <w:b/>
      <w:bCs/>
      <w:lang w:val="en-US" w:eastAsia="en-US"/>
    </w:rPr>
  </w:style>
  <w:style w:type="paragraph" w:customStyle="1" w:styleId="21">
    <w:name w:val="Основной текст2"/>
    <w:basedOn w:val="a"/>
    <w:link w:val="a9"/>
    <w:rsid w:val="006B5E67"/>
    <w:pPr>
      <w:widowControl w:val="0"/>
      <w:shd w:val="clear" w:color="auto" w:fill="FFFFFF"/>
      <w:spacing w:line="310" w:lineRule="exact"/>
      <w:ind w:hanging="2680"/>
    </w:pPr>
    <w:rPr>
      <w:sz w:val="22"/>
      <w:szCs w:val="22"/>
      <w:lang w:eastAsia="en-US"/>
    </w:rPr>
  </w:style>
  <w:style w:type="character" w:customStyle="1" w:styleId="11">
    <w:name w:val="Основной текст (11)_"/>
    <w:basedOn w:val="a0"/>
    <w:link w:val="110"/>
    <w:rsid w:val="00312392"/>
    <w:rPr>
      <w:rFonts w:ascii="Calibri" w:eastAsia="Calibri" w:hAnsi="Calibri" w:cs="Calibri"/>
      <w:sz w:val="25"/>
      <w:szCs w:val="25"/>
      <w:shd w:val="clear" w:color="auto" w:fill="FFFFFF"/>
    </w:rPr>
  </w:style>
  <w:style w:type="paragraph" w:customStyle="1" w:styleId="110">
    <w:name w:val="Основной текст (11)"/>
    <w:basedOn w:val="a"/>
    <w:link w:val="11"/>
    <w:rsid w:val="00312392"/>
    <w:pPr>
      <w:widowControl w:val="0"/>
      <w:shd w:val="clear" w:color="auto" w:fill="FFFFFF"/>
      <w:spacing w:before="720" w:after="540" w:line="590" w:lineRule="exact"/>
    </w:pPr>
    <w:rPr>
      <w:rFonts w:ascii="Calibri" w:eastAsia="Calibri" w:hAnsi="Calibri" w:cs="Calibri"/>
      <w:sz w:val="25"/>
      <w:szCs w:val="25"/>
      <w:lang w:eastAsia="en-US"/>
    </w:rPr>
  </w:style>
  <w:style w:type="character" w:customStyle="1" w:styleId="12">
    <w:name w:val="Основной текст (12)_"/>
    <w:basedOn w:val="a0"/>
    <w:link w:val="120"/>
    <w:rsid w:val="00312392"/>
    <w:rPr>
      <w:rFonts w:ascii="Tahoma" w:eastAsia="Tahoma" w:hAnsi="Tahoma" w:cs="Tahoma"/>
      <w:spacing w:val="10"/>
      <w:sz w:val="21"/>
      <w:szCs w:val="21"/>
      <w:shd w:val="clear" w:color="auto" w:fill="FFFFFF"/>
    </w:rPr>
  </w:style>
  <w:style w:type="paragraph" w:customStyle="1" w:styleId="120">
    <w:name w:val="Основной текст (12)"/>
    <w:basedOn w:val="a"/>
    <w:link w:val="12"/>
    <w:rsid w:val="00312392"/>
    <w:pPr>
      <w:widowControl w:val="0"/>
      <w:shd w:val="clear" w:color="auto" w:fill="FFFFFF"/>
      <w:spacing w:after="120" w:line="270" w:lineRule="exact"/>
      <w:ind w:hanging="360"/>
      <w:jc w:val="center"/>
    </w:pPr>
    <w:rPr>
      <w:rFonts w:ascii="Tahoma" w:eastAsia="Tahoma" w:hAnsi="Tahoma" w:cs="Tahoma"/>
      <w:spacing w:val="10"/>
      <w:sz w:val="21"/>
      <w:szCs w:val="21"/>
      <w:lang w:eastAsia="en-US"/>
    </w:rPr>
  </w:style>
  <w:style w:type="character" w:customStyle="1" w:styleId="27">
    <w:name w:val="Основной текст (27)_"/>
    <w:basedOn w:val="a0"/>
    <w:link w:val="270"/>
    <w:rsid w:val="00953945"/>
    <w:rPr>
      <w:rFonts w:ascii="Times New Roman" w:eastAsia="Times New Roman" w:hAnsi="Times New Roman" w:cs="Times New Roman"/>
      <w:b/>
      <w:bCs/>
      <w:spacing w:val="10"/>
      <w:shd w:val="clear" w:color="auto" w:fill="FFFFFF"/>
    </w:rPr>
  </w:style>
  <w:style w:type="character" w:customStyle="1" w:styleId="27Exact">
    <w:name w:val="Основной текст (27) Exact"/>
    <w:basedOn w:val="a0"/>
    <w:rsid w:val="00953945"/>
    <w:rPr>
      <w:rFonts w:ascii="Times New Roman" w:eastAsia="Times New Roman" w:hAnsi="Times New Roman" w:cs="Times New Roman"/>
      <w:b/>
      <w:bCs/>
      <w:i w:val="0"/>
      <w:iCs w:val="0"/>
      <w:smallCaps w:val="0"/>
      <w:strike w:val="0"/>
      <w:spacing w:val="14"/>
      <w:sz w:val="22"/>
      <w:szCs w:val="22"/>
      <w:u w:val="none"/>
    </w:rPr>
  </w:style>
  <w:style w:type="paragraph" w:customStyle="1" w:styleId="270">
    <w:name w:val="Основной текст (27)"/>
    <w:basedOn w:val="a"/>
    <w:link w:val="27"/>
    <w:rsid w:val="00953945"/>
    <w:pPr>
      <w:widowControl w:val="0"/>
      <w:shd w:val="clear" w:color="auto" w:fill="FFFFFF"/>
      <w:spacing w:line="0" w:lineRule="atLeast"/>
    </w:pPr>
    <w:rPr>
      <w:b/>
      <w:bCs/>
      <w:spacing w:val="10"/>
      <w:sz w:val="22"/>
      <w:szCs w:val="22"/>
      <w:lang w:eastAsia="en-US"/>
    </w:rPr>
  </w:style>
  <w:style w:type="character" w:customStyle="1" w:styleId="9">
    <w:name w:val="Основной текст (9)_"/>
    <w:basedOn w:val="a0"/>
    <w:link w:val="90"/>
    <w:rsid w:val="00953945"/>
    <w:rPr>
      <w:rFonts w:ascii="Calibri" w:eastAsia="Calibri" w:hAnsi="Calibri" w:cs="Calibri"/>
      <w:b/>
      <w:bCs/>
      <w:sz w:val="25"/>
      <w:szCs w:val="25"/>
      <w:shd w:val="clear" w:color="auto" w:fill="FFFFFF"/>
    </w:rPr>
  </w:style>
  <w:style w:type="paragraph" w:customStyle="1" w:styleId="90">
    <w:name w:val="Основной текст (9)"/>
    <w:basedOn w:val="a"/>
    <w:link w:val="9"/>
    <w:rsid w:val="00953945"/>
    <w:pPr>
      <w:widowControl w:val="0"/>
      <w:shd w:val="clear" w:color="auto" w:fill="FFFFFF"/>
      <w:spacing w:line="400" w:lineRule="exact"/>
      <w:jc w:val="both"/>
    </w:pPr>
    <w:rPr>
      <w:rFonts w:ascii="Calibri" w:eastAsia="Calibri" w:hAnsi="Calibri" w:cs="Calibri"/>
      <w:b/>
      <w:bCs/>
      <w:sz w:val="25"/>
      <w:szCs w:val="25"/>
      <w:lang w:eastAsia="en-US"/>
    </w:rPr>
  </w:style>
  <w:style w:type="character" w:customStyle="1" w:styleId="22">
    <w:name w:val="Основной текст (2)_"/>
    <w:basedOn w:val="a0"/>
    <w:link w:val="23"/>
    <w:rsid w:val="001015B8"/>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1015B8"/>
    <w:pPr>
      <w:widowControl w:val="0"/>
      <w:shd w:val="clear" w:color="auto" w:fill="FFFFFF"/>
      <w:spacing w:after="180" w:line="266" w:lineRule="exact"/>
      <w:ind w:hanging="360"/>
      <w:jc w:val="both"/>
    </w:pPr>
    <w:rPr>
      <w:sz w:val="23"/>
      <w:szCs w:val="23"/>
      <w:lang w:eastAsia="en-US"/>
    </w:rPr>
  </w:style>
  <w:style w:type="character" w:customStyle="1" w:styleId="apple-converted-space">
    <w:name w:val="apple-converted-space"/>
    <w:basedOn w:val="a0"/>
    <w:rsid w:val="009D1171"/>
  </w:style>
  <w:style w:type="paragraph" w:styleId="ac">
    <w:name w:val="Balloon Text"/>
    <w:basedOn w:val="a"/>
    <w:link w:val="ad"/>
    <w:uiPriority w:val="99"/>
    <w:semiHidden/>
    <w:unhideWhenUsed/>
    <w:rsid w:val="006B6BB8"/>
    <w:rPr>
      <w:rFonts w:ascii="Segoe UI" w:hAnsi="Segoe UI" w:cs="Segoe UI"/>
      <w:sz w:val="18"/>
      <w:szCs w:val="18"/>
    </w:rPr>
  </w:style>
  <w:style w:type="character" w:customStyle="1" w:styleId="ad">
    <w:name w:val="Текст выноски Знак"/>
    <w:basedOn w:val="a0"/>
    <w:link w:val="ac"/>
    <w:uiPriority w:val="99"/>
    <w:semiHidden/>
    <w:rsid w:val="006B6BB8"/>
    <w:rPr>
      <w:rFonts w:ascii="Segoe UI" w:eastAsia="Times New Roman" w:hAnsi="Segoe UI" w:cs="Segoe UI"/>
      <w:sz w:val="18"/>
      <w:szCs w:val="18"/>
      <w:lang w:eastAsia="ru-RU"/>
    </w:rPr>
  </w:style>
  <w:style w:type="character" w:customStyle="1" w:styleId="Bodytext2">
    <w:name w:val="Body text (2)_"/>
    <w:basedOn w:val="a0"/>
    <w:link w:val="Bodytext20"/>
    <w:rsid w:val="007C2C2B"/>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C2C2B"/>
    <w:pPr>
      <w:widowControl w:val="0"/>
      <w:shd w:val="clear" w:color="auto" w:fill="FFFFFF"/>
      <w:spacing w:before="240" w:line="479" w:lineRule="exact"/>
      <w:jc w:val="both"/>
    </w:pPr>
    <w:rPr>
      <w:sz w:val="26"/>
      <w:szCs w:val="26"/>
      <w:lang w:eastAsia="en-US"/>
    </w:rPr>
  </w:style>
  <w:style w:type="character" w:customStyle="1" w:styleId="Bodytext4">
    <w:name w:val="Body text (4)_"/>
    <w:basedOn w:val="a0"/>
    <w:link w:val="Bodytext40"/>
    <w:rsid w:val="00672A55"/>
    <w:rPr>
      <w:rFonts w:ascii="Times New Roman" w:eastAsia="Times New Roman" w:hAnsi="Times New Roman" w:cs="Times New Roman"/>
      <w:shd w:val="clear" w:color="auto" w:fill="FFFFFF"/>
    </w:rPr>
  </w:style>
  <w:style w:type="paragraph" w:customStyle="1" w:styleId="Bodytext40">
    <w:name w:val="Body text (4)"/>
    <w:basedOn w:val="a"/>
    <w:link w:val="Bodytext4"/>
    <w:rsid w:val="00672A55"/>
    <w:pPr>
      <w:widowControl w:val="0"/>
      <w:shd w:val="clear" w:color="auto" w:fill="FFFFFF"/>
      <w:spacing w:after="420" w:line="288" w:lineRule="exact"/>
      <w:ind w:hanging="600"/>
      <w:jc w:val="center"/>
    </w:pPr>
    <w:rPr>
      <w:sz w:val="22"/>
      <w:szCs w:val="22"/>
      <w:lang w:eastAsia="en-US"/>
    </w:rPr>
  </w:style>
  <w:style w:type="character" w:customStyle="1" w:styleId="Heading2">
    <w:name w:val="Heading #2_"/>
    <w:basedOn w:val="a0"/>
    <w:link w:val="Heading20"/>
    <w:rsid w:val="00941B99"/>
    <w:rPr>
      <w:rFonts w:ascii="Times New Roman" w:eastAsia="Times New Roman" w:hAnsi="Times New Roman" w:cs="Times New Roman"/>
      <w:i/>
      <w:iCs/>
      <w:spacing w:val="-10"/>
      <w:sz w:val="28"/>
      <w:szCs w:val="28"/>
      <w:shd w:val="clear" w:color="auto" w:fill="FFFFFF"/>
      <w:lang w:eastAsia="ru-RU" w:bidi="ru-RU"/>
    </w:rPr>
  </w:style>
  <w:style w:type="paragraph" w:customStyle="1" w:styleId="Heading20">
    <w:name w:val="Heading #2"/>
    <w:basedOn w:val="a"/>
    <w:link w:val="Heading2"/>
    <w:rsid w:val="00941B99"/>
    <w:pPr>
      <w:widowControl w:val="0"/>
      <w:shd w:val="clear" w:color="auto" w:fill="FFFFFF"/>
      <w:spacing w:before="420" w:after="240" w:line="0" w:lineRule="atLeast"/>
      <w:jc w:val="both"/>
      <w:outlineLvl w:val="1"/>
    </w:pPr>
    <w:rPr>
      <w:i/>
      <w:iCs/>
      <w:spacing w:val="-10"/>
      <w:sz w:val="28"/>
      <w:szCs w:val="28"/>
      <w:lang w:bidi="ru-RU"/>
    </w:rPr>
  </w:style>
  <w:style w:type="character" w:customStyle="1" w:styleId="Bodytext2Bold">
    <w:name w:val="Body text (2) + Bold"/>
    <w:basedOn w:val="Bodytext2"/>
    <w:rsid w:val="00941B9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4115pt">
    <w:name w:val="Body text (4) + 11.5 pt"/>
    <w:aliases w:val="Bold"/>
    <w:basedOn w:val="Bodytext4"/>
    <w:rsid w:val="00EF0E9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a6">
    <w:name w:val="Абзац списка Знак"/>
    <w:basedOn w:val="a0"/>
    <w:link w:val="a5"/>
    <w:uiPriority w:val="34"/>
    <w:locked/>
    <w:rsid w:val="00880E5C"/>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0EE4"/>
    <w:rPr>
      <w:rFonts w:ascii="Arial" w:eastAsia="Calibri"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3519">
      <w:bodyDiv w:val="1"/>
      <w:marLeft w:val="0"/>
      <w:marRight w:val="0"/>
      <w:marTop w:val="0"/>
      <w:marBottom w:val="0"/>
      <w:divBdr>
        <w:top w:val="none" w:sz="0" w:space="0" w:color="auto"/>
        <w:left w:val="none" w:sz="0" w:space="0" w:color="auto"/>
        <w:bottom w:val="none" w:sz="0" w:space="0" w:color="auto"/>
        <w:right w:val="none" w:sz="0" w:space="0" w:color="auto"/>
      </w:divBdr>
    </w:div>
    <w:div w:id="868031587">
      <w:bodyDiv w:val="1"/>
      <w:marLeft w:val="0"/>
      <w:marRight w:val="0"/>
      <w:marTop w:val="0"/>
      <w:marBottom w:val="0"/>
      <w:divBdr>
        <w:top w:val="none" w:sz="0" w:space="0" w:color="auto"/>
        <w:left w:val="none" w:sz="0" w:space="0" w:color="auto"/>
        <w:bottom w:val="none" w:sz="0" w:space="0" w:color="auto"/>
        <w:right w:val="none" w:sz="0" w:space="0" w:color="auto"/>
      </w:divBdr>
    </w:div>
    <w:div w:id="951746389">
      <w:bodyDiv w:val="1"/>
      <w:marLeft w:val="0"/>
      <w:marRight w:val="0"/>
      <w:marTop w:val="0"/>
      <w:marBottom w:val="0"/>
      <w:divBdr>
        <w:top w:val="none" w:sz="0" w:space="0" w:color="auto"/>
        <w:left w:val="none" w:sz="0" w:space="0" w:color="auto"/>
        <w:bottom w:val="none" w:sz="0" w:space="0" w:color="auto"/>
        <w:right w:val="none" w:sz="0" w:space="0" w:color="auto"/>
      </w:divBdr>
    </w:div>
    <w:div w:id="1265267780">
      <w:bodyDiv w:val="1"/>
      <w:marLeft w:val="0"/>
      <w:marRight w:val="0"/>
      <w:marTop w:val="0"/>
      <w:marBottom w:val="0"/>
      <w:divBdr>
        <w:top w:val="none" w:sz="0" w:space="0" w:color="auto"/>
        <w:left w:val="none" w:sz="0" w:space="0" w:color="auto"/>
        <w:bottom w:val="none" w:sz="0" w:space="0" w:color="auto"/>
        <w:right w:val="none" w:sz="0" w:space="0" w:color="auto"/>
      </w:divBdr>
      <w:divsChild>
        <w:div w:id="1759012653">
          <w:marLeft w:val="0"/>
          <w:marRight w:val="0"/>
          <w:marTop w:val="0"/>
          <w:marBottom w:val="0"/>
          <w:divBdr>
            <w:top w:val="none" w:sz="0" w:space="0" w:color="auto"/>
            <w:left w:val="none" w:sz="0" w:space="0" w:color="auto"/>
            <w:bottom w:val="none" w:sz="0" w:space="0" w:color="auto"/>
            <w:right w:val="none" w:sz="0" w:space="0" w:color="auto"/>
          </w:divBdr>
        </w:div>
      </w:divsChild>
    </w:div>
    <w:div w:id="15216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EE84-3019-4E82-957C-04F87D13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1375</Words>
  <Characters>7840</Characters>
  <Application>Microsoft Office Word</Application>
  <DocSecurity>0</DocSecurity>
  <Lines>65</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Home</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cp:lastPrinted>2018-09-11T11:16:00Z</cp:lastPrinted>
  <dcterms:created xsi:type="dcterms:W3CDTF">2018-06-11T12:47:00Z</dcterms:created>
  <dcterms:modified xsi:type="dcterms:W3CDTF">2018-09-11T11:16:00Z</dcterms:modified>
</cp:coreProperties>
</file>